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1F0674" w14:textId="77777777" w:rsidR="00B05E28" w:rsidRPr="000F3DA6" w:rsidRDefault="000F3DA6" w:rsidP="005576DE">
      <w:pPr>
        <w:ind w:left="-851" w:right="2966"/>
        <w:jc w:val="left"/>
        <w:rPr>
          <w:rFonts w:asciiTheme="majorHAnsi" w:hAnsiTheme="majorHAnsi" w:cs="Calibri"/>
          <w:b/>
          <w:sz w:val="44"/>
          <w:szCs w:val="32"/>
        </w:rPr>
      </w:pPr>
      <w:r w:rsidRPr="000F3DA6">
        <w:rPr>
          <w:rFonts w:asciiTheme="majorHAnsi" w:hAnsiTheme="majorHAnsi" w:cs="Calibri"/>
          <w:b/>
          <w:sz w:val="44"/>
          <w:szCs w:val="32"/>
        </w:rPr>
        <w:t>Plano de Emergência Individual</w:t>
      </w:r>
    </w:p>
    <w:p w14:paraId="60475586" w14:textId="491CC027" w:rsidR="00F6044C" w:rsidRPr="00F6044C" w:rsidRDefault="0049107D" w:rsidP="00F6044C">
      <w:pPr>
        <w:pStyle w:val="Corpo"/>
        <w:keepLines/>
        <w:ind w:left="-851" w:right="3350"/>
        <w:jc w:val="both"/>
        <w:rPr>
          <w:rFonts w:ascii="Cambria" w:eastAsia="Calibri" w:hAnsi="Cambria" w:cs="Calibri"/>
          <w:sz w:val="40"/>
          <w:szCs w:val="40"/>
        </w:rPr>
      </w:pPr>
      <w:r>
        <w:rPr>
          <w:rFonts w:asciiTheme="majorHAnsi" w:hAnsiTheme="majorHAnsi" w:cs="Calibri"/>
          <w:sz w:val="40"/>
          <w:szCs w:val="40"/>
          <w:lang w:val="pt-BR"/>
        </w:rPr>
        <w:t xml:space="preserve">Unidade ENSCO DS-9 </w:t>
      </w:r>
      <w:r w:rsidR="003523A8">
        <w:rPr>
          <w:rFonts w:asciiTheme="majorHAnsi" w:hAnsiTheme="majorHAnsi" w:cs="Calibri"/>
          <w:sz w:val="40"/>
          <w:szCs w:val="40"/>
          <w:lang w:val="pt-BR"/>
        </w:rPr>
        <w:sym w:font="Symbol" w:char="F02D"/>
      </w:r>
      <w:r>
        <w:rPr>
          <w:rFonts w:asciiTheme="majorHAnsi" w:hAnsiTheme="majorHAnsi" w:cs="Calibri"/>
          <w:sz w:val="40"/>
          <w:szCs w:val="40"/>
          <w:lang w:val="pt-BR"/>
        </w:rPr>
        <w:t xml:space="preserve"> </w:t>
      </w:r>
      <w:r w:rsidR="0085655D" w:rsidRPr="00FD3090">
        <w:rPr>
          <w:rFonts w:asciiTheme="majorHAnsi" w:hAnsiTheme="majorHAnsi" w:cs="Calibri"/>
          <w:sz w:val="40"/>
          <w:szCs w:val="40"/>
          <w:lang w:val="pt-BR"/>
        </w:rPr>
        <w:t xml:space="preserve">Atividade de Perfuração Marítima no </w:t>
      </w:r>
      <w:r w:rsidR="0085655D" w:rsidRPr="00B03E1E">
        <w:rPr>
          <w:rFonts w:asciiTheme="majorHAnsi" w:hAnsiTheme="majorHAnsi" w:cs="Calibri"/>
          <w:sz w:val="40"/>
          <w:szCs w:val="40"/>
          <w:lang w:val="pt-BR"/>
        </w:rPr>
        <w:t>Bloco</w:t>
      </w:r>
      <w:r w:rsidR="001850C3">
        <w:rPr>
          <w:rFonts w:asciiTheme="majorHAnsi" w:hAnsiTheme="majorHAnsi" w:cs="Calibri"/>
          <w:sz w:val="40"/>
          <w:szCs w:val="40"/>
          <w:lang w:val="pt-BR"/>
        </w:rPr>
        <w:t xml:space="preserve"> </w:t>
      </w:r>
      <w:r w:rsidR="0085655D" w:rsidRPr="00B03E1E">
        <w:rPr>
          <w:rFonts w:asciiTheme="majorHAnsi" w:hAnsiTheme="majorHAnsi" w:cs="Calibri"/>
          <w:sz w:val="40"/>
          <w:szCs w:val="40"/>
          <w:lang w:val="pt-BR"/>
        </w:rPr>
        <w:t>FZA-M-</w:t>
      </w:r>
      <w:r w:rsidR="0085655D">
        <w:rPr>
          <w:rFonts w:asciiTheme="majorHAnsi" w:hAnsiTheme="majorHAnsi" w:cs="Calibri"/>
          <w:sz w:val="40"/>
          <w:szCs w:val="40"/>
          <w:lang w:val="pt-BR"/>
        </w:rPr>
        <w:t>59</w:t>
      </w:r>
      <w:r w:rsidR="0085655D" w:rsidRPr="00B03E1E">
        <w:rPr>
          <w:rFonts w:asciiTheme="majorHAnsi" w:hAnsiTheme="majorHAnsi" w:cs="Calibri"/>
          <w:sz w:val="40"/>
          <w:szCs w:val="40"/>
          <w:lang w:val="pt-BR"/>
        </w:rPr>
        <w:t xml:space="preserve"> </w:t>
      </w:r>
      <w:r w:rsidR="001850C3">
        <w:rPr>
          <w:rFonts w:asciiTheme="majorHAnsi" w:hAnsiTheme="majorHAnsi" w:cs="Calibri"/>
          <w:sz w:val="40"/>
          <w:szCs w:val="40"/>
          <w:lang w:val="pt-BR"/>
        </w:rPr>
        <w:t>–</w:t>
      </w:r>
      <w:r w:rsidR="0085655D">
        <w:rPr>
          <w:rFonts w:asciiTheme="majorHAnsi" w:hAnsiTheme="majorHAnsi" w:cs="Calibri"/>
          <w:sz w:val="40"/>
          <w:szCs w:val="40"/>
          <w:lang w:val="pt-BR"/>
        </w:rPr>
        <w:t xml:space="preserve"> Bacia da</w:t>
      </w:r>
      <w:r w:rsidR="0085655D" w:rsidRPr="00FD3090">
        <w:rPr>
          <w:rFonts w:asciiTheme="majorHAnsi" w:hAnsiTheme="majorHAnsi" w:cs="Calibri"/>
          <w:sz w:val="40"/>
          <w:szCs w:val="40"/>
          <w:lang w:val="pt-BR"/>
        </w:rPr>
        <w:t xml:space="preserve"> </w:t>
      </w:r>
      <w:r w:rsidR="0085655D">
        <w:rPr>
          <w:rFonts w:asciiTheme="majorHAnsi" w:hAnsiTheme="majorHAnsi" w:cs="Calibri"/>
          <w:sz w:val="40"/>
          <w:szCs w:val="40"/>
          <w:lang w:val="pt-BR"/>
        </w:rPr>
        <w:t>Foz do</w:t>
      </w:r>
      <w:r w:rsidR="001850C3">
        <w:rPr>
          <w:rFonts w:asciiTheme="majorHAnsi" w:hAnsiTheme="majorHAnsi" w:cs="Calibri"/>
          <w:sz w:val="40"/>
          <w:szCs w:val="40"/>
          <w:lang w:val="pt-BR"/>
        </w:rPr>
        <w:t xml:space="preserve"> </w:t>
      </w:r>
      <w:r w:rsidR="0085655D">
        <w:rPr>
          <w:rFonts w:asciiTheme="majorHAnsi" w:hAnsiTheme="majorHAnsi" w:cs="Calibri"/>
          <w:sz w:val="40"/>
          <w:szCs w:val="40"/>
          <w:lang w:val="pt-BR"/>
        </w:rPr>
        <w:t>Amazonas</w:t>
      </w:r>
    </w:p>
    <w:p w14:paraId="2BA8D72A" w14:textId="77777777" w:rsidR="00B05E28" w:rsidRPr="00F6044C" w:rsidRDefault="00B05E28" w:rsidP="00B05E28">
      <w:pPr>
        <w:ind w:left="-720" w:right="2970"/>
        <w:rPr>
          <w:rFonts w:asciiTheme="majorHAnsi" w:hAnsiTheme="majorHAnsi" w:cs="Calibri"/>
          <w:sz w:val="20"/>
          <w:szCs w:val="40"/>
          <w:lang w:val="pt-PT"/>
        </w:rPr>
      </w:pPr>
    </w:p>
    <w:p w14:paraId="075325CD" w14:textId="21FA1157" w:rsidR="00B05E28" w:rsidRPr="00FF5891" w:rsidRDefault="00FF5891" w:rsidP="00FF5891">
      <w:pPr>
        <w:ind w:left="-851" w:right="2970"/>
        <w:rPr>
          <w:rFonts w:asciiTheme="majorHAnsi" w:hAnsiTheme="majorHAnsi" w:cs="Calibri"/>
          <w:sz w:val="32"/>
          <w:szCs w:val="32"/>
          <w:lang w:val="pt-PT"/>
        </w:rPr>
      </w:pPr>
      <w:r w:rsidRPr="00FF5891">
        <w:rPr>
          <w:rFonts w:asciiTheme="majorHAnsi" w:hAnsiTheme="majorHAnsi" w:cs="Calibri"/>
          <w:sz w:val="32"/>
          <w:szCs w:val="32"/>
          <w:lang w:val="pt-PT"/>
        </w:rPr>
        <w:t>Nº do Processo: 02022.000336/2014-53</w:t>
      </w:r>
    </w:p>
    <w:p w14:paraId="1BDDDE26" w14:textId="77777777" w:rsidR="00B05E28" w:rsidRDefault="00B05E28" w:rsidP="001850C3">
      <w:pPr>
        <w:ind w:left="-720" w:right="2970"/>
        <w:rPr>
          <w:rFonts w:asciiTheme="majorHAnsi" w:hAnsiTheme="majorHAnsi" w:cs="Calibri"/>
          <w:sz w:val="20"/>
          <w:szCs w:val="40"/>
          <w:lang w:val="pt-PT"/>
        </w:rPr>
      </w:pPr>
    </w:p>
    <w:p w14:paraId="29A025E2" w14:textId="77777777" w:rsidR="001850C3" w:rsidRPr="001850C3" w:rsidRDefault="001850C3" w:rsidP="001850C3">
      <w:pPr>
        <w:ind w:left="-720" w:right="2970"/>
        <w:rPr>
          <w:rFonts w:asciiTheme="majorHAnsi" w:hAnsiTheme="majorHAnsi" w:cs="Calibri"/>
          <w:sz w:val="20"/>
          <w:szCs w:val="40"/>
          <w:lang w:val="pt-PT"/>
        </w:rPr>
      </w:pPr>
    </w:p>
    <w:p w14:paraId="7FDA0CEA" w14:textId="77777777" w:rsidR="000F3DA6" w:rsidRPr="001850C3" w:rsidRDefault="000F3DA6" w:rsidP="001850C3">
      <w:pPr>
        <w:ind w:left="-720" w:right="2970"/>
        <w:rPr>
          <w:rFonts w:asciiTheme="majorHAnsi" w:hAnsiTheme="majorHAnsi" w:cs="Calibri"/>
          <w:sz w:val="20"/>
          <w:szCs w:val="40"/>
          <w:lang w:val="pt-PT"/>
        </w:rPr>
      </w:pPr>
    </w:p>
    <w:p w14:paraId="6B2E6797" w14:textId="77777777" w:rsidR="000F3DA6" w:rsidRPr="00D371A6" w:rsidRDefault="000F3DA6" w:rsidP="000F3DA6">
      <w:pPr>
        <w:keepLines/>
        <w:ind w:left="-720" w:right="2966"/>
        <w:rPr>
          <w:rFonts w:asciiTheme="majorHAnsi" w:hAnsiTheme="majorHAnsi" w:cs="Calibri"/>
          <w:b/>
        </w:rPr>
      </w:pPr>
      <w:r>
        <w:rPr>
          <w:rFonts w:asciiTheme="majorHAnsi" w:hAnsiTheme="majorHAnsi" w:cs="Calibri"/>
          <w:b/>
        </w:rPr>
        <w:t>Desenvolvido para</w:t>
      </w:r>
      <w:r w:rsidRPr="00D371A6">
        <w:rPr>
          <w:rFonts w:asciiTheme="majorHAnsi" w:hAnsiTheme="majorHAnsi" w:cs="Calibri"/>
          <w:b/>
        </w:rPr>
        <w:t>:</w:t>
      </w:r>
    </w:p>
    <w:p w14:paraId="6E48EBFC" w14:textId="77777777" w:rsidR="000F3DA6" w:rsidRPr="001850C3" w:rsidRDefault="000F3DA6" w:rsidP="001850C3">
      <w:pPr>
        <w:ind w:left="-720" w:right="2970"/>
        <w:rPr>
          <w:rFonts w:asciiTheme="majorHAnsi" w:hAnsiTheme="majorHAnsi" w:cs="Calibri"/>
          <w:sz w:val="20"/>
          <w:szCs w:val="40"/>
          <w:lang w:val="pt-PT"/>
        </w:rPr>
      </w:pPr>
    </w:p>
    <w:p w14:paraId="7E92248B" w14:textId="77777777" w:rsidR="000F3DA6" w:rsidRPr="001850C3" w:rsidRDefault="0085655D" w:rsidP="001850C3">
      <w:pPr>
        <w:ind w:left="-720" w:right="2970"/>
        <w:rPr>
          <w:rFonts w:asciiTheme="majorHAnsi" w:hAnsiTheme="majorHAnsi" w:cs="Calibri"/>
          <w:sz w:val="20"/>
          <w:szCs w:val="40"/>
          <w:lang w:val="pt-PT"/>
        </w:rPr>
      </w:pPr>
      <w:r>
        <w:rPr>
          <w:noProof/>
          <w:sz w:val="16"/>
          <w:szCs w:val="16"/>
          <w:lang w:val="en-US" w:eastAsia="en-US"/>
        </w:rPr>
        <w:drawing>
          <wp:inline distT="0" distB="0" distL="0" distR="0" wp14:anchorId="3C3CB203" wp14:editId="7F85E41E">
            <wp:extent cx="685800" cy="987935"/>
            <wp:effectExtent l="0" t="0" r="0" b="3175"/>
            <wp:docPr id="1073742024" name="Imagem 107374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9">
                      <a:extLst>
                        <a:ext uri="{28A0092B-C50C-407E-A947-70E740481C1C}">
                          <a14:useLocalDpi xmlns:a14="http://schemas.microsoft.com/office/drawing/2010/main" val="0"/>
                        </a:ext>
                      </a:extLst>
                    </a:blip>
                    <a:stretch>
                      <a:fillRect/>
                    </a:stretch>
                  </pic:blipFill>
                  <pic:spPr>
                    <a:xfrm>
                      <a:off x="0" y="0"/>
                      <a:ext cx="733280" cy="1056332"/>
                    </a:xfrm>
                    <a:prstGeom prst="rect">
                      <a:avLst/>
                    </a:prstGeom>
                  </pic:spPr>
                </pic:pic>
              </a:graphicData>
            </a:graphic>
          </wp:inline>
        </w:drawing>
      </w:r>
    </w:p>
    <w:p w14:paraId="4790EE65" w14:textId="77777777" w:rsidR="000F3DA6" w:rsidRPr="001850C3" w:rsidRDefault="000F3DA6" w:rsidP="001850C3">
      <w:pPr>
        <w:ind w:left="-720" w:right="2970"/>
        <w:rPr>
          <w:rFonts w:asciiTheme="majorHAnsi" w:hAnsiTheme="majorHAnsi" w:cs="Calibri"/>
          <w:sz w:val="20"/>
          <w:szCs w:val="40"/>
          <w:lang w:val="pt-PT"/>
        </w:rPr>
      </w:pPr>
    </w:p>
    <w:p w14:paraId="1E1662F3" w14:textId="040076C7" w:rsidR="00B05E28" w:rsidRPr="00F12E56" w:rsidRDefault="00B05E28" w:rsidP="001850C3">
      <w:pPr>
        <w:ind w:left="-720" w:right="2970"/>
        <w:rPr>
          <w:rFonts w:asciiTheme="majorHAnsi" w:hAnsiTheme="majorHAnsi" w:cs="Calibri"/>
          <w:sz w:val="20"/>
          <w:szCs w:val="40"/>
          <w:lang w:val="pt-PT"/>
        </w:rPr>
      </w:pPr>
      <w:r w:rsidRPr="00B05E28">
        <w:rPr>
          <w:rFonts w:asciiTheme="majorHAnsi" w:hAnsiTheme="majorHAnsi" w:cs="Calibri"/>
          <w:b/>
        </w:rPr>
        <w:t>Rev.</w:t>
      </w:r>
      <w:r w:rsidRPr="00F12E56">
        <w:rPr>
          <w:rFonts w:asciiTheme="majorHAnsi" w:hAnsiTheme="majorHAnsi" w:cs="Calibri"/>
          <w:b/>
        </w:rPr>
        <w:t>0</w:t>
      </w:r>
      <w:r w:rsidR="00B07A0A" w:rsidRPr="00F12E56">
        <w:rPr>
          <w:rFonts w:asciiTheme="majorHAnsi" w:hAnsiTheme="majorHAnsi" w:cs="Calibri"/>
          <w:b/>
        </w:rPr>
        <w:t>1</w:t>
      </w:r>
      <w:r w:rsidR="00D437E0" w:rsidRPr="00F12E56">
        <w:rPr>
          <w:rFonts w:asciiTheme="majorHAnsi" w:hAnsiTheme="majorHAnsi" w:cs="Calibri"/>
          <w:b/>
        </w:rPr>
        <w:t>A</w:t>
      </w:r>
      <w:r w:rsidRPr="00F12E56">
        <w:rPr>
          <w:rFonts w:asciiTheme="majorHAnsi" w:hAnsiTheme="majorHAnsi" w:cs="Calibri"/>
          <w:b/>
        </w:rPr>
        <w:t xml:space="preserve"> </w:t>
      </w:r>
      <w:r w:rsidR="00672152" w:rsidRPr="00F12E56">
        <w:rPr>
          <w:rFonts w:asciiTheme="majorHAnsi" w:hAnsiTheme="majorHAnsi" w:cs="Calibri"/>
          <w:b/>
        </w:rPr>
        <w:t>–</w:t>
      </w:r>
      <w:r w:rsidR="00232004" w:rsidRPr="00F12E56">
        <w:rPr>
          <w:rFonts w:asciiTheme="majorHAnsi" w:hAnsiTheme="majorHAnsi" w:cs="Calibri"/>
          <w:b/>
        </w:rPr>
        <w:t xml:space="preserve"> </w:t>
      </w:r>
      <w:r w:rsidR="00F12E56" w:rsidRPr="00F12E56">
        <w:rPr>
          <w:rFonts w:asciiTheme="majorHAnsi" w:hAnsiTheme="majorHAnsi" w:cs="Calibri"/>
          <w:b/>
        </w:rPr>
        <w:t>setembro</w:t>
      </w:r>
      <w:r w:rsidR="00232004" w:rsidRPr="00F12E56">
        <w:rPr>
          <w:rFonts w:asciiTheme="majorHAnsi" w:hAnsiTheme="majorHAnsi" w:cs="Calibri"/>
          <w:b/>
        </w:rPr>
        <w:t>, 201</w:t>
      </w:r>
      <w:r w:rsidR="00D437E0" w:rsidRPr="00F12E56">
        <w:rPr>
          <w:rFonts w:asciiTheme="majorHAnsi" w:hAnsiTheme="majorHAnsi" w:cs="Calibri"/>
          <w:b/>
        </w:rPr>
        <w:t>8</w:t>
      </w:r>
      <w:r w:rsidR="000F3DA6" w:rsidRPr="00F12E56">
        <w:rPr>
          <w:rFonts w:asciiTheme="majorHAnsi" w:hAnsiTheme="majorHAnsi" w:cs="Calibri"/>
          <w:b/>
        </w:rPr>
        <w:t>.</w:t>
      </w:r>
    </w:p>
    <w:p w14:paraId="5BDEB7FA" w14:textId="77777777" w:rsidR="00B05E28" w:rsidRPr="00B05E28" w:rsidRDefault="00B05E28" w:rsidP="00B05E28">
      <w:pPr>
        <w:rPr>
          <w:rFonts w:asciiTheme="majorHAnsi" w:hAnsiTheme="majorHAnsi" w:cs="Calibri"/>
        </w:rPr>
        <w:sectPr w:rsidR="00B05E28" w:rsidRPr="00B05E28" w:rsidSect="00B05E28">
          <w:headerReference w:type="even" r:id="rId10"/>
          <w:headerReference w:type="default" r:id="rId11"/>
          <w:footerReference w:type="even" r:id="rId12"/>
          <w:footerReference w:type="default" r:id="rId13"/>
          <w:headerReference w:type="first" r:id="rId14"/>
          <w:footerReference w:type="first" r:id="rId15"/>
          <w:pgSz w:w="11907" w:h="16839" w:code="9"/>
          <w:pgMar w:top="3600" w:right="1440" w:bottom="1440" w:left="1440" w:header="720" w:footer="720" w:gutter="0"/>
          <w:cols w:space="720"/>
          <w:docGrid w:linePitch="360"/>
        </w:sectPr>
      </w:pPr>
    </w:p>
    <w:tbl>
      <w:tblPr>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CellMar>
          <w:left w:w="70" w:type="dxa"/>
          <w:right w:w="70" w:type="dxa"/>
        </w:tblCellMar>
        <w:tblLook w:val="0000" w:firstRow="0" w:lastRow="0" w:firstColumn="0" w:lastColumn="0" w:noHBand="0" w:noVBand="0"/>
      </w:tblPr>
      <w:tblGrid>
        <w:gridCol w:w="564"/>
        <w:gridCol w:w="1501"/>
        <w:gridCol w:w="4916"/>
        <w:gridCol w:w="2059"/>
      </w:tblGrid>
      <w:tr w:rsidR="000F3DA6" w:rsidRPr="00D371A6" w14:paraId="0E2E8E16" w14:textId="77777777" w:rsidTr="00150CAE">
        <w:trPr>
          <w:trHeight w:val="283"/>
        </w:trPr>
        <w:tc>
          <w:tcPr>
            <w:tcW w:w="5000" w:type="pct"/>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0A44D867" w14:textId="77777777" w:rsidR="000F3DA6" w:rsidRPr="000F3DA6" w:rsidRDefault="006D5C78" w:rsidP="000F3DA6">
            <w:pPr>
              <w:pStyle w:val="TtuloTabela"/>
              <w:rPr>
                <w:rFonts w:asciiTheme="majorHAnsi" w:hAnsiTheme="majorHAnsi"/>
                <w:lang w:val="en-GB"/>
              </w:rPr>
            </w:pPr>
            <w:r>
              <w:rPr>
                <w:rFonts w:asciiTheme="majorHAnsi" w:hAnsiTheme="majorHAnsi"/>
                <w:lang w:val="en-GB"/>
              </w:rPr>
              <w:lastRenderedPageBreak/>
              <w:t>Controle de Revisões</w:t>
            </w:r>
          </w:p>
        </w:tc>
      </w:tr>
      <w:tr w:rsidR="000F3DA6" w:rsidRPr="00D371A6" w14:paraId="4898D602" w14:textId="77777777" w:rsidTr="00150CAE">
        <w:trPr>
          <w:trHeight w:val="283"/>
        </w:trPr>
        <w:tc>
          <w:tcPr>
            <w:tcW w:w="312"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2B0D8AFB" w14:textId="77777777" w:rsidR="000F3DA6" w:rsidRPr="000F3DA6" w:rsidRDefault="000F3DA6" w:rsidP="000F3DA6">
            <w:pPr>
              <w:pStyle w:val="TtuloTabela"/>
              <w:rPr>
                <w:rFonts w:asciiTheme="majorHAnsi" w:hAnsiTheme="majorHAnsi"/>
                <w:lang w:val="en-GB"/>
              </w:rPr>
            </w:pPr>
            <w:r w:rsidRPr="000F3DA6">
              <w:rPr>
                <w:rFonts w:asciiTheme="majorHAnsi" w:hAnsiTheme="majorHAnsi"/>
                <w:lang w:val="en-GB"/>
              </w:rPr>
              <w:t>Rev.</w:t>
            </w:r>
          </w:p>
        </w:tc>
        <w:tc>
          <w:tcPr>
            <w:tcW w:w="83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4199805F" w14:textId="77777777" w:rsidR="000F3DA6" w:rsidRPr="000F3DA6" w:rsidRDefault="000F3DA6" w:rsidP="000F3DA6">
            <w:pPr>
              <w:pStyle w:val="TtuloTabela"/>
              <w:rPr>
                <w:rFonts w:asciiTheme="majorHAnsi" w:hAnsiTheme="majorHAnsi"/>
                <w:lang w:val="en-GB"/>
              </w:rPr>
            </w:pPr>
            <w:r w:rsidRPr="000F3DA6">
              <w:rPr>
                <w:rFonts w:asciiTheme="majorHAnsi" w:hAnsiTheme="majorHAnsi"/>
                <w:lang w:val="en-GB"/>
              </w:rPr>
              <w:t>Data</w:t>
            </w:r>
          </w:p>
        </w:tc>
        <w:tc>
          <w:tcPr>
            <w:tcW w:w="271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38DE9767" w14:textId="77777777" w:rsidR="000F3DA6" w:rsidRPr="00827E13" w:rsidRDefault="000F3DA6" w:rsidP="000F3DA6">
            <w:pPr>
              <w:pStyle w:val="TtuloTabela"/>
              <w:rPr>
                <w:rFonts w:asciiTheme="majorHAnsi" w:hAnsiTheme="majorHAnsi"/>
              </w:rPr>
            </w:pPr>
            <w:r w:rsidRPr="000F3DA6">
              <w:rPr>
                <w:rFonts w:asciiTheme="majorHAnsi" w:hAnsiTheme="majorHAnsi"/>
                <w:lang w:val="en-GB"/>
              </w:rPr>
              <w:t>Descrição (motivo da</w:t>
            </w:r>
            <w:r w:rsidRPr="00827E13">
              <w:rPr>
                <w:rFonts w:asciiTheme="majorHAnsi" w:hAnsiTheme="majorHAnsi"/>
              </w:rPr>
              <w:t xml:space="preserve"> revisão</w:t>
            </w:r>
            <w:r w:rsidRPr="000F3DA6">
              <w:rPr>
                <w:rFonts w:asciiTheme="majorHAnsi" w:hAnsiTheme="majorHAnsi"/>
                <w:lang w:val="en-GB"/>
              </w:rPr>
              <w:t>)</w:t>
            </w:r>
          </w:p>
        </w:tc>
        <w:tc>
          <w:tcPr>
            <w:tcW w:w="113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244061" w:themeFill="accent1" w:themeFillShade="80"/>
            <w:vAlign w:val="center"/>
          </w:tcPr>
          <w:p w14:paraId="4E630A8E" w14:textId="77777777" w:rsidR="000F3DA6" w:rsidRPr="000F3DA6" w:rsidRDefault="000F3DA6" w:rsidP="000F3DA6">
            <w:pPr>
              <w:pStyle w:val="TtuloTabela"/>
              <w:rPr>
                <w:rFonts w:asciiTheme="majorHAnsi" w:hAnsiTheme="majorHAnsi"/>
                <w:lang w:val="en-GB"/>
              </w:rPr>
            </w:pPr>
            <w:r w:rsidRPr="00827E13">
              <w:rPr>
                <w:rFonts w:asciiTheme="majorHAnsi" w:hAnsiTheme="majorHAnsi"/>
              </w:rPr>
              <w:t>Responsável</w:t>
            </w:r>
          </w:p>
        </w:tc>
      </w:tr>
      <w:tr w:rsidR="000F3DA6" w:rsidRPr="00D371A6" w14:paraId="6673BDC9"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A56DE33"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00</w:t>
            </w: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61970B57"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Março/2015</w:t>
            </w: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7A9AE703" w14:textId="77777777" w:rsidR="000F3DA6" w:rsidRPr="000F3DA6" w:rsidRDefault="000F3DA6" w:rsidP="001850C3">
            <w:pPr>
              <w:pStyle w:val="TextoTabela"/>
              <w:spacing w:line="240" w:lineRule="auto"/>
              <w:jc w:val="center"/>
              <w:rPr>
                <w:rFonts w:asciiTheme="majorHAnsi" w:hAnsiTheme="majorHAnsi"/>
                <w:sz w:val="20"/>
                <w:lang w:val="en-GB"/>
              </w:rPr>
            </w:pPr>
            <w:r w:rsidRPr="000F3DA6">
              <w:rPr>
                <w:rFonts w:asciiTheme="majorHAnsi" w:hAnsiTheme="majorHAnsi"/>
                <w:sz w:val="20"/>
                <w:lang w:val="en-GB"/>
              </w:rPr>
              <w:t>Documento original</w:t>
            </w: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39D5933" w14:textId="77777777" w:rsidR="000F3DA6" w:rsidRPr="000F3DA6" w:rsidRDefault="0036087F" w:rsidP="001850C3">
            <w:pPr>
              <w:pStyle w:val="TextoTabela"/>
              <w:spacing w:line="240" w:lineRule="auto"/>
              <w:jc w:val="center"/>
              <w:rPr>
                <w:rFonts w:asciiTheme="majorHAnsi" w:hAnsiTheme="majorHAnsi"/>
                <w:sz w:val="20"/>
                <w:lang w:val="en-GB"/>
              </w:rPr>
            </w:pPr>
            <w:r>
              <w:rPr>
                <w:rFonts w:asciiTheme="majorHAnsi" w:hAnsiTheme="majorHAnsi"/>
                <w:sz w:val="20"/>
                <w:lang w:val="en-GB"/>
              </w:rPr>
              <w:t>Witt|O’Brien’s</w:t>
            </w:r>
          </w:p>
        </w:tc>
      </w:tr>
      <w:tr w:rsidR="000F3DA6" w:rsidRPr="00D371A6" w14:paraId="5C60322F"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0144B412" w14:textId="38F3B815" w:rsidR="000F3DA6" w:rsidRPr="00D371A6" w:rsidRDefault="00B07A0A" w:rsidP="000F3DA6">
            <w:pPr>
              <w:pStyle w:val="semespaamento"/>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01</w:t>
            </w: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43BCC72B" w14:textId="78E9DA3D" w:rsidR="000F3DA6" w:rsidRPr="00D371A6" w:rsidRDefault="00B07A0A" w:rsidP="000F3DA6">
            <w:pPr>
              <w:pStyle w:val="semespaamento"/>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Junho/2017</w:t>
            </w: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3C31920B" w14:textId="6DB88AD6" w:rsidR="000F3DA6" w:rsidRPr="00D371A6" w:rsidRDefault="00B07A0A" w:rsidP="00B07A0A">
            <w:pPr>
              <w:pStyle w:val="semespaamento"/>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Atualização de informações</w:t>
            </w: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54BC71A2" w14:textId="5BB3300C" w:rsidR="000F3DA6" w:rsidRPr="00D371A6" w:rsidRDefault="00B07A0A" w:rsidP="000F3DA6">
            <w:pPr>
              <w:pStyle w:val="semespaamento"/>
              <w:keepLines/>
              <w:spacing w:before="120" w:after="120"/>
              <w:jc w:val="center"/>
              <w:rPr>
                <w:rFonts w:asciiTheme="majorHAnsi" w:hAnsiTheme="majorHAnsi" w:cstheme="minorHAnsi"/>
                <w:b w:val="0"/>
                <w:sz w:val="22"/>
                <w:szCs w:val="22"/>
                <w:lang w:val="pt-BR"/>
              </w:rPr>
            </w:pPr>
            <w:r>
              <w:rPr>
                <w:rFonts w:asciiTheme="majorHAnsi" w:hAnsiTheme="majorHAnsi" w:cstheme="minorHAnsi"/>
                <w:b w:val="0"/>
                <w:sz w:val="22"/>
                <w:szCs w:val="22"/>
                <w:lang w:val="pt-BR"/>
              </w:rPr>
              <w:t>BP Energy do Brasil</w:t>
            </w:r>
          </w:p>
        </w:tc>
      </w:tr>
      <w:tr w:rsidR="000359D0" w:rsidRPr="000359D0" w14:paraId="69805625"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71722936" w14:textId="71E2C0CB" w:rsidR="00D437E0" w:rsidRPr="000359D0" w:rsidRDefault="00D437E0" w:rsidP="00D437E0">
            <w:pPr>
              <w:pStyle w:val="semespaamento"/>
              <w:keepLines/>
              <w:spacing w:before="120" w:after="120"/>
              <w:jc w:val="center"/>
              <w:rPr>
                <w:rFonts w:asciiTheme="majorHAnsi" w:hAnsiTheme="majorHAnsi" w:cstheme="minorHAnsi"/>
                <w:b w:val="0"/>
                <w:sz w:val="22"/>
                <w:szCs w:val="22"/>
                <w:highlight w:val="darkGray"/>
                <w:lang w:val="pt-BR"/>
              </w:rPr>
            </w:pPr>
            <w:r w:rsidRPr="000359D0">
              <w:rPr>
                <w:rFonts w:asciiTheme="majorHAnsi" w:hAnsiTheme="majorHAnsi" w:cstheme="minorHAnsi"/>
                <w:b w:val="0"/>
                <w:sz w:val="22"/>
                <w:szCs w:val="22"/>
                <w:highlight w:val="darkGray"/>
                <w:lang w:val="pt-BR"/>
              </w:rPr>
              <w:t>01A</w:t>
            </w: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43A3EB49" w14:textId="2DA8049A" w:rsidR="00D437E0" w:rsidRPr="000359D0" w:rsidRDefault="00D437E0" w:rsidP="00D437E0">
            <w:pPr>
              <w:pStyle w:val="semespaamento"/>
              <w:keepLines/>
              <w:spacing w:before="120" w:after="120"/>
              <w:jc w:val="center"/>
              <w:rPr>
                <w:rFonts w:asciiTheme="majorHAnsi" w:hAnsiTheme="majorHAnsi" w:cstheme="minorHAnsi"/>
                <w:b w:val="0"/>
                <w:sz w:val="22"/>
                <w:szCs w:val="22"/>
                <w:highlight w:val="darkGray"/>
                <w:lang w:val="pt-BR"/>
              </w:rPr>
            </w:pPr>
            <w:r w:rsidRPr="000359D0">
              <w:rPr>
                <w:rFonts w:asciiTheme="majorHAnsi" w:hAnsiTheme="majorHAnsi" w:cstheme="minorHAnsi"/>
                <w:b w:val="0"/>
                <w:sz w:val="22"/>
                <w:szCs w:val="22"/>
                <w:highlight w:val="darkGray"/>
                <w:lang w:val="pt-BR"/>
              </w:rPr>
              <w:t>Junho/2018</w:t>
            </w: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0286344D" w14:textId="25525E4B" w:rsidR="00D437E0" w:rsidRPr="000359D0" w:rsidRDefault="00D437E0" w:rsidP="00D437E0">
            <w:pPr>
              <w:pStyle w:val="semespaamento"/>
              <w:keepLines/>
              <w:spacing w:before="120" w:after="120"/>
              <w:jc w:val="left"/>
              <w:rPr>
                <w:rFonts w:asciiTheme="majorHAnsi" w:hAnsiTheme="majorHAnsi" w:cstheme="minorHAnsi"/>
                <w:b w:val="0"/>
                <w:sz w:val="22"/>
                <w:szCs w:val="22"/>
                <w:highlight w:val="darkGray"/>
                <w:lang w:val="pt-BR"/>
              </w:rPr>
            </w:pPr>
            <w:r w:rsidRPr="000359D0">
              <w:rPr>
                <w:rFonts w:asciiTheme="majorHAnsi" w:hAnsiTheme="majorHAnsi" w:cstheme="minorHAnsi"/>
                <w:b w:val="0"/>
                <w:sz w:val="22"/>
                <w:szCs w:val="22"/>
                <w:highlight w:val="darkGray"/>
                <w:lang w:val="pt-BR"/>
              </w:rPr>
              <w:t>Introdução de ajustes em funções dos comentários feitas pela CGMAC no Parecer Técnico nº 73/18 da empresa Total E&amp;P Brasil.</w:t>
            </w: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71912D36" w14:textId="696D296A" w:rsidR="00D437E0" w:rsidRPr="000359D0" w:rsidRDefault="00D437E0" w:rsidP="00D437E0">
            <w:pPr>
              <w:pStyle w:val="semespaamento"/>
              <w:keepLines/>
              <w:spacing w:before="120" w:after="120"/>
              <w:jc w:val="center"/>
              <w:rPr>
                <w:rFonts w:asciiTheme="majorHAnsi" w:hAnsiTheme="majorHAnsi" w:cstheme="minorHAnsi"/>
                <w:b w:val="0"/>
                <w:sz w:val="22"/>
                <w:szCs w:val="22"/>
                <w:highlight w:val="darkGray"/>
                <w:lang w:val="pt-BR"/>
              </w:rPr>
            </w:pPr>
            <w:r w:rsidRPr="000359D0">
              <w:rPr>
                <w:rFonts w:asciiTheme="majorHAnsi" w:hAnsiTheme="majorHAnsi" w:cstheme="minorHAnsi"/>
                <w:b w:val="0"/>
                <w:sz w:val="22"/>
                <w:szCs w:val="22"/>
                <w:highlight w:val="darkGray"/>
                <w:lang w:val="pt-BR"/>
              </w:rPr>
              <w:t>BP Energy do Brasil</w:t>
            </w:r>
          </w:p>
        </w:tc>
      </w:tr>
      <w:tr w:rsidR="00D437E0" w:rsidRPr="00D371A6" w14:paraId="3E13BEEB" w14:textId="77777777" w:rsidTr="00150CAE">
        <w:trPr>
          <w:trHeight w:val="498"/>
        </w:trPr>
        <w:tc>
          <w:tcPr>
            <w:tcW w:w="312"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6EC00446" w14:textId="77777777" w:rsidR="00D437E0" w:rsidRPr="00D371A6" w:rsidRDefault="00D437E0" w:rsidP="00D437E0">
            <w:pPr>
              <w:pStyle w:val="semespaamento"/>
              <w:keepLines/>
              <w:spacing w:before="120" w:after="120"/>
              <w:jc w:val="center"/>
              <w:rPr>
                <w:rFonts w:asciiTheme="majorHAnsi" w:hAnsiTheme="majorHAnsi" w:cstheme="minorHAnsi"/>
                <w:b w:val="0"/>
                <w:sz w:val="22"/>
                <w:szCs w:val="22"/>
                <w:lang w:val="pt-BR"/>
              </w:rPr>
            </w:pPr>
          </w:p>
        </w:tc>
        <w:tc>
          <w:tcPr>
            <w:tcW w:w="830"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5770F5C0" w14:textId="77777777" w:rsidR="00D437E0" w:rsidRPr="00D371A6" w:rsidRDefault="00D437E0" w:rsidP="00D437E0">
            <w:pPr>
              <w:pStyle w:val="semespaamento"/>
              <w:keepLines/>
              <w:spacing w:before="120" w:after="120"/>
              <w:jc w:val="center"/>
              <w:rPr>
                <w:rFonts w:asciiTheme="majorHAnsi" w:hAnsiTheme="majorHAnsi" w:cstheme="minorHAnsi"/>
                <w:b w:val="0"/>
                <w:sz w:val="22"/>
                <w:szCs w:val="22"/>
                <w:lang w:val="pt-BR"/>
              </w:rPr>
            </w:pPr>
          </w:p>
        </w:tc>
        <w:tc>
          <w:tcPr>
            <w:tcW w:w="271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2390BE6A" w14:textId="77777777" w:rsidR="00D437E0" w:rsidRPr="00D371A6" w:rsidRDefault="00D437E0" w:rsidP="00D437E0">
            <w:pPr>
              <w:pStyle w:val="semespaamento"/>
              <w:keepLines/>
              <w:spacing w:before="120" w:after="120"/>
              <w:jc w:val="left"/>
              <w:rPr>
                <w:rFonts w:asciiTheme="majorHAnsi" w:hAnsiTheme="majorHAnsi" w:cstheme="minorHAnsi"/>
                <w:b w:val="0"/>
                <w:sz w:val="22"/>
                <w:szCs w:val="22"/>
                <w:lang w:val="pt-BR"/>
              </w:rPr>
            </w:pPr>
          </w:p>
        </w:tc>
        <w:tc>
          <w:tcPr>
            <w:tcW w:w="1139" w:type="pct"/>
            <w:tcBorders>
              <w:top w:val="single" w:sz="12" w:space="0" w:color="FFFFFF" w:themeColor="background1"/>
              <w:bottom w:val="single" w:sz="12" w:space="0" w:color="FFFFFF" w:themeColor="background1"/>
            </w:tcBorders>
            <w:shd w:val="clear" w:color="auto" w:fill="D9D9D9" w:themeFill="background1" w:themeFillShade="D9"/>
            <w:vAlign w:val="center"/>
          </w:tcPr>
          <w:p w14:paraId="02E59F0F" w14:textId="77777777" w:rsidR="00D437E0" w:rsidRPr="00D371A6" w:rsidRDefault="00D437E0" w:rsidP="00D437E0">
            <w:pPr>
              <w:pStyle w:val="semespaamento"/>
              <w:keepLines/>
              <w:spacing w:before="120" w:after="120"/>
              <w:jc w:val="center"/>
              <w:rPr>
                <w:rFonts w:asciiTheme="majorHAnsi" w:hAnsiTheme="majorHAnsi" w:cstheme="minorHAnsi"/>
                <w:b w:val="0"/>
                <w:sz w:val="22"/>
                <w:szCs w:val="22"/>
                <w:lang w:val="pt-BR"/>
              </w:rPr>
            </w:pPr>
          </w:p>
        </w:tc>
      </w:tr>
    </w:tbl>
    <w:p w14:paraId="7B75BF00" w14:textId="77777777" w:rsidR="00CC47FD" w:rsidRPr="00D437E0" w:rsidRDefault="00CC47FD" w:rsidP="00A254A9">
      <w:pPr>
        <w:spacing w:before="0" w:after="200" w:line="276" w:lineRule="auto"/>
        <w:rPr>
          <w:rFonts w:asciiTheme="majorHAnsi" w:hAnsiTheme="majorHAnsi"/>
        </w:rPr>
      </w:pPr>
    </w:p>
    <w:p w14:paraId="6F2D62FA" w14:textId="77777777" w:rsidR="00CC47FD" w:rsidRPr="00D437E0" w:rsidRDefault="00CC47FD" w:rsidP="00A254A9">
      <w:pPr>
        <w:spacing w:before="0" w:after="200" w:line="276" w:lineRule="auto"/>
        <w:rPr>
          <w:rFonts w:asciiTheme="majorHAnsi" w:hAnsiTheme="majorHAnsi"/>
        </w:rPr>
      </w:pPr>
      <w:r w:rsidRPr="00D437E0">
        <w:rPr>
          <w:rFonts w:asciiTheme="majorHAnsi" w:hAnsiTheme="majorHAnsi"/>
        </w:rPr>
        <w:br w:type="page"/>
      </w:r>
    </w:p>
    <w:sdt>
      <w:sdtPr>
        <w:rPr>
          <w:rFonts w:asciiTheme="majorHAnsi" w:hAnsiTheme="majorHAnsi" w:cstheme="minorHAnsi"/>
          <w:szCs w:val="20"/>
          <w:lang w:val="en-GB"/>
        </w:rPr>
        <w:id w:val="1632355350"/>
        <w:docPartObj>
          <w:docPartGallery w:val="Table of Contents"/>
          <w:docPartUnique/>
        </w:docPartObj>
      </w:sdtPr>
      <w:sdtEndPr>
        <w:rPr>
          <w:b/>
          <w:szCs w:val="22"/>
        </w:rPr>
      </w:sdtEndPr>
      <w:sdtContent>
        <w:p w14:paraId="3B3AF3F3" w14:textId="77777777" w:rsidR="004365B6" w:rsidRPr="00B1725D" w:rsidRDefault="00641FD8" w:rsidP="009877EC">
          <w:pPr>
            <w:jc w:val="center"/>
            <w:rPr>
              <w:rStyle w:val="NegritoVersaleteChar"/>
              <w:i w:val="0"/>
              <w:color w:val="auto"/>
              <w:lang w:val="en-GB"/>
            </w:rPr>
          </w:pPr>
          <w:r w:rsidRPr="00B1725D">
            <w:rPr>
              <w:rStyle w:val="NegritoVersaleteChar"/>
              <w:i w:val="0"/>
              <w:color w:val="auto"/>
              <w:lang w:val="en-GB"/>
            </w:rPr>
            <w:t>Sumário</w:t>
          </w:r>
        </w:p>
        <w:p w14:paraId="58A7938C" w14:textId="2C70E8F2" w:rsidR="003904DD" w:rsidRDefault="009B50F4">
          <w:pPr>
            <w:pStyle w:val="TOC1"/>
            <w:rPr>
              <w:rFonts w:asciiTheme="minorHAnsi" w:hAnsiTheme="minorHAnsi"/>
              <w:b w:val="0"/>
              <w:bCs w:val="0"/>
              <w:caps w:val="0"/>
              <w:lang w:val="en-US" w:eastAsia="en-US"/>
            </w:rPr>
          </w:pPr>
          <w:r>
            <w:rPr>
              <w:rFonts w:asciiTheme="majorHAnsi" w:eastAsia="SimSun" w:hAnsiTheme="majorHAnsi" w:cs="Calibri"/>
              <w:bCs w:val="0"/>
              <w:caps w:val="0"/>
              <w:kern w:val="32"/>
              <w:lang w:eastAsia="zh-CN"/>
            </w:rPr>
            <w:fldChar w:fldCharType="begin"/>
          </w:r>
          <w:r>
            <w:rPr>
              <w:rFonts w:asciiTheme="majorHAnsi" w:eastAsia="SimSun" w:hAnsiTheme="majorHAnsi" w:cs="Calibri"/>
              <w:bCs w:val="0"/>
              <w:caps w:val="0"/>
              <w:kern w:val="32"/>
              <w:lang w:eastAsia="zh-CN"/>
            </w:rPr>
            <w:instrText xml:space="preserve"> TOC \o "1-3" \h \z \u </w:instrText>
          </w:r>
          <w:r>
            <w:rPr>
              <w:rFonts w:asciiTheme="majorHAnsi" w:eastAsia="SimSun" w:hAnsiTheme="majorHAnsi" w:cs="Calibri"/>
              <w:bCs w:val="0"/>
              <w:caps w:val="0"/>
              <w:kern w:val="32"/>
              <w:lang w:eastAsia="zh-CN"/>
            </w:rPr>
            <w:fldChar w:fldCharType="separate"/>
          </w:r>
          <w:hyperlink w:anchor="_Toc523833874" w:history="1">
            <w:r w:rsidR="003904DD" w:rsidRPr="003D7146">
              <w:rPr>
                <w:rStyle w:val="Hyperlink"/>
              </w:rPr>
              <w:t>1.</w:t>
            </w:r>
            <w:r w:rsidR="003904DD">
              <w:rPr>
                <w:rFonts w:asciiTheme="minorHAnsi" w:hAnsiTheme="minorHAnsi"/>
                <w:b w:val="0"/>
                <w:bCs w:val="0"/>
                <w:caps w:val="0"/>
                <w:lang w:val="en-US" w:eastAsia="en-US"/>
              </w:rPr>
              <w:tab/>
            </w:r>
            <w:r w:rsidR="003904DD" w:rsidRPr="003D7146">
              <w:rPr>
                <w:rStyle w:val="Hyperlink"/>
              </w:rPr>
              <w:t>INTRODUÇÃO</w:t>
            </w:r>
            <w:r w:rsidR="003904DD">
              <w:rPr>
                <w:webHidden/>
              </w:rPr>
              <w:tab/>
            </w:r>
            <w:r w:rsidR="003904DD">
              <w:rPr>
                <w:webHidden/>
              </w:rPr>
              <w:fldChar w:fldCharType="begin"/>
            </w:r>
            <w:r w:rsidR="003904DD">
              <w:rPr>
                <w:webHidden/>
              </w:rPr>
              <w:instrText xml:space="preserve"> PAGEREF _Toc523833874 \h </w:instrText>
            </w:r>
            <w:r w:rsidR="003904DD">
              <w:rPr>
                <w:webHidden/>
              </w:rPr>
            </w:r>
            <w:r w:rsidR="003904DD">
              <w:rPr>
                <w:webHidden/>
              </w:rPr>
              <w:fldChar w:fldCharType="separate"/>
            </w:r>
            <w:r w:rsidR="003904DD">
              <w:rPr>
                <w:webHidden/>
              </w:rPr>
              <w:t>1</w:t>
            </w:r>
            <w:r w:rsidR="003904DD">
              <w:rPr>
                <w:webHidden/>
              </w:rPr>
              <w:fldChar w:fldCharType="end"/>
            </w:r>
          </w:hyperlink>
        </w:p>
        <w:p w14:paraId="2FD43EB2" w14:textId="3FE17F15" w:rsidR="003904DD" w:rsidRDefault="003904DD">
          <w:pPr>
            <w:pStyle w:val="TOC1"/>
            <w:rPr>
              <w:rFonts w:asciiTheme="minorHAnsi" w:hAnsiTheme="minorHAnsi"/>
              <w:b w:val="0"/>
              <w:bCs w:val="0"/>
              <w:caps w:val="0"/>
              <w:lang w:val="en-US" w:eastAsia="en-US"/>
            </w:rPr>
          </w:pPr>
          <w:hyperlink w:anchor="_Toc523833875" w:history="1">
            <w:r w:rsidRPr="003D7146">
              <w:rPr>
                <w:rStyle w:val="Hyperlink"/>
                <w:lang w:val="pt-BR"/>
              </w:rPr>
              <w:t>2.</w:t>
            </w:r>
            <w:r>
              <w:rPr>
                <w:rFonts w:asciiTheme="minorHAnsi" w:hAnsiTheme="minorHAnsi"/>
                <w:b w:val="0"/>
                <w:bCs w:val="0"/>
                <w:caps w:val="0"/>
                <w:lang w:val="en-US" w:eastAsia="en-US"/>
              </w:rPr>
              <w:tab/>
            </w:r>
            <w:r w:rsidRPr="003D7146">
              <w:rPr>
                <w:rStyle w:val="Hyperlink"/>
                <w:lang w:val="pt-BR"/>
              </w:rPr>
              <w:t>IDENTIFICAÇÃO DA INSTALAÇÃO E CARACTERIZAÇÃO DAS ATIVIDADES</w:t>
            </w:r>
            <w:r>
              <w:rPr>
                <w:webHidden/>
              </w:rPr>
              <w:tab/>
            </w:r>
            <w:r>
              <w:rPr>
                <w:webHidden/>
              </w:rPr>
              <w:fldChar w:fldCharType="begin"/>
            </w:r>
            <w:r>
              <w:rPr>
                <w:webHidden/>
              </w:rPr>
              <w:instrText xml:space="preserve"> PAGEREF _Toc523833875 \h </w:instrText>
            </w:r>
            <w:r>
              <w:rPr>
                <w:webHidden/>
              </w:rPr>
            </w:r>
            <w:r>
              <w:rPr>
                <w:webHidden/>
              </w:rPr>
              <w:fldChar w:fldCharType="separate"/>
            </w:r>
            <w:r>
              <w:rPr>
                <w:webHidden/>
              </w:rPr>
              <w:t>2</w:t>
            </w:r>
            <w:r>
              <w:rPr>
                <w:webHidden/>
              </w:rPr>
              <w:fldChar w:fldCharType="end"/>
            </w:r>
          </w:hyperlink>
        </w:p>
        <w:p w14:paraId="7C760E86" w14:textId="7DAD1FA0" w:rsidR="003904DD" w:rsidRDefault="003904DD">
          <w:pPr>
            <w:pStyle w:val="TOC1"/>
            <w:rPr>
              <w:rFonts w:asciiTheme="minorHAnsi" w:hAnsiTheme="minorHAnsi"/>
              <w:b w:val="0"/>
              <w:bCs w:val="0"/>
              <w:caps w:val="0"/>
              <w:lang w:val="en-US" w:eastAsia="en-US"/>
            </w:rPr>
          </w:pPr>
          <w:hyperlink w:anchor="_Toc523833876" w:history="1">
            <w:r w:rsidRPr="003D7146">
              <w:rPr>
                <w:rStyle w:val="Hyperlink"/>
              </w:rPr>
              <w:t>3.</w:t>
            </w:r>
            <w:r>
              <w:rPr>
                <w:rFonts w:asciiTheme="minorHAnsi" w:hAnsiTheme="minorHAnsi"/>
                <w:b w:val="0"/>
                <w:bCs w:val="0"/>
                <w:caps w:val="0"/>
                <w:lang w:val="en-US" w:eastAsia="en-US"/>
              </w:rPr>
              <w:tab/>
            </w:r>
            <w:r w:rsidRPr="003D7146">
              <w:rPr>
                <w:rStyle w:val="Hyperlink"/>
              </w:rPr>
              <w:t>CENÁRIOS ACIDENTAIS</w:t>
            </w:r>
            <w:r>
              <w:rPr>
                <w:webHidden/>
              </w:rPr>
              <w:tab/>
            </w:r>
            <w:r>
              <w:rPr>
                <w:webHidden/>
              </w:rPr>
              <w:fldChar w:fldCharType="begin"/>
            </w:r>
            <w:r>
              <w:rPr>
                <w:webHidden/>
              </w:rPr>
              <w:instrText xml:space="preserve"> PAGEREF _Toc523833876 \h </w:instrText>
            </w:r>
            <w:r>
              <w:rPr>
                <w:webHidden/>
              </w:rPr>
            </w:r>
            <w:r>
              <w:rPr>
                <w:webHidden/>
              </w:rPr>
              <w:fldChar w:fldCharType="separate"/>
            </w:r>
            <w:r>
              <w:rPr>
                <w:webHidden/>
              </w:rPr>
              <w:t>6</w:t>
            </w:r>
            <w:r>
              <w:rPr>
                <w:webHidden/>
              </w:rPr>
              <w:fldChar w:fldCharType="end"/>
            </w:r>
          </w:hyperlink>
        </w:p>
        <w:p w14:paraId="58181F0B" w14:textId="52E49D94" w:rsidR="003904DD" w:rsidRDefault="003904DD">
          <w:pPr>
            <w:pStyle w:val="TOC1"/>
            <w:rPr>
              <w:rFonts w:asciiTheme="minorHAnsi" w:hAnsiTheme="minorHAnsi"/>
              <w:b w:val="0"/>
              <w:bCs w:val="0"/>
              <w:caps w:val="0"/>
              <w:lang w:val="en-US" w:eastAsia="en-US"/>
            </w:rPr>
          </w:pPr>
          <w:hyperlink w:anchor="_Toc523833877" w:history="1">
            <w:r w:rsidRPr="003D7146">
              <w:rPr>
                <w:rStyle w:val="Hyperlink"/>
              </w:rPr>
              <w:t>4.</w:t>
            </w:r>
            <w:r>
              <w:rPr>
                <w:rFonts w:asciiTheme="minorHAnsi" w:hAnsiTheme="minorHAnsi"/>
                <w:b w:val="0"/>
                <w:bCs w:val="0"/>
                <w:caps w:val="0"/>
                <w:lang w:val="en-US" w:eastAsia="en-US"/>
              </w:rPr>
              <w:tab/>
            </w:r>
            <w:r w:rsidRPr="003D7146">
              <w:rPr>
                <w:rStyle w:val="Hyperlink"/>
              </w:rPr>
              <w:t>ANÁLISE DE VULNERABILIDADE</w:t>
            </w:r>
            <w:r>
              <w:rPr>
                <w:webHidden/>
              </w:rPr>
              <w:tab/>
            </w:r>
            <w:r>
              <w:rPr>
                <w:webHidden/>
              </w:rPr>
              <w:fldChar w:fldCharType="begin"/>
            </w:r>
            <w:r>
              <w:rPr>
                <w:webHidden/>
              </w:rPr>
              <w:instrText xml:space="preserve"> PAGEREF _Toc523833877 \h </w:instrText>
            </w:r>
            <w:r>
              <w:rPr>
                <w:webHidden/>
              </w:rPr>
            </w:r>
            <w:r>
              <w:rPr>
                <w:webHidden/>
              </w:rPr>
              <w:fldChar w:fldCharType="separate"/>
            </w:r>
            <w:r>
              <w:rPr>
                <w:webHidden/>
              </w:rPr>
              <w:t>11</w:t>
            </w:r>
            <w:r>
              <w:rPr>
                <w:webHidden/>
              </w:rPr>
              <w:fldChar w:fldCharType="end"/>
            </w:r>
          </w:hyperlink>
        </w:p>
        <w:p w14:paraId="306BC648" w14:textId="5F8B9C33" w:rsidR="003904DD" w:rsidRDefault="003904DD">
          <w:pPr>
            <w:pStyle w:val="TOC1"/>
            <w:rPr>
              <w:rFonts w:asciiTheme="minorHAnsi" w:hAnsiTheme="minorHAnsi"/>
              <w:b w:val="0"/>
              <w:bCs w:val="0"/>
              <w:caps w:val="0"/>
              <w:lang w:val="en-US" w:eastAsia="en-US"/>
            </w:rPr>
          </w:pPr>
          <w:hyperlink w:anchor="_Toc523833878" w:history="1">
            <w:r w:rsidRPr="003D7146">
              <w:rPr>
                <w:rStyle w:val="Hyperlink"/>
                <w:lang w:val="pt-BR"/>
              </w:rPr>
              <w:t>5.</w:t>
            </w:r>
            <w:r>
              <w:rPr>
                <w:rFonts w:asciiTheme="minorHAnsi" w:hAnsiTheme="minorHAnsi"/>
                <w:b w:val="0"/>
                <w:bCs w:val="0"/>
                <w:caps w:val="0"/>
                <w:lang w:val="en-US" w:eastAsia="en-US"/>
              </w:rPr>
              <w:tab/>
            </w:r>
            <w:r w:rsidRPr="003D7146">
              <w:rPr>
                <w:rStyle w:val="Hyperlink"/>
                <w:lang w:val="pt-BR"/>
              </w:rPr>
              <w:t>ESTRUTURA ORGANIZACIONAL DE RESPOSTA (EOR)</w:t>
            </w:r>
            <w:r>
              <w:rPr>
                <w:webHidden/>
              </w:rPr>
              <w:tab/>
            </w:r>
            <w:r>
              <w:rPr>
                <w:webHidden/>
              </w:rPr>
              <w:fldChar w:fldCharType="begin"/>
            </w:r>
            <w:r>
              <w:rPr>
                <w:webHidden/>
              </w:rPr>
              <w:instrText xml:space="preserve"> PAGEREF _Toc523833878 \h </w:instrText>
            </w:r>
            <w:r>
              <w:rPr>
                <w:webHidden/>
              </w:rPr>
            </w:r>
            <w:r>
              <w:rPr>
                <w:webHidden/>
              </w:rPr>
              <w:fldChar w:fldCharType="separate"/>
            </w:r>
            <w:r>
              <w:rPr>
                <w:webHidden/>
              </w:rPr>
              <w:t>14</w:t>
            </w:r>
            <w:r>
              <w:rPr>
                <w:webHidden/>
              </w:rPr>
              <w:fldChar w:fldCharType="end"/>
            </w:r>
          </w:hyperlink>
        </w:p>
        <w:p w14:paraId="31A29777" w14:textId="1803AFBE"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79" w:history="1">
            <w:r w:rsidRPr="003D7146">
              <w:rPr>
                <w:rStyle w:val="Hyperlink"/>
                <w:noProof/>
              </w:rPr>
              <w:t>5.1.</w:t>
            </w:r>
            <w:r>
              <w:rPr>
                <w:rFonts w:asciiTheme="minorHAnsi" w:hAnsiTheme="minorHAnsi"/>
                <w:b w:val="0"/>
                <w:bCs w:val="0"/>
                <w:smallCaps w:val="0"/>
                <w:noProof/>
                <w:lang w:val="en-US" w:eastAsia="en-US"/>
              </w:rPr>
              <w:tab/>
            </w:r>
            <w:r w:rsidRPr="003D7146">
              <w:rPr>
                <w:rStyle w:val="Hyperlink"/>
                <w:noProof/>
              </w:rPr>
              <w:t>Equipe de Gerenciamento de Incidentes (IMT)</w:t>
            </w:r>
            <w:r>
              <w:rPr>
                <w:noProof/>
                <w:webHidden/>
              </w:rPr>
              <w:tab/>
            </w:r>
            <w:r>
              <w:rPr>
                <w:noProof/>
                <w:webHidden/>
              </w:rPr>
              <w:fldChar w:fldCharType="begin"/>
            </w:r>
            <w:r>
              <w:rPr>
                <w:noProof/>
                <w:webHidden/>
              </w:rPr>
              <w:instrText xml:space="preserve"> PAGEREF _Toc523833879 \h </w:instrText>
            </w:r>
            <w:r>
              <w:rPr>
                <w:noProof/>
                <w:webHidden/>
              </w:rPr>
            </w:r>
            <w:r>
              <w:rPr>
                <w:noProof/>
                <w:webHidden/>
              </w:rPr>
              <w:fldChar w:fldCharType="separate"/>
            </w:r>
            <w:r>
              <w:rPr>
                <w:noProof/>
                <w:webHidden/>
              </w:rPr>
              <w:t>16</w:t>
            </w:r>
            <w:r>
              <w:rPr>
                <w:noProof/>
                <w:webHidden/>
              </w:rPr>
              <w:fldChar w:fldCharType="end"/>
            </w:r>
          </w:hyperlink>
        </w:p>
        <w:p w14:paraId="45998BDE" w14:textId="336B2A6F"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80" w:history="1">
            <w:r w:rsidRPr="003D7146">
              <w:rPr>
                <w:rStyle w:val="Hyperlink"/>
                <w:noProof/>
              </w:rPr>
              <w:t>5.2.</w:t>
            </w:r>
            <w:r>
              <w:rPr>
                <w:rFonts w:asciiTheme="minorHAnsi" w:hAnsiTheme="minorHAnsi"/>
                <w:b w:val="0"/>
                <w:bCs w:val="0"/>
                <w:smallCaps w:val="0"/>
                <w:noProof/>
                <w:lang w:val="en-US" w:eastAsia="en-US"/>
              </w:rPr>
              <w:tab/>
            </w:r>
            <w:r w:rsidRPr="003D7146">
              <w:rPr>
                <w:rStyle w:val="Hyperlink"/>
                <w:noProof/>
              </w:rPr>
              <w:t>Equipe de Resposta Tática (TRT)</w:t>
            </w:r>
            <w:r>
              <w:rPr>
                <w:noProof/>
                <w:webHidden/>
              </w:rPr>
              <w:tab/>
            </w:r>
            <w:r>
              <w:rPr>
                <w:noProof/>
                <w:webHidden/>
              </w:rPr>
              <w:fldChar w:fldCharType="begin"/>
            </w:r>
            <w:r>
              <w:rPr>
                <w:noProof/>
                <w:webHidden/>
              </w:rPr>
              <w:instrText xml:space="preserve"> PAGEREF _Toc523833880 \h </w:instrText>
            </w:r>
            <w:r>
              <w:rPr>
                <w:noProof/>
                <w:webHidden/>
              </w:rPr>
            </w:r>
            <w:r>
              <w:rPr>
                <w:noProof/>
                <w:webHidden/>
              </w:rPr>
              <w:fldChar w:fldCharType="separate"/>
            </w:r>
            <w:r>
              <w:rPr>
                <w:noProof/>
                <w:webHidden/>
              </w:rPr>
              <w:t>17</w:t>
            </w:r>
            <w:r>
              <w:rPr>
                <w:noProof/>
                <w:webHidden/>
              </w:rPr>
              <w:fldChar w:fldCharType="end"/>
            </w:r>
          </w:hyperlink>
        </w:p>
        <w:p w14:paraId="2E97A31C" w14:textId="178BFB2C"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81" w:history="1">
            <w:r w:rsidRPr="003D7146">
              <w:rPr>
                <w:rStyle w:val="Hyperlink"/>
                <w:noProof/>
              </w:rPr>
              <w:t>5.3.</w:t>
            </w:r>
            <w:r>
              <w:rPr>
                <w:rFonts w:asciiTheme="minorHAnsi" w:hAnsiTheme="minorHAnsi"/>
                <w:b w:val="0"/>
                <w:bCs w:val="0"/>
                <w:smallCaps w:val="0"/>
                <w:noProof/>
                <w:lang w:val="en-US" w:eastAsia="en-US"/>
              </w:rPr>
              <w:tab/>
            </w:r>
            <w:r w:rsidRPr="003D7146">
              <w:rPr>
                <w:rStyle w:val="Hyperlink"/>
                <w:noProof/>
              </w:rPr>
              <w:t>Equipe de Suporte à Continuidade da Capacidade Operacional (BST)</w:t>
            </w:r>
            <w:r>
              <w:rPr>
                <w:noProof/>
                <w:webHidden/>
              </w:rPr>
              <w:tab/>
            </w:r>
            <w:r>
              <w:rPr>
                <w:noProof/>
                <w:webHidden/>
              </w:rPr>
              <w:fldChar w:fldCharType="begin"/>
            </w:r>
            <w:r>
              <w:rPr>
                <w:noProof/>
                <w:webHidden/>
              </w:rPr>
              <w:instrText xml:space="preserve"> PAGEREF _Toc523833881 \h </w:instrText>
            </w:r>
            <w:r>
              <w:rPr>
                <w:noProof/>
                <w:webHidden/>
              </w:rPr>
            </w:r>
            <w:r>
              <w:rPr>
                <w:noProof/>
                <w:webHidden/>
              </w:rPr>
              <w:fldChar w:fldCharType="separate"/>
            </w:r>
            <w:r>
              <w:rPr>
                <w:noProof/>
                <w:webHidden/>
              </w:rPr>
              <w:t>20</w:t>
            </w:r>
            <w:r>
              <w:rPr>
                <w:noProof/>
                <w:webHidden/>
              </w:rPr>
              <w:fldChar w:fldCharType="end"/>
            </w:r>
          </w:hyperlink>
        </w:p>
        <w:p w14:paraId="0A592C63" w14:textId="1E9D3169" w:rsidR="003904DD" w:rsidRDefault="003904DD">
          <w:pPr>
            <w:pStyle w:val="TOC1"/>
            <w:rPr>
              <w:rFonts w:asciiTheme="minorHAnsi" w:hAnsiTheme="minorHAnsi"/>
              <w:b w:val="0"/>
              <w:bCs w:val="0"/>
              <w:caps w:val="0"/>
              <w:lang w:val="en-US" w:eastAsia="en-US"/>
            </w:rPr>
          </w:pPr>
          <w:hyperlink w:anchor="_Toc523833882" w:history="1">
            <w:r w:rsidRPr="003D7146">
              <w:rPr>
                <w:rStyle w:val="Hyperlink"/>
                <w:lang w:val="pt-BR"/>
              </w:rPr>
              <w:t>6.</w:t>
            </w:r>
            <w:r>
              <w:rPr>
                <w:rFonts w:asciiTheme="minorHAnsi" w:hAnsiTheme="minorHAnsi"/>
                <w:b w:val="0"/>
                <w:bCs w:val="0"/>
                <w:caps w:val="0"/>
                <w:lang w:val="en-US" w:eastAsia="en-US"/>
              </w:rPr>
              <w:tab/>
            </w:r>
            <w:r w:rsidRPr="003D7146">
              <w:rPr>
                <w:rStyle w:val="Hyperlink"/>
                <w:lang w:val="pt-BR"/>
              </w:rPr>
              <w:t>COMUNICAÇÃO INICIAL E MOBILIZAÇÃO DA EOR</w:t>
            </w:r>
            <w:r>
              <w:rPr>
                <w:webHidden/>
              </w:rPr>
              <w:tab/>
            </w:r>
            <w:r>
              <w:rPr>
                <w:webHidden/>
              </w:rPr>
              <w:fldChar w:fldCharType="begin"/>
            </w:r>
            <w:r>
              <w:rPr>
                <w:webHidden/>
              </w:rPr>
              <w:instrText xml:space="preserve"> PAGEREF _Toc523833882 \h </w:instrText>
            </w:r>
            <w:r>
              <w:rPr>
                <w:webHidden/>
              </w:rPr>
            </w:r>
            <w:r>
              <w:rPr>
                <w:webHidden/>
              </w:rPr>
              <w:fldChar w:fldCharType="separate"/>
            </w:r>
            <w:r>
              <w:rPr>
                <w:webHidden/>
              </w:rPr>
              <w:t>20</w:t>
            </w:r>
            <w:r>
              <w:rPr>
                <w:webHidden/>
              </w:rPr>
              <w:fldChar w:fldCharType="end"/>
            </w:r>
          </w:hyperlink>
        </w:p>
        <w:p w14:paraId="1A0882D2" w14:textId="56242B74" w:rsidR="003904DD" w:rsidRDefault="003904DD">
          <w:pPr>
            <w:pStyle w:val="TOC1"/>
            <w:rPr>
              <w:rFonts w:asciiTheme="minorHAnsi" w:hAnsiTheme="minorHAnsi"/>
              <w:b w:val="0"/>
              <w:bCs w:val="0"/>
              <w:caps w:val="0"/>
              <w:lang w:val="en-US" w:eastAsia="en-US"/>
            </w:rPr>
          </w:pPr>
          <w:hyperlink w:anchor="_Toc523833883" w:history="1">
            <w:r w:rsidRPr="003D7146">
              <w:rPr>
                <w:rStyle w:val="Hyperlink"/>
              </w:rPr>
              <w:t>7.</w:t>
            </w:r>
            <w:r>
              <w:rPr>
                <w:rFonts w:asciiTheme="minorHAnsi" w:hAnsiTheme="minorHAnsi"/>
                <w:b w:val="0"/>
                <w:bCs w:val="0"/>
                <w:caps w:val="0"/>
                <w:lang w:val="en-US" w:eastAsia="en-US"/>
              </w:rPr>
              <w:tab/>
            </w:r>
            <w:r w:rsidRPr="003D7146">
              <w:rPr>
                <w:rStyle w:val="Hyperlink"/>
              </w:rPr>
              <w:t>PROCEDIMENTOS DE GERENCIAMENTO DE INCIDENTES</w:t>
            </w:r>
            <w:r>
              <w:rPr>
                <w:webHidden/>
              </w:rPr>
              <w:tab/>
            </w:r>
            <w:r>
              <w:rPr>
                <w:webHidden/>
              </w:rPr>
              <w:fldChar w:fldCharType="begin"/>
            </w:r>
            <w:r>
              <w:rPr>
                <w:webHidden/>
              </w:rPr>
              <w:instrText xml:space="preserve"> PAGEREF _Toc523833883 \h </w:instrText>
            </w:r>
            <w:r>
              <w:rPr>
                <w:webHidden/>
              </w:rPr>
            </w:r>
            <w:r>
              <w:rPr>
                <w:webHidden/>
              </w:rPr>
              <w:fldChar w:fldCharType="separate"/>
            </w:r>
            <w:r>
              <w:rPr>
                <w:webHidden/>
              </w:rPr>
              <w:t>26</w:t>
            </w:r>
            <w:r>
              <w:rPr>
                <w:webHidden/>
              </w:rPr>
              <w:fldChar w:fldCharType="end"/>
            </w:r>
          </w:hyperlink>
        </w:p>
        <w:p w14:paraId="538F7640" w14:textId="7655D20C"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84" w:history="1">
            <w:r w:rsidRPr="003D7146">
              <w:rPr>
                <w:rStyle w:val="Hyperlink"/>
                <w:noProof/>
              </w:rPr>
              <w:t>7.1.</w:t>
            </w:r>
            <w:r>
              <w:rPr>
                <w:rFonts w:asciiTheme="minorHAnsi" w:hAnsiTheme="minorHAnsi"/>
                <w:b w:val="0"/>
                <w:bCs w:val="0"/>
                <w:smallCaps w:val="0"/>
                <w:noProof/>
                <w:lang w:val="en-US" w:eastAsia="en-US"/>
              </w:rPr>
              <w:tab/>
            </w:r>
            <w:r w:rsidRPr="003D7146">
              <w:rPr>
                <w:rStyle w:val="Hyperlink"/>
                <w:noProof/>
              </w:rPr>
              <w:t>Procedimentos para Gestão da Informação</w:t>
            </w:r>
            <w:r>
              <w:rPr>
                <w:noProof/>
                <w:webHidden/>
              </w:rPr>
              <w:tab/>
            </w:r>
            <w:r>
              <w:rPr>
                <w:noProof/>
                <w:webHidden/>
              </w:rPr>
              <w:fldChar w:fldCharType="begin"/>
            </w:r>
            <w:r>
              <w:rPr>
                <w:noProof/>
                <w:webHidden/>
              </w:rPr>
              <w:instrText xml:space="preserve"> PAGEREF _Toc523833884 \h </w:instrText>
            </w:r>
            <w:r>
              <w:rPr>
                <w:noProof/>
                <w:webHidden/>
              </w:rPr>
            </w:r>
            <w:r>
              <w:rPr>
                <w:noProof/>
                <w:webHidden/>
              </w:rPr>
              <w:fldChar w:fldCharType="separate"/>
            </w:r>
            <w:r>
              <w:rPr>
                <w:noProof/>
                <w:webHidden/>
              </w:rPr>
              <w:t>28</w:t>
            </w:r>
            <w:r>
              <w:rPr>
                <w:noProof/>
                <w:webHidden/>
              </w:rPr>
              <w:fldChar w:fldCharType="end"/>
            </w:r>
          </w:hyperlink>
        </w:p>
        <w:p w14:paraId="41B8456C" w14:textId="307922D9"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85" w:history="1">
            <w:r w:rsidRPr="003D7146">
              <w:rPr>
                <w:rStyle w:val="Hyperlink"/>
                <w:noProof/>
              </w:rPr>
              <w:t>7.2.</w:t>
            </w:r>
            <w:r>
              <w:rPr>
                <w:rFonts w:asciiTheme="minorHAnsi" w:hAnsiTheme="minorHAnsi"/>
                <w:b w:val="0"/>
                <w:bCs w:val="0"/>
                <w:smallCaps w:val="0"/>
                <w:noProof/>
                <w:lang w:val="en-US" w:eastAsia="en-US"/>
              </w:rPr>
              <w:tab/>
            </w:r>
            <w:r w:rsidRPr="003D7146">
              <w:rPr>
                <w:rStyle w:val="Hyperlink"/>
                <w:noProof/>
              </w:rPr>
              <w:t>Comunicações</w:t>
            </w:r>
            <w:r>
              <w:rPr>
                <w:noProof/>
                <w:webHidden/>
              </w:rPr>
              <w:tab/>
            </w:r>
            <w:r>
              <w:rPr>
                <w:noProof/>
                <w:webHidden/>
              </w:rPr>
              <w:fldChar w:fldCharType="begin"/>
            </w:r>
            <w:r>
              <w:rPr>
                <w:noProof/>
                <w:webHidden/>
              </w:rPr>
              <w:instrText xml:space="preserve"> PAGEREF _Toc523833885 \h </w:instrText>
            </w:r>
            <w:r>
              <w:rPr>
                <w:noProof/>
                <w:webHidden/>
              </w:rPr>
            </w:r>
            <w:r>
              <w:rPr>
                <w:noProof/>
                <w:webHidden/>
              </w:rPr>
              <w:fldChar w:fldCharType="separate"/>
            </w:r>
            <w:r>
              <w:rPr>
                <w:noProof/>
                <w:webHidden/>
              </w:rPr>
              <w:t>29</w:t>
            </w:r>
            <w:r>
              <w:rPr>
                <w:noProof/>
                <w:webHidden/>
              </w:rPr>
              <w:fldChar w:fldCharType="end"/>
            </w:r>
          </w:hyperlink>
        </w:p>
        <w:p w14:paraId="554C27B6" w14:textId="44F0A05C"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86" w:history="1">
            <w:r w:rsidRPr="003D7146">
              <w:rPr>
                <w:rStyle w:val="Hyperlink"/>
                <w:noProof/>
              </w:rPr>
              <w:t>7.2.1.</w:t>
            </w:r>
            <w:r>
              <w:rPr>
                <w:rFonts w:asciiTheme="minorHAnsi" w:hAnsiTheme="minorHAnsi"/>
                <w:b w:val="0"/>
                <w:smallCaps w:val="0"/>
                <w:noProof/>
                <w:lang w:val="en-US" w:eastAsia="en-US"/>
              </w:rPr>
              <w:tab/>
            </w:r>
            <w:r w:rsidRPr="003D7146">
              <w:rPr>
                <w:rStyle w:val="Hyperlink"/>
                <w:noProof/>
              </w:rPr>
              <w:t>Comunicação Interna</w:t>
            </w:r>
            <w:r>
              <w:rPr>
                <w:noProof/>
                <w:webHidden/>
              </w:rPr>
              <w:tab/>
            </w:r>
            <w:r>
              <w:rPr>
                <w:noProof/>
                <w:webHidden/>
              </w:rPr>
              <w:fldChar w:fldCharType="begin"/>
            </w:r>
            <w:r>
              <w:rPr>
                <w:noProof/>
                <w:webHidden/>
              </w:rPr>
              <w:instrText xml:space="preserve"> PAGEREF _Toc523833886 \h </w:instrText>
            </w:r>
            <w:r>
              <w:rPr>
                <w:noProof/>
                <w:webHidden/>
              </w:rPr>
            </w:r>
            <w:r>
              <w:rPr>
                <w:noProof/>
                <w:webHidden/>
              </w:rPr>
              <w:fldChar w:fldCharType="separate"/>
            </w:r>
            <w:r>
              <w:rPr>
                <w:noProof/>
                <w:webHidden/>
              </w:rPr>
              <w:t>31</w:t>
            </w:r>
            <w:r>
              <w:rPr>
                <w:noProof/>
                <w:webHidden/>
              </w:rPr>
              <w:fldChar w:fldCharType="end"/>
            </w:r>
          </w:hyperlink>
        </w:p>
        <w:p w14:paraId="659C4509" w14:textId="3B1D8503"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87" w:history="1">
            <w:r w:rsidRPr="003D7146">
              <w:rPr>
                <w:rStyle w:val="Hyperlink"/>
                <w:noProof/>
              </w:rPr>
              <w:t>7.2.2.</w:t>
            </w:r>
            <w:r>
              <w:rPr>
                <w:rFonts w:asciiTheme="minorHAnsi" w:hAnsiTheme="minorHAnsi"/>
                <w:b w:val="0"/>
                <w:smallCaps w:val="0"/>
                <w:noProof/>
                <w:lang w:val="en-US" w:eastAsia="en-US"/>
              </w:rPr>
              <w:tab/>
            </w:r>
            <w:r w:rsidRPr="003D7146">
              <w:rPr>
                <w:rStyle w:val="Hyperlink"/>
                <w:noProof/>
              </w:rPr>
              <w:t>Comunicações Externas</w:t>
            </w:r>
            <w:r>
              <w:rPr>
                <w:noProof/>
                <w:webHidden/>
              </w:rPr>
              <w:tab/>
            </w:r>
            <w:r>
              <w:rPr>
                <w:noProof/>
                <w:webHidden/>
              </w:rPr>
              <w:fldChar w:fldCharType="begin"/>
            </w:r>
            <w:r>
              <w:rPr>
                <w:noProof/>
                <w:webHidden/>
              </w:rPr>
              <w:instrText xml:space="preserve"> PAGEREF _Toc523833887 \h </w:instrText>
            </w:r>
            <w:r>
              <w:rPr>
                <w:noProof/>
                <w:webHidden/>
              </w:rPr>
            </w:r>
            <w:r>
              <w:rPr>
                <w:noProof/>
                <w:webHidden/>
              </w:rPr>
              <w:fldChar w:fldCharType="separate"/>
            </w:r>
            <w:r>
              <w:rPr>
                <w:noProof/>
                <w:webHidden/>
              </w:rPr>
              <w:t>36</w:t>
            </w:r>
            <w:r>
              <w:rPr>
                <w:noProof/>
                <w:webHidden/>
              </w:rPr>
              <w:fldChar w:fldCharType="end"/>
            </w:r>
          </w:hyperlink>
        </w:p>
        <w:p w14:paraId="371154E5" w14:textId="2FFBFCB5"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88" w:history="1">
            <w:r w:rsidRPr="003D7146">
              <w:rPr>
                <w:rStyle w:val="Hyperlink"/>
                <w:noProof/>
                <w:highlight w:val="lightGray"/>
              </w:rPr>
              <w:t>7.2.3.</w:t>
            </w:r>
            <w:r>
              <w:rPr>
                <w:rFonts w:asciiTheme="minorHAnsi" w:hAnsiTheme="minorHAnsi"/>
                <w:b w:val="0"/>
                <w:smallCaps w:val="0"/>
                <w:noProof/>
                <w:lang w:val="en-US" w:eastAsia="en-US"/>
              </w:rPr>
              <w:tab/>
            </w:r>
            <w:r w:rsidRPr="003D7146">
              <w:rPr>
                <w:rStyle w:val="Hyperlink"/>
                <w:noProof/>
                <w:highlight w:val="lightGray"/>
              </w:rPr>
              <w:t>Comunicações com Outros Países</w:t>
            </w:r>
            <w:r>
              <w:rPr>
                <w:noProof/>
                <w:webHidden/>
              </w:rPr>
              <w:tab/>
            </w:r>
            <w:r>
              <w:rPr>
                <w:noProof/>
                <w:webHidden/>
              </w:rPr>
              <w:fldChar w:fldCharType="begin"/>
            </w:r>
            <w:r>
              <w:rPr>
                <w:noProof/>
                <w:webHidden/>
              </w:rPr>
              <w:instrText xml:space="preserve"> PAGEREF _Toc523833888 \h </w:instrText>
            </w:r>
            <w:r>
              <w:rPr>
                <w:noProof/>
                <w:webHidden/>
              </w:rPr>
            </w:r>
            <w:r>
              <w:rPr>
                <w:noProof/>
                <w:webHidden/>
              </w:rPr>
              <w:fldChar w:fldCharType="separate"/>
            </w:r>
            <w:r>
              <w:rPr>
                <w:noProof/>
                <w:webHidden/>
              </w:rPr>
              <w:t>48</w:t>
            </w:r>
            <w:r>
              <w:rPr>
                <w:noProof/>
                <w:webHidden/>
              </w:rPr>
              <w:fldChar w:fldCharType="end"/>
            </w:r>
          </w:hyperlink>
        </w:p>
        <w:p w14:paraId="2EF29AE0" w14:textId="269DACE2"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89" w:history="1">
            <w:r w:rsidRPr="003D7146">
              <w:rPr>
                <w:rStyle w:val="Hyperlink"/>
                <w:noProof/>
              </w:rPr>
              <w:t>7.3.</w:t>
            </w:r>
            <w:r>
              <w:rPr>
                <w:rFonts w:asciiTheme="minorHAnsi" w:hAnsiTheme="minorHAnsi"/>
                <w:b w:val="0"/>
                <w:bCs w:val="0"/>
                <w:smallCaps w:val="0"/>
                <w:noProof/>
                <w:lang w:val="en-US" w:eastAsia="en-US"/>
              </w:rPr>
              <w:tab/>
            </w:r>
            <w:r w:rsidRPr="003D7146">
              <w:rPr>
                <w:rStyle w:val="Hyperlink"/>
                <w:noProof/>
              </w:rPr>
              <w:t>Procedimento para Gestão dos Recursos de Resposta</w:t>
            </w:r>
            <w:r>
              <w:rPr>
                <w:noProof/>
                <w:webHidden/>
              </w:rPr>
              <w:tab/>
            </w:r>
            <w:r>
              <w:rPr>
                <w:noProof/>
                <w:webHidden/>
              </w:rPr>
              <w:fldChar w:fldCharType="begin"/>
            </w:r>
            <w:r>
              <w:rPr>
                <w:noProof/>
                <w:webHidden/>
              </w:rPr>
              <w:instrText xml:space="preserve"> PAGEREF _Toc523833889 \h </w:instrText>
            </w:r>
            <w:r>
              <w:rPr>
                <w:noProof/>
                <w:webHidden/>
              </w:rPr>
            </w:r>
            <w:r>
              <w:rPr>
                <w:noProof/>
                <w:webHidden/>
              </w:rPr>
              <w:fldChar w:fldCharType="separate"/>
            </w:r>
            <w:r>
              <w:rPr>
                <w:noProof/>
                <w:webHidden/>
              </w:rPr>
              <w:t>49</w:t>
            </w:r>
            <w:r>
              <w:rPr>
                <w:noProof/>
                <w:webHidden/>
              </w:rPr>
              <w:fldChar w:fldCharType="end"/>
            </w:r>
          </w:hyperlink>
        </w:p>
        <w:p w14:paraId="2C2C5A5E" w14:textId="2BF13293"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0" w:history="1">
            <w:r w:rsidRPr="003D7146">
              <w:rPr>
                <w:rStyle w:val="Hyperlink"/>
                <w:noProof/>
              </w:rPr>
              <w:t>7.3.1.</w:t>
            </w:r>
            <w:r>
              <w:rPr>
                <w:rFonts w:asciiTheme="minorHAnsi" w:hAnsiTheme="minorHAnsi"/>
                <w:b w:val="0"/>
                <w:smallCaps w:val="0"/>
                <w:noProof/>
                <w:lang w:val="en-US" w:eastAsia="en-US"/>
              </w:rPr>
              <w:tab/>
            </w:r>
            <w:r w:rsidRPr="003D7146">
              <w:rPr>
                <w:rStyle w:val="Hyperlink"/>
                <w:noProof/>
              </w:rPr>
              <w:t>Mobilização de recursos táticos e instalações</w:t>
            </w:r>
            <w:r>
              <w:rPr>
                <w:noProof/>
                <w:webHidden/>
              </w:rPr>
              <w:tab/>
            </w:r>
            <w:r>
              <w:rPr>
                <w:noProof/>
                <w:webHidden/>
              </w:rPr>
              <w:fldChar w:fldCharType="begin"/>
            </w:r>
            <w:r>
              <w:rPr>
                <w:noProof/>
                <w:webHidden/>
              </w:rPr>
              <w:instrText xml:space="preserve"> PAGEREF _Toc523833890 \h </w:instrText>
            </w:r>
            <w:r>
              <w:rPr>
                <w:noProof/>
                <w:webHidden/>
              </w:rPr>
            </w:r>
            <w:r>
              <w:rPr>
                <w:noProof/>
                <w:webHidden/>
              </w:rPr>
              <w:fldChar w:fldCharType="separate"/>
            </w:r>
            <w:r>
              <w:rPr>
                <w:noProof/>
                <w:webHidden/>
              </w:rPr>
              <w:t>50</w:t>
            </w:r>
            <w:r>
              <w:rPr>
                <w:noProof/>
                <w:webHidden/>
              </w:rPr>
              <w:fldChar w:fldCharType="end"/>
            </w:r>
          </w:hyperlink>
        </w:p>
        <w:p w14:paraId="3C939D91" w14:textId="7665F279"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1" w:history="1">
            <w:r w:rsidRPr="003D7146">
              <w:rPr>
                <w:rStyle w:val="Hyperlink"/>
                <w:noProof/>
              </w:rPr>
              <w:t>7.3.2.</w:t>
            </w:r>
            <w:r>
              <w:rPr>
                <w:rFonts w:asciiTheme="minorHAnsi" w:hAnsiTheme="minorHAnsi"/>
                <w:b w:val="0"/>
                <w:smallCaps w:val="0"/>
                <w:noProof/>
                <w:lang w:val="en-US" w:eastAsia="en-US"/>
              </w:rPr>
              <w:tab/>
            </w:r>
            <w:r w:rsidRPr="003D7146">
              <w:rPr>
                <w:rStyle w:val="Hyperlink"/>
                <w:noProof/>
              </w:rPr>
              <w:t>Desmobilização de recursos e instalações</w:t>
            </w:r>
            <w:r>
              <w:rPr>
                <w:noProof/>
                <w:webHidden/>
              </w:rPr>
              <w:tab/>
            </w:r>
            <w:r>
              <w:rPr>
                <w:noProof/>
                <w:webHidden/>
              </w:rPr>
              <w:fldChar w:fldCharType="begin"/>
            </w:r>
            <w:r>
              <w:rPr>
                <w:noProof/>
                <w:webHidden/>
              </w:rPr>
              <w:instrText xml:space="preserve"> PAGEREF _Toc523833891 \h </w:instrText>
            </w:r>
            <w:r>
              <w:rPr>
                <w:noProof/>
                <w:webHidden/>
              </w:rPr>
            </w:r>
            <w:r>
              <w:rPr>
                <w:noProof/>
                <w:webHidden/>
              </w:rPr>
              <w:fldChar w:fldCharType="separate"/>
            </w:r>
            <w:r>
              <w:rPr>
                <w:noProof/>
                <w:webHidden/>
              </w:rPr>
              <w:t>52</w:t>
            </w:r>
            <w:r>
              <w:rPr>
                <w:noProof/>
                <w:webHidden/>
              </w:rPr>
              <w:fldChar w:fldCharType="end"/>
            </w:r>
          </w:hyperlink>
        </w:p>
        <w:p w14:paraId="0610A037" w14:textId="180A2C98"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2" w:history="1">
            <w:r w:rsidRPr="003D7146">
              <w:rPr>
                <w:rStyle w:val="Hyperlink"/>
                <w:noProof/>
              </w:rPr>
              <w:t>7.3.3.</w:t>
            </w:r>
            <w:r>
              <w:rPr>
                <w:rFonts w:asciiTheme="minorHAnsi" w:hAnsiTheme="minorHAnsi"/>
                <w:b w:val="0"/>
                <w:smallCaps w:val="0"/>
                <w:noProof/>
                <w:lang w:val="en-US" w:eastAsia="en-US"/>
              </w:rPr>
              <w:tab/>
            </w:r>
            <w:r w:rsidRPr="003D7146">
              <w:rPr>
                <w:rStyle w:val="Hyperlink"/>
                <w:noProof/>
              </w:rPr>
              <w:t>Descontaminação de recursos e instalações</w:t>
            </w:r>
            <w:r>
              <w:rPr>
                <w:noProof/>
                <w:webHidden/>
              </w:rPr>
              <w:tab/>
            </w:r>
            <w:r>
              <w:rPr>
                <w:noProof/>
                <w:webHidden/>
              </w:rPr>
              <w:fldChar w:fldCharType="begin"/>
            </w:r>
            <w:r>
              <w:rPr>
                <w:noProof/>
                <w:webHidden/>
              </w:rPr>
              <w:instrText xml:space="preserve"> PAGEREF _Toc523833892 \h </w:instrText>
            </w:r>
            <w:r>
              <w:rPr>
                <w:noProof/>
                <w:webHidden/>
              </w:rPr>
            </w:r>
            <w:r>
              <w:rPr>
                <w:noProof/>
                <w:webHidden/>
              </w:rPr>
              <w:fldChar w:fldCharType="separate"/>
            </w:r>
            <w:r>
              <w:rPr>
                <w:noProof/>
                <w:webHidden/>
              </w:rPr>
              <w:t>53</w:t>
            </w:r>
            <w:r>
              <w:rPr>
                <w:noProof/>
                <w:webHidden/>
              </w:rPr>
              <w:fldChar w:fldCharType="end"/>
            </w:r>
          </w:hyperlink>
        </w:p>
        <w:p w14:paraId="46DF1DF8" w14:textId="6584CD4D" w:rsidR="003904DD" w:rsidRDefault="003904DD">
          <w:pPr>
            <w:pStyle w:val="TOC1"/>
            <w:rPr>
              <w:rFonts w:asciiTheme="minorHAnsi" w:hAnsiTheme="minorHAnsi"/>
              <w:b w:val="0"/>
              <w:bCs w:val="0"/>
              <w:caps w:val="0"/>
              <w:lang w:val="en-US" w:eastAsia="en-US"/>
            </w:rPr>
          </w:pPr>
          <w:hyperlink w:anchor="_Toc523833893" w:history="1">
            <w:r w:rsidRPr="003D7146">
              <w:rPr>
                <w:rStyle w:val="Hyperlink"/>
              </w:rPr>
              <w:t>8.</w:t>
            </w:r>
            <w:r>
              <w:rPr>
                <w:rFonts w:asciiTheme="minorHAnsi" w:hAnsiTheme="minorHAnsi"/>
                <w:b w:val="0"/>
                <w:bCs w:val="0"/>
                <w:caps w:val="0"/>
                <w:lang w:val="en-US" w:eastAsia="en-US"/>
              </w:rPr>
              <w:tab/>
            </w:r>
            <w:r w:rsidRPr="003D7146">
              <w:rPr>
                <w:rStyle w:val="Hyperlink"/>
              </w:rPr>
              <w:t>PROCEDIMENTOS OPERACIONAIS DE RESPOSTA</w:t>
            </w:r>
            <w:r>
              <w:rPr>
                <w:webHidden/>
              </w:rPr>
              <w:tab/>
            </w:r>
            <w:r>
              <w:rPr>
                <w:webHidden/>
              </w:rPr>
              <w:fldChar w:fldCharType="begin"/>
            </w:r>
            <w:r>
              <w:rPr>
                <w:webHidden/>
              </w:rPr>
              <w:instrText xml:space="preserve"> PAGEREF _Toc523833893 \h </w:instrText>
            </w:r>
            <w:r>
              <w:rPr>
                <w:webHidden/>
              </w:rPr>
            </w:r>
            <w:r>
              <w:rPr>
                <w:webHidden/>
              </w:rPr>
              <w:fldChar w:fldCharType="separate"/>
            </w:r>
            <w:r>
              <w:rPr>
                <w:webHidden/>
              </w:rPr>
              <w:t>55</w:t>
            </w:r>
            <w:r>
              <w:rPr>
                <w:webHidden/>
              </w:rPr>
              <w:fldChar w:fldCharType="end"/>
            </w:r>
          </w:hyperlink>
        </w:p>
        <w:p w14:paraId="788D9193" w14:textId="06209742"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94" w:history="1">
            <w:r w:rsidRPr="003D7146">
              <w:rPr>
                <w:rStyle w:val="Hyperlink"/>
                <w:noProof/>
              </w:rPr>
              <w:t>8.1.</w:t>
            </w:r>
            <w:r>
              <w:rPr>
                <w:rFonts w:asciiTheme="minorHAnsi" w:hAnsiTheme="minorHAnsi"/>
                <w:b w:val="0"/>
                <w:bCs w:val="0"/>
                <w:smallCaps w:val="0"/>
                <w:noProof/>
                <w:lang w:val="en-US" w:eastAsia="en-US"/>
              </w:rPr>
              <w:tab/>
            </w:r>
            <w:r w:rsidRPr="003D7146">
              <w:rPr>
                <w:rStyle w:val="Hyperlink"/>
                <w:noProof/>
              </w:rPr>
              <w:t>Saúde e Segurança Durante as Operações de Resposta</w:t>
            </w:r>
            <w:r>
              <w:rPr>
                <w:noProof/>
                <w:webHidden/>
              </w:rPr>
              <w:tab/>
            </w:r>
            <w:r>
              <w:rPr>
                <w:noProof/>
                <w:webHidden/>
              </w:rPr>
              <w:fldChar w:fldCharType="begin"/>
            </w:r>
            <w:r>
              <w:rPr>
                <w:noProof/>
                <w:webHidden/>
              </w:rPr>
              <w:instrText xml:space="preserve"> PAGEREF _Toc523833894 \h </w:instrText>
            </w:r>
            <w:r>
              <w:rPr>
                <w:noProof/>
                <w:webHidden/>
              </w:rPr>
            </w:r>
            <w:r>
              <w:rPr>
                <w:noProof/>
                <w:webHidden/>
              </w:rPr>
              <w:fldChar w:fldCharType="separate"/>
            </w:r>
            <w:r>
              <w:rPr>
                <w:noProof/>
                <w:webHidden/>
              </w:rPr>
              <w:t>63</w:t>
            </w:r>
            <w:r>
              <w:rPr>
                <w:noProof/>
                <w:webHidden/>
              </w:rPr>
              <w:fldChar w:fldCharType="end"/>
            </w:r>
          </w:hyperlink>
        </w:p>
        <w:p w14:paraId="6A16B67A" w14:textId="6F1DF8FD"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95" w:history="1">
            <w:r w:rsidRPr="003D7146">
              <w:rPr>
                <w:rStyle w:val="Hyperlink"/>
                <w:noProof/>
              </w:rPr>
              <w:t>8.2.</w:t>
            </w:r>
            <w:r>
              <w:rPr>
                <w:rFonts w:asciiTheme="minorHAnsi" w:hAnsiTheme="minorHAnsi"/>
                <w:b w:val="0"/>
                <w:bCs w:val="0"/>
                <w:smallCaps w:val="0"/>
                <w:noProof/>
                <w:lang w:val="en-US" w:eastAsia="en-US"/>
              </w:rPr>
              <w:tab/>
            </w:r>
            <w:r w:rsidRPr="003D7146">
              <w:rPr>
                <w:rStyle w:val="Hyperlink"/>
                <w:noProof/>
              </w:rPr>
              <w:t>Sistema de Alerta e Procedimento para a Interrupção da Descarga de Óleo</w:t>
            </w:r>
            <w:r>
              <w:rPr>
                <w:noProof/>
                <w:webHidden/>
              </w:rPr>
              <w:tab/>
            </w:r>
            <w:r>
              <w:rPr>
                <w:noProof/>
                <w:webHidden/>
              </w:rPr>
              <w:fldChar w:fldCharType="begin"/>
            </w:r>
            <w:r>
              <w:rPr>
                <w:noProof/>
                <w:webHidden/>
              </w:rPr>
              <w:instrText xml:space="preserve"> PAGEREF _Toc523833895 \h </w:instrText>
            </w:r>
            <w:r>
              <w:rPr>
                <w:noProof/>
                <w:webHidden/>
              </w:rPr>
            </w:r>
            <w:r>
              <w:rPr>
                <w:noProof/>
                <w:webHidden/>
              </w:rPr>
              <w:fldChar w:fldCharType="separate"/>
            </w:r>
            <w:r>
              <w:rPr>
                <w:noProof/>
                <w:webHidden/>
              </w:rPr>
              <w:t>65</w:t>
            </w:r>
            <w:r>
              <w:rPr>
                <w:noProof/>
                <w:webHidden/>
              </w:rPr>
              <w:fldChar w:fldCharType="end"/>
            </w:r>
          </w:hyperlink>
        </w:p>
        <w:p w14:paraId="04634CC0" w14:textId="3E1C18D1"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896" w:history="1">
            <w:r w:rsidRPr="003D7146">
              <w:rPr>
                <w:rStyle w:val="Hyperlink"/>
                <w:noProof/>
              </w:rPr>
              <w:t>8.3.</w:t>
            </w:r>
            <w:r>
              <w:rPr>
                <w:rFonts w:asciiTheme="minorHAnsi" w:hAnsiTheme="minorHAnsi"/>
                <w:b w:val="0"/>
                <w:bCs w:val="0"/>
                <w:smallCaps w:val="0"/>
                <w:noProof/>
                <w:lang w:val="en-US" w:eastAsia="en-US"/>
              </w:rPr>
              <w:tab/>
            </w:r>
            <w:r w:rsidRPr="003D7146">
              <w:rPr>
                <w:rStyle w:val="Hyperlink"/>
                <w:noProof/>
              </w:rPr>
              <w:t>Procedimentos para Avaliação e Monitoramento da Mancha de Óleo</w:t>
            </w:r>
            <w:r>
              <w:rPr>
                <w:noProof/>
                <w:webHidden/>
              </w:rPr>
              <w:tab/>
            </w:r>
            <w:r>
              <w:rPr>
                <w:noProof/>
                <w:webHidden/>
              </w:rPr>
              <w:fldChar w:fldCharType="begin"/>
            </w:r>
            <w:r>
              <w:rPr>
                <w:noProof/>
                <w:webHidden/>
              </w:rPr>
              <w:instrText xml:space="preserve"> PAGEREF _Toc523833896 \h </w:instrText>
            </w:r>
            <w:r>
              <w:rPr>
                <w:noProof/>
                <w:webHidden/>
              </w:rPr>
            </w:r>
            <w:r>
              <w:rPr>
                <w:noProof/>
                <w:webHidden/>
              </w:rPr>
              <w:fldChar w:fldCharType="separate"/>
            </w:r>
            <w:r>
              <w:rPr>
                <w:noProof/>
                <w:webHidden/>
              </w:rPr>
              <w:t>70</w:t>
            </w:r>
            <w:r>
              <w:rPr>
                <w:noProof/>
                <w:webHidden/>
              </w:rPr>
              <w:fldChar w:fldCharType="end"/>
            </w:r>
          </w:hyperlink>
        </w:p>
        <w:p w14:paraId="708420D6" w14:textId="5E05356E"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7" w:history="1">
            <w:r w:rsidRPr="003D7146">
              <w:rPr>
                <w:rStyle w:val="Hyperlink"/>
                <w:noProof/>
              </w:rPr>
              <w:t>8.3.1.</w:t>
            </w:r>
            <w:r>
              <w:rPr>
                <w:rFonts w:asciiTheme="minorHAnsi" w:hAnsiTheme="minorHAnsi"/>
                <w:b w:val="0"/>
                <w:smallCaps w:val="0"/>
                <w:noProof/>
                <w:lang w:val="en-US" w:eastAsia="en-US"/>
              </w:rPr>
              <w:tab/>
            </w:r>
            <w:r w:rsidRPr="003D7146">
              <w:rPr>
                <w:rStyle w:val="Hyperlink"/>
                <w:noProof/>
              </w:rPr>
              <w:t>Observação Visual por Embarcação</w:t>
            </w:r>
            <w:r>
              <w:rPr>
                <w:noProof/>
                <w:webHidden/>
              </w:rPr>
              <w:tab/>
            </w:r>
            <w:r>
              <w:rPr>
                <w:noProof/>
                <w:webHidden/>
              </w:rPr>
              <w:fldChar w:fldCharType="begin"/>
            </w:r>
            <w:r>
              <w:rPr>
                <w:noProof/>
                <w:webHidden/>
              </w:rPr>
              <w:instrText xml:space="preserve"> PAGEREF _Toc523833897 \h </w:instrText>
            </w:r>
            <w:r>
              <w:rPr>
                <w:noProof/>
                <w:webHidden/>
              </w:rPr>
            </w:r>
            <w:r>
              <w:rPr>
                <w:noProof/>
                <w:webHidden/>
              </w:rPr>
              <w:fldChar w:fldCharType="separate"/>
            </w:r>
            <w:r>
              <w:rPr>
                <w:noProof/>
                <w:webHidden/>
              </w:rPr>
              <w:t>75</w:t>
            </w:r>
            <w:r>
              <w:rPr>
                <w:noProof/>
                <w:webHidden/>
              </w:rPr>
              <w:fldChar w:fldCharType="end"/>
            </w:r>
          </w:hyperlink>
        </w:p>
        <w:p w14:paraId="17ECAFB3" w14:textId="22183514"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8" w:history="1">
            <w:r w:rsidRPr="003D7146">
              <w:rPr>
                <w:rStyle w:val="Hyperlink"/>
                <w:noProof/>
              </w:rPr>
              <w:t>8.3.2.</w:t>
            </w:r>
            <w:r>
              <w:rPr>
                <w:rFonts w:asciiTheme="minorHAnsi" w:hAnsiTheme="minorHAnsi"/>
                <w:b w:val="0"/>
                <w:smallCaps w:val="0"/>
                <w:noProof/>
                <w:lang w:val="en-US" w:eastAsia="en-US"/>
              </w:rPr>
              <w:tab/>
            </w:r>
            <w:r w:rsidRPr="003D7146">
              <w:rPr>
                <w:rStyle w:val="Hyperlink"/>
                <w:noProof/>
              </w:rPr>
              <w:t>Observação Aérea (por sobrevôo)</w:t>
            </w:r>
            <w:r>
              <w:rPr>
                <w:noProof/>
                <w:webHidden/>
              </w:rPr>
              <w:tab/>
            </w:r>
            <w:r>
              <w:rPr>
                <w:noProof/>
                <w:webHidden/>
              </w:rPr>
              <w:fldChar w:fldCharType="begin"/>
            </w:r>
            <w:r>
              <w:rPr>
                <w:noProof/>
                <w:webHidden/>
              </w:rPr>
              <w:instrText xml:space="preserve"> PAGEREF _Toc523833898 \h </w:instrText>
            </w:r>
            <w:r>
              <w:rPr>
                <w:noProof/>
                <w:webHidden/>
              </w:rPr>
            </w:r>
            <w:r>
              <w:rPr>
                <w:noProof/>
                <w:webHidden/>
              </w:rPr>
              <w:fldChar w:fldCharType="separate"/>
            </w:r>
            <w:r>
              <w:rPr>
                <w:noProof/>
                <w:webHidden/>
              </w:rPr>
              <w:t>78</w:t>
            </w:r>
            <w:r>
              <w:rPr>
                <w:noProof/>
                <w:webHidden/>
              </w:rPr>
              <w:fldChar w:fldCharType="end"/>
            </w:r>
          </w:hyperlink>
        </w:p>
        <w:p w14:paraId="6E1D268A" w14:textId="5947F873"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899" w:history="1">
            <w:r w:rsidRPr="003D7146">
              <w:rPr>
                <w:rStyle w:val="Hyperlink"/>
                <w:noProof/>
              </w:rPr>
              <w:t>8.3.3.</w:t>
            </w:r>
            <w:r>
              <w:rPr>
                <w:rFonts w:asciiTheme="minorHAnsi" w:hAnsiTheme="minorHAnsi"/>
                <w:b w:val="0"/>
                <w:smallCaps w:val="0"/>
                <w:noProof/>
                <w:lang w:val="en-US" w:eastAsia="en-US"/>
              </w:rPr>
              <w:tab/>
            </w:r>
            <w:r w:rsidRPr="003D7146">
              <w:rPr>
                <w:rStyle w:val="Hyperlink"/>
                <w:noProof/>
              </w:rPr>
              <w:t>Sistemas de Detecção Automatizados de Óleo</w:t>
            </w:r>
            <w:r>
              <w:rPr>
                <w:noProof/>
                <w:webHidden/>
              </w:rPr>
              <w:tab/>
            </w:r>
            <w:r>
              <w:rPr>
                <w:noProof/>
                <w:webHidden/>
              </w:rPr>
              <w:fldChar w:fldCharType="begin"/>
            </w:r>
            <w:r>
              <w:rPr>
                <w:noProof/>
                <w:webHidden/>
              </w:rPr>
              <w:instrText xml:space="preserve"> PAGEREF _Toc523833899 \h </w:instrText>
            </w:r>
            <w:r>
              <w:rPr>
                <w:noProof/>
                <w:webHidden/>
              </w:rPr>
            </w:r>
            <w:r>
              <w:rPr>
                <w:noProof/>
                <w:webHidden/>
              </w:rPr>
              <w:fldChar w:fldCharType="separate"/>
            </w:r>
            <w:r>
              <w:rPr>
                <w:noProof/>
                <w:webHidden/>
              </w:rPr>
              <w:t>81</w:t>
            </w:r>
            <w:r>
              <w:rPr>
                <w:noProof/>
                <w:webHidden/>
              </w:rPr>
              <w:fldChar w:fldCharType="end"/>
            </w:r>
          </w:hyperlink>
        </w:p>
        <w:p w14:paraId="6F5C6508" w14:textId="3A664355"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0" w:history="1">
            <w:r w:rsidRPr="003D7146">
              <w:rPr>
                <w:rStyle w:val="Hyperlink"/>
                <w:noProof/>
              </w:rPr>
              <w:t>8.3.4.</w:t>
            </w:r>
            <w:r>
              <w:rPr>
                <w:rFonts w:asciiTheme="minorHAnsi" w:hAnsiTheme="minorHAnsi"/>
                <w:b w:val="0"/>
                <w:smallCaps w:val="0"/>
                <w:noProof/>
                <w:lang w:val="en-US" w:eastAsia="en-US"/>
              </w:rPr>
              <w:tab/>
            </w:r>
            <w:r w:rsidRPr="003D7146">
              <w:rPr>
                <w:rStyle w:val="Hyperlink"/>
                <w:noProof/>
              </w:rPr>
              <w:t>Bóias de Deriva (Drifting Buoys)</w:t>
            </w:r>
            <w:r>
              <w:rPr>
                <w:noProof/>
                <w:webHidden/>
              </w:rPr>
              <w:tab/>
            </w:r>
            <w:r>
              <w:rPr>
                <w:noProof/>
                <w:webHidden/>
              </w:rPr>
              <w:fldChar w:fldCharType="begin"/>
            </w:r>
            <w:r>
              <w:rPr>
                <w:noProof/>
                <w:webHidden/>
              </w:rPr>
              <w:instrText xml:space="preserve"> PAGEREF _Toc523833900 \h </w:instrText>
            </w:r>
            <w:r>
              <w:rPr>
                <w:noProof/>
                <w:webHidden/>
              </w:rPr>
            </w:r>
            <w:r>
              <w:rPr>
                <w:noProof/>
                <w:webHidden/>
              </w:rPr>
              <w:fldChar w:fldCharType="separate"/>
            </w:r>
            <w:r>
              <w:rPr>
                <w:noProof/>
                <w:webHidden/>
              </w:rPr>
              <w:t>82</w:t>
            </w:r>
            <w:r>
              <w:rPr>
                <w:noProof/>
                <w:webHidden/>
              </w:rPr>
              <w:fldChar w:fldCharType="end"/>
            </w:r>
          </w:hyperlink>
        </w:p>
        <w:p w14:paraId="469CC922" w14:textId="5176FA9A"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1" w:history="1">
            <w:r w:rsidRPr="003D7146">
              <w:rPr>
                <w:rStyle w:val="Hyperlink"/>
                <w:noProof/>
              </w:rPr>
              <w:t>8.3.5.</w:t>
            </w:r>
            <w:r>
              <w:rPr>
                <w:rFonts w:asciiTheme="minorHAnsi" w:hAnsiTheme="minorHAnsi"/>
                <w:b w:val="0"/>
                <w:smallCaps w:val="0"/>
                <w:noProof/>
                <w:lang w:val="en-US" w:eastAsia="en-US"/>
              </w:rPr>
              <w:tab/>
            </w:r>
            <w:r w:rsidRPr="003D7146">
              <w:rPr>
                <w:rStyle w:val="Hyperlink"/>
                <w:noProof/>
              </w:rPr>
              <w:t>Sensoriamento Remoto por Imagens de Satélite</w:t>
            </w:r>
            <w:r>
              <w:rPr>
                <w:noProof/>
                <w:webHidden/>
              </w:rPr>
              <w:tab/>
            </w:r>
            <w:r>
              <w:rPr>
                <w:noProof/>
                <w:webHidden/>
              </w:rPr>
              <w:fldChar w:fldCharType="begin"/>
            </w:r>
            <w:r>
              <w:rPr>
                <w:noProof/>
                <w:webHidden/>
              </w:rPr>
              <w:instrText xml:space="preserve"> PAGEREF _Toc523833901 \h </w:instrText>
            </w:r>
            <w:r>
              <w:rPr>
                <w:noProof/>
                <w:webHidden/>
              </w:rPr>
            </w:r>
            <w:r>
              <w:rPr>
                <w:noProof/>
                <w:webHidden/>
              </w:rPr>
              <w:fldChar w:fldCharType="separate"/>
            </w:r>
            <w:r>
              <w:rPr>
                <w:noProof/>
                <w:webHidden/>
              </w:rPr>
              <w:t>84</w:t>
            </w:r>
            <w:r>
              <w:rPr>
                <w:noProof/>
                <w:webHidden/>
              </w:rPr>
              <w:fldChar w:fldCharType="end"/>
            </w:r>
          </w:hyperlink>
        </w:p>
        <w:p w14:paraId="07DD067B" w14:textId="4D902ABB"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2" w:history="1">
            <w:r w:rsidRPr="003D7146">
              <w:rPr>
                <w:rStyle w:val="Hyperlink"/>
                <w:noProof/>
              </w:rPr>
              <w:t>8.3.6.</w:t>
            </w:r>
            <w:r>
              <w:rPr>
                <w:rFonts w:asciiTheme="minorHAnsi" w:hAnsiTheme="minorHAnsi"/>
                <w:b w:val="0"/>
                <w:smallCaps w:val="0"/>
                <w:noProof/>
                <w:lang w:val="en-US" w:eastAsia="en-US"/>
              </w:rPr>
              <w:tab/>
            </w:r>
            <w:r w:rsidRPr="003D7146">
              <w:rPr>
                <w:rStyle w:val="Hyperlink"/>
                <w:noProof/>
              </w:rPr>
              <w:t>Modelagem de Dispersão e Deriva de Óleo</w:t>
            </w:r>
            <w:r>
              <w:rPr>
                <w:noProof/>
                <w:webHidden/>
              </w:rPr>
              <w:tab/>
            </w:r>
            <w:r>
              <w:rPr>
                <w:noProof/>
                <w:webHidden/>
              </w:rPr>
              <w:fldChar w:fldCharType="begin"/>
            </w:r>
            <w:r>
              <w:rPr>
                <w:noProof/>
                <w:webHidden/>
              </w:rPr>
              <w:instrText xml:space="preserve"> PAGEREF _Toc523833902 \h </w:instrText>
            </w:r>
            <w:r>
              <w:rPr>
                <w:noProof/>
                <w:webHidden/>
              </w:rPr>
            </w:r>
            <w:r>
              <w:rPr>
                <w:noProof/>
                <w:webHidden/>
              </w:rPr>
              <w:fldChar w:fldCharType="separate"/>
            </w:r>
            <w:r>
              <w:rPr>
                <w:noProof/>
                <w:webHidden/>
              </w:rPr>
              <w:t>86</w:t>
            </w:r>
            <w:r>
              <w:rPr>
                <w:noProof/>
                <w:webHidden/>
              </w:rPr>
              <w:fldChar w:fldCharType="end"/>
            </w:r>
          </w:hyperlink>
        </w:p>
        <w:p w14:paraId="454E4A17" w14:textId="1603A087"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3" w:history="1">
            <w:r w:rsidRPr="003D7146">
              <w:rPr>
                <w:rStyle w:val="Hyperlink"/>
                <w:noProof/>
              </w:rPr>
              <w:t>8.3.7.</w:t>
            </w:r>
            <w:r>
              <w:rPr>
                <w:rFonts w:asciiTheme="minorHAnsi" w:hAnsiTheme="minorHAnsi"/>
                <w:b w:val="0"/>
                <w:smallCaps w:val="0"/>
                <w:noProof/>
                <w:lang w:val="en-US" w:eastAsia="en-US"/>
              </w:rPr>
              <w:tab/>
            </w:r>
            <w:r w:rsidRPr="003D7146">
              <w:rPr>
                <w:rStyle w:val="Hyperlink"/>
                <w:noProof/>
              </w:rPr>
              <w:t>Amostragem de Óleo</w:t>
            </w:r>
            <w:r>
              <w:rPr>
                <w:noProof/>
                <w:webHidden/>
              </w:rPr>
              <w:tab/>
            </w:r>
            <w:r>
              <w:rPr>
                <w:noProof/>
                <w:webHidden/>
              </w:rPr>
              <w:fldChar w:fldCharType="begin"/>
            </w:r>
            <w:r>
              <w:rPr>
                <w:noProof/>
                <w:webHidden/>
              </w:rPr>
              <w:instrText xml:space="preserve"> PAGEREF _Toc523833903 \h </w:instrText>
            </w:r>
            <w:r>
              <w:rPr>
                <w:noProof/>
                <w:webHidden/>
              </w:rPr>
            </w:r>
            <w:r>
              <w:rPr>
                <w:noProof/>
                <w:webHidden/>
              </w:rPr>
              <w:fldChar w:fldCharType="separate"/>
            </w:r>
            <w:r>
              <w:rPr>
                <w:noProof/>
                <w:webHidden/>
              </w:rPr>
              <w:t>89</w:t>
            </w:r>
            <w:r>
              <w:rPr>
                <w:noProof/>
                <w:webHidden/>
              </w:rPr>
              <w:fldChar w:fldCharType="end"/>
            </w:r>
          </w:hyperlink>
        </w:p>
        <w:p w14:paraId="677D310A" w14:textId="2D76F251"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04" w:history="1">
            <w:r w:rsidRPr="003D7146">
              <w:rPr>
                <w:rStyle w:val="Hyperlink"/>
                <w:noProof/>
              </w:rPr>
              <w:t>8.4.</w:t>
            </w:r>
            <w:r>
              <w:rPr>
                <w:rFonts w:asciiTheme="minorHAnsi" w:hAnsiTheme="minorHAnsi"/>
                <w:b w:val="0"/>
                <w:bCs w:val="0"/>
                <w:smallCaps w:val="0"/>
                <w:noProof/>
                <w:lang w:val="en-US" w:eastAsia="en-US"/>
              </w:rPr>
              <w:tab/>
            </w:r>
            <w:r w:rsidRPr="003D7146">
              <w:rPr>
                <w:rStyle w:val="Hyperlink"/>
                <w:noProof/>
              </w:rPr>
              <w:t>Procedimentos para Contenção e Recolhimento de Óleo Derramado</w:t>
            </w:r>
            <w:r>
              <w:rPr>
                <w:noProof/>
                <w:webHidden/>
              </w:rPr>
              <w:tab/>
            </w:r>
            <w:r>
              <w:rPr>
                <w:noProof/>
                <w:webHidden/>
              </w:rPr>
              <w:fldChar w:fldCharType="begin"/>
            </w:r>
            <w:r>
              <w:rPr>
                <w:noProof/>
                <w:webHidden/>
              </w:rPr>
              <w:instrText xml:space="preserve"> PAGEREF _Toc523833904 \h </w:instrText>
            </w:r>
            <w:r>
              <w:rPr>
                <w:noProof/>
                <w:webHidden/>
              </w:rPr>
            </w:r>
            <w:r>
              <w:rPr>
                <w:noProof/>
                <w:webHidden/>
              </w:rPr>
              <w:fldChar w:fldCharType="separate"/>
            </w:r>
            <w:r>
              <w:rPr>
                <w:noProof/>
                <w:webHidden/>
              </w:rPr>
              <w:t>89</w:t>
            </w:r>
            <w:r>
              <w:rPr>
                <w:noProof/>
                <w:webHidden/>
              </w:rPr>
              <w:fldChar w:fldCharType="end"/>
            </w:r>
          </w:hyperlink>
        </w:p>
        <w:p w14:paraId="48CF40EC" w14:textId="67C51EFC"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5" w:history="1">
            <w:r w:rsidRPr="003D7146">
              <w:rPr>
                <w:rStyle w:val="Hyperlink"/>
                <w:noProof/>
              </w:rPr>
              <w:t>8.4.1.</w:t>
            </w:r>
            <w:r>
              <w:rPr>
                <w:rFonts w:asciiTheme="minorHAnsi" w:hAnsiTheme="minorHAnsi"/>
                <w:b w:val="0"/>
                <w:smallCaps w:val="0"/>
                <w:noProof/>
                <w:lang w:val="en-US" w:eastAsia="en-US"/>
              </w:rPr>
              <w:tab/>
            </w:r>
            <w:r w:rsidRPr="003D7146">
              <w:rPr>
                <w:rStyle w:val="Hyperlink"/>
                <w:noProof/>
              </w:rPr>
              <w:t>Decantação</w:t>
            </w:r>
            <w:r>
              <w:rPr>
                <w:noProof/>
                <w:webHidden/>
              </w:rPr>
              <w:tab/>
            </w:r>
            <w:r>
              <w:rPr>
                <w:noProof/>
                <w:webHidden/>
              </w:rPr>
              <w:fldChar w:fldCharType="begin"/>
            </w:r>
            <w:r>
              <w:rPr>
                <w:noProof/>
                <w:webHidden/>
              </w:rPr>
              <w:instrText xml:space="preserve"> PAGEREF _Toc523833905 \h </w:instrText>
            </w:r>
            <w:r>
              <w:rPr>
                <w:noProof/>
                <w:webHidden/>
              </w:rPr>
            </w:r>
            <w:r>
              <w:rPr>
                <w:noProof/>
                <w:webHidden/>
              </w:rPr>
              <w:fldChar w:fldCharType="separate"/>
            </w:r>
            <w:r>
              <w:rPr>
                <w:noProof/>
                <w:webHidden/>
              </w:rPr>
              <w:t>93</w:t>
            </w:r>
            <w:r>
              <w:rPr>
                <w:noProof/>
                <w:webHidden/>
              </w:rPr>
              <w:fldChar w:fldCharType="end"/>
            </w:r>
          </w:hyperlink>
        </w:p>
        <w:p w14:paraId="51FA73FA" w14:textId="44184C18"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06" w:history="1">
            <w:r w:rsidRPr="003D7146">
              <w:rPr>
                <w:rStyle w:val="Hyperlink"/>
                <w:noProof/>
              </w:rPr>
              <w:t>8.5.</w:t>
            </w:r>
            <w:r>
              <w:rPr>
                <w:rFonts w:asciiTheme="minorHAnsi" w:hAnsiTheme="minorHAnsi"/>
                <w:b w:val="0"/>
                <w:bCs w:val="0"/>
                <w:smallCaps w:val="0"/>
                <w:noProof/>
                <w:lang w:val="en-US" w:eastAsia="en-US"/>
              </w:rPr>
              <w:tab/>
            </w:r>
            <w:r w:rsidRPr="003D7146">
              <w:rPr>
                <w:rStyle w:val="Hyperlink"/>
                <w:noProof/>
              </w:rPr>
              <w:t>Procedimentos para Dispersão Mecânica</w:t>
            </w:r>
            <w:r>
              <w:rPr>
                <w:noProof/>
                <w:webHidden/>
              </w:rPr>
              <w:tab/>
            </w:r>
            <w:r>
              <w:rPr>
                <w:noProof/>
                <w:webHidden/>
              </w:rPr>
              <w:fldChar w:fldCharType="begin"/>
            </w:r>
            <w:r>
              <w:rPr>
                <w:noProof/>
                <w:webHidden/>
              </w:rPr>
              <w:instrText xml:space="preserve"> PAGEREF _Toc523833906 \h </w:instrText>
            </w:r>
            <w:r>
              <w:rPr>
                <w:noProof/>
                <w:webHidden/>
              </w:rPr>
            </w:r>
            <w:r>
              <w:rPr>
                <w:noProof/>
                <w:webHidden/>
              </w:rPr>
              <w:fldChar w:fldCharType="separate"/>
            </w:r>
            <w:r>
              <w:rPr>
                <w:noProof/>
                <w:webHidden/>
              </w:rPr>
              <w:t>96</w:t>
            </w:r>
            <w:r>
              <w:rPr>
                <w:noProof/>
                <w:webHidden/>
              </w:rPr>
              <w:fldChar w:fldCharType="end"/>
            </w:r>
          </w:hyperlink>
        </w:p>
        <w:p w14:paraId="10401A49" w14:textId="1E7F0305"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07" w:history="1">
            <w:r w:rsidRPr="003D7146">
              <w:rPr>
                <w:rStyle w:val="Hyperlink"/>
                <w:noProof/>
              </w:rPr>
              <w:t>8.6.</w:t>
            </w:r>
            <w:r>
              <w:rPr>
                <w:rFonts w:asciiTheme="minorHAnsi" w:hAnsiTheme="minorHAnsi"/>
                <w:b w:val="0"/>
                <w:bCs w:val="0"/>
                <w:smallCaps w:val="0"/>
                <w:noProof/>
                <w:lang w:val="en-US" w:eastAsia="en-US"/>
              </w:rPr>
              <w:tab/>
            </w:r>
            <w:r w:rsidRPr="003D7146">
              <w:rPr>
                <w:rStyle w:val="Hyperlink"/>
                <w:noProof/>
              </w:rPr>
              <w:t>Procedimentos para Dispersão Química</w:t>
            </w:r>
            <w:r>
              <w:rPr>
                <w:noProof/>
                <w:webHidden/>
              </w:rPr>
              <w:tab/>
            </w:r>
            <w:r>
              <w:rPr>
                <w:noProof/>
                <w:webHidden/>
              </w:rPr>
              <w:fldChar w:fldCharType="begin"/>
            </w:r>
            <w:r>
              <w:rPr>
                <w:noProof/>
                <w:webHidden/>
              </w:rPr>
              <w:instrText xml:space="preserve"> PAGEREF _Toc523833907 \h </w:instrText>
            </w:r>
            <w:r>
              <w:rPr>
                <w:noProof/>
                <w:webHidden/>
              </w:rPr>
            </w:r>
            <w:r>
              <w:rPr>
                <w:noProof/>
                <w:webHidden/>
              </w:rPr>
              <w:fldChar w:fldCharType="separate"/>
            </w:r>
            <w:r>
              <w:rPr>
                <w:noProof/>
                <w:webHidden/>
              </w:rPr>
              <w:t>97</w:t>
            </w:r>
            <w:r>
              <w:rPr>
                <w:noProof/>
                <w:webHidden/>
              </w:rPr>
              <w:fldChar w:fldCharType="end"/>
            </w:r>
          </w:hyperlink>
        </w:p>
        <w:p w14:paraId="063D1B8B" w14:textId="0AF8CD9C"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8" w:history="1">
            <w:r w:rsidRPr="003D7146">
              <w:rPr>
                <w:rStyle w:val="Hyperlink"/>
                <w:noProof/>
              </w:rPr>
              <w:t>8.6.1.</w:t>
            </w:r>
            <w:r>
              <w:rPr>
                <w:rFonts w:asciiTheme="minorHAnsi" w:hAnsiTheme="minorHAnsi"/>
                <w:b w:val="0"/>
                <w:smallCaps w:val="0"/>
                <w:noProof/>
                <w:lang w:val="en-US" w:eastAsia="en-US"/>
              </w:rPr>
              <w:tab/>
            </w:r>
            <w:r w:rsidRPr="003D7146">
              <w:rPr>
                <w:rStyle w:val="Hyperlink"/>
                <w:noProof/>
              </w:rPr>
              <w:t>Aplicação de Dispersantes por Via Marítima</w:t>
            </w:r>
            <w:r>
              <w:rPr>
                <w:noProof/>
                <w:webHidden/>
              </w:rPr>
              <w:tab/>
            </w:r>
            <w:r>
              <w:rPr>
                <w:noProof/>
                <w:webHidden/>
              </w:rPr>
              <w:fldChar w:fldCharType="begin"/>
            </w:r>
            <w:r>
              <w:rPr>
                <w:noProof/>
                <w:webHidden/>
              </w:rPr>
              <w:instrText xml:space="preserve"> PAGEREF _Toc523833908 \h </w:instrText>
            </w:r>
            <w:r>
              <w:rPr>
                <w:noProof/>
                <w:webHidden/>
              </w:rPr>
            </w:r>
            <w:r>
              <w:rPr>
                <w:noProof/>
                <w:webHidden/>
              </w:rPr>
              <w:fldChar w:fldCharType="separate"/>
            </w:r>
            <w:r>
              <w:rPr>
                <w:noProof/>
                <w:webHidden/>
              </w:rPr>
              <w:t>103</w:t>
            </w:r>
            <w:r>
              <w:rPr>
                <w:noProof/>
                <w:webHidden/>
              </w:rPr>
              <w:fldChar w:fldCharType="end"/>
            </w:r>
          </w:hyperlink>
        </w:p>
        <w:p w14:paraId="71565FBC" w14:textId="0C81A7DC"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09" w:history="1">
            <w:r w:rsidRPr="003D7146">
              <w:rPr>
                <w:rStyle w:val="Hyperlink"/>
                <w:noProof/>
              </w:rPr>
              <w:t>8.6.2.</w:t>
            </w:r>
            <w:r>
              <w:rPr>
                <w:rFonts w:asciiTheme="minorHAnsi" w:hAnsiTheme="minorHAnsi"/>
                <w:b w:val="0"/>
                <w:smallCaps w:val="0"/>
                <w:noProof/>
                <w:lang w:val="en-US" w:eastAsia="en-US"/>
              </w:rPr>
              <w:tab/>
            </w:r>
            <w:r w:rsidRPr="003D7146">
              <w:rPr>
                <w:rStyle w:val="Hyperlink"/>
                <w:noProof/>
              </w:rPr>
              <w:t>Aplicação de Dispersantes por Via Aérea</w:t>
            </w:r>
            <w:r>
              <w:rPr>
                <w:noProof/>
                <w:webHidden/>
              </w:rPr>
              <w:tab/>
            </w:r>
            <w:r>
              <w:rPr>
                <w:noProof/>
                <w:webHidden/>
              </w:rPr>
              <w:fldChar w:fldCharType="begin"/>
            </w:r>
            <w:r>
              <w:rPr>
                <w:noProof/>
                <w:webHidden/>
              </w:rPr>
              <w:instrText xml:space="preserve"> PAGEREF _Toc523833909 \h </w:instrText>
            </w:r>
            <w:r>
              <w:rPr>
                <w:noProof/>
                <w:webHidden/>
              </w:rPr>
            </w:r>
            <w:r>
              <w:rPr>
                <w:noProof/>
                <w:webHidden/>
              </w:rPr>
              <w:fldChar w:fldCharType="separate"/>
            </w:r>
            <w:r>
              <w:rPr>
                <w:noProof/>
                <w:webHidden/>
              </w:rPr>
              <w:t>109</w:t>
            </w:r>
            <w:r>
              <w:rPr>
                <w:noProof/>
                <w:webHidden/>
              </w:rPr>
              <w:fldChar w:fldCharType="end"/>
            </w:r>
          </w:hyperlink>
        </w:p>
        <w:p w14:paraId="19A3B100" w14:textId="278C77CA" w:rsidR="003904DD" w:rsidRDefault="003904DD">
          <w:pPr>
            <w:pStyle w:val="TOC3"/>
            <w:tabs>
              <w:tab w:val="left" w:pos="1331"/>
              <w:tab w:val="right" w:leader="dot" w:pos="9060"/>
            </w:tabs>
            <w:rPr>
              <w:rFonts w:asciiTheme="minorHAnsi" w:hAnsiTheme="minorHAnsi"/>
              <w:b w:val="0"/>
              <w:smallCaps w:val="0"/>
              <w:noProof/>
              <w:lang w:val="en-US" w:eastAsia="en-US"/>
            </w:rPr>
          </w:pPr>
          <w:hyperlink w:anchor="_Toc523833910" w:history="1">
            <w:r w:rsidRPr="003D7146">
              <w:rPr>
                <w:rStyle w:val="Hyperlink"/>
                <w:noProof/>
              </w:rPr>
              <w:t>8.6.3.</w:t>
            </w:r>
            <w:r>
              <w:rPr>
                <w:rFonts w:asciiTheme="minorHAnsi" w:hAnsiTheme="minorHAnsi"/>
                <w:b w:val="0"/>
                <w:smallCaps w:val="0"/>
                <w:noProof/>
                <w:lang w:val="en-US" w:eastAsia="en-US"/>
              </w:rPr>
              <w:tab/>
            </w:r>
            <w:r w:rsidRPr="003D7146">
              <w:rPr>
                <w:rStyle w:val="Hyperlink"/>
                <w:noProof/>
              </w:rPr>
              <w:t>Aplicação de Dispersantes em Profundidade</w:t>
            </w:r>
            <w:r>
              <w:rPr>
                <w:noProof/>
                <w:webHidden/>
              </w:rPr>
              <w:tab/>
            </w:r>
            <w:r>
              <w:rPr>
                <w:noProof/>
                <w:webHidden/>
              </w:rPr>
              <w:fldChar w:fldCharType="begin"/>
            </w:r>
            <w:r>
              <w:rPr>
                <w:noProof/>
                <w:webHidden/>
              </w:rPr>
              <w:instrText xml:space="preserve"> PAGEREF _Toc523833910 \h </w:instrText>
            </w:r>
            <w:r>
              <w:rPr>
                <w:noProof/>
                <w:webHidden/>
              </w:rPr>
            </w:r>
            <w:r>
              <w:rPr>
                <w:noProof/>
                <w:webHidden/>
              </w:rPr>
              <w:fldChar w:fldCharType="separate"/>
            </w:r>
            <w:r>
              <w:rPr>
                <w:noProof/>
                <w:webHidden/>
              </w:rPr>
              <w:t>112</w:t>
            </w:r>
            <w:r>
              <w:rPr>
                <w:noProof/>
                <w:webHidden/>
              </w:rPr>
              <w:fldChar w:fldCharType="end"/>
            </w:r>
          </w:hyperlink>
        </w:p>
        <w:p w14:paraId="37CA10A9" w14:textId="7EFF73D2"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11" w:history="1">
            <w:r w:rsidRPr="003D7146">
              <w:rPr>
                <w:rStyle w:val="Hyperlink"/>
                <w:noProof/>
              </w:rPr>
              <w:t>8.7.</w:t>
            </w:r>
            <w:r>
              <w:rPr>
                <w:rFonts w:asciiTheme="minorHAnsi" w:hAnsiTheme="minorHAnsi"/>
                <w:b w:val="0"/>
                <w:bCs w:val="0"/>
                <w:smallCaps w:val="0"/>
                <w:noProof/>
                <w:lang w:val="en-US" w:eastAsia="en-US"/>
              </w:rPr>
              <w:tab/>
            </w:r>
            <w:r w:rsidRPr="003D7146">
              <w:rPr>
                <w:rStyle w:val="Hyperlink"/>
                <w:noProof/>
              </w:rPr>
              <w:t>Procedimentos para Proteção das Populações</w:t>
            </w:r>
            <w:r>
              <w:rPr>
                <w:noProof/>
                <w:webHidden/>
              </w:rPr>
              <w:tab/>
            </w:r>
            <w:r>
              <w:rPr>
                <w:noProof/>
                <w:webHidden/>
              </w:rPr>
              <w:fldChar w:fldCharType="begin"/>
            </w:r>
            <w:r>
              <w:rPr>
                <w:noProof/>
                <w:webHidden/>
              </w:rPr>
              <w:instrText xml:space="preserve"> PAGEREF _Toc523833911 \h </w:instrText>
            </w:r>
            <w:r>
              <w:rPr>
                <w:noProof/>
                <w:webHidden/>
              </w:rPr>
            </w:r>
            <w:r>
              <w:rPr>
                <w:noProof/>
                <w:webHidden/>
              </w:rPr>
              <w:fldChar w:fldCharType="separate"/>
            </w:r>
            <w:r>
              <w:rPr>
                <w:noProof/>
                <w:webHidden/>
              </w:rPr>
              <w:t>113</w:t>
            </w:r>
            <w:r>
              <w:rPr>
                <w:noProof/>
                <w:webHidden/>
              </w:rPr>
              <w:fldChar w:fldCharType="end"/>
            </w:r>
          </w:hyperlink>
        </w:p>
        <w:p w14:paraId="5DEDFE0E" w14:textId="2B8BF22C"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12" w:history="1">
            <w:r w:rsidRPr="003D7146">
              <w:rPr>
                <w:rStyle w:val="Hyperlink"/>
                <w:noProof/>
              </w:rPr>
              <w:t>8.8.</w:t>
            </w:r>
            <w:r>
              <w:rPr>
                <w:rFonts w:asciiTheme="minorHAnsi" w:hAnsiTheme="minorHAnsi"/>
                <w:b w:val="0"/>
                <w:bCs w:val="0"/>
                <w:smallCaps w:val="0"/>
                <w:noProof/>
                <w:lang w:val="en-US" w:eastAsia="en-US"/>
              </w:rPr>
              <w:tab/>
            </w:r>
            <w:r w:rsidRPr="003D7146">
              <w:rPr>
                <w:rStyle w:val="Hyperlink"/>
                <w:noProof/>
              </w:rPr>
              <w:t>Procedimentos para a Proteção de Áreas Vulneráveis e Limpeza de Áreas Atingidas</w:t>
            </w:r>
            <w:r>
              <w:rPr>
                <w:noProof/>
                <w:webHidden/>
              </w:rPr>
              <w:tab/>
            </w:r>
            <w:r>
              <w:rPr>
                <w:noProof/>
                <w:webHidden/>
              </w:rPr>
              <w:fldChar w:fldCharType="begin"/>
            </w:r>
            <w:r>
              <w:rPr>
                <w:noProof/>
                <w:webHidden/>
              </w:rPr>
              <w:instrText xml:space="preserve"> PAGEREF _Toc523833912 \h </w:instrText>
            </w:r>
            <w:r>
              <w:rPr>
                <w:noProof/>
                <w:webHidden/>
              </w:rPr>
            </w:r>
            <w:r>
              <w:rPr>
                <w:noProof/>
                <w:webHidden/>
              </w:rPr>
              <w:fldChar w:fldCharType="separate"/>
            </w:r>
            <w:r>
              <w:rPr>
                <w:noProof/>
                <w:webHidden/>
              </w:rPr>
              <w:t>115</w:t>
            </w:r>
            <w:r>
              <w:rPr>
                <w:noProof/>
                <w:webHidden/>
              </w:rPr>
              <w:fldChar w:fldCharType="end"/>
            </w:r>
          </w:hyperlink>
        </w:p>
        <w:p w14:paraId="0E38570D" w14:textId="05625E93"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13" w:history="1">
            <w:r w:rsidRPr="003D7146">
              <w:rPr>
                <w:rStyle w:val="Hyperlink"/>
                <w:noProof/>
              </w:rPr>
              <w:t>8.9.</w:t>
            </w:r>
            <w:r>
              <w:rPr>
                <w:rFonts w:asciiTheme="minorHAnsi" w:hAnsiTheme="minorHAnsi"/>
                <w:b w:val="0"/>
                <w:bCs w:val="0"/>
                <w:smallCaps w:val="0"/>
                <w:noProof/>
                <w:lang w:val="en-US" w:eastAsia="en-US"/>
              </w:rPr>
              <w:tab/>
            </w:r>
            <w:r w:rsidRPr="003D7146">
              <w:rPr>
                <w:rStyle w:val="Hyperlink"/>
                <w:noProof/>
              </w:rPr>
              <w:t>Procedimentos para a Proteção à Fauna</w:t>
            </w:r>
            <w:r>
              <w:rPr>
                <w:noProof/>
                <w:webHidden/>
              </w:rPr>
              <w:tab/>
            </w:r>
            <w:r>
              <w:rPr>
                <w:noProof/>
                <w:webHidden/>
              </w:rPr>
              <w:fldChar w:fldCharType="begin"/>
            </w:r>
            <w:r>
              <w:rPr>
                <w:noProof/>
                <w:webHidden/>
              </w:rPr>
              <w:instrText xml:space="preserve"> PAGEREF _Toc523833913 \h </w:instrText>
            </w:r>
            <w:r>
              <w:rPr>
                <w:noProof/>
                <w:webHidden/>
              </w:rPr>
            </w:r>
            <w:r>
              <w:rPr>
                <w:noProof/>
                <w:webHidden/>
              </w:rPr>
              <w:fldChar w:fldCharType="separate"/>
            </w:r>
            <w:r>
              <w:rPr>
                <w:noProof/>
                <w:webHidden/>
              </w:rPr>
              <w:t>116</w:t>
            </w:r>
            <w:r>
              <w:rPr>
                <w:noProof/>
                <w:webHidden/>
              </w:rPr>
              <w:fldChar w:fldCharType="end"/>
            </w:r>
          </w:hyperlink>
        </w:p>
        <w:p w14:paraId="227039C8" w14:textId="2675D767" w:rsidR="003904DD" w:rsidRDefault="003904DD">
          <w:pPr>
            <w:pStyle w:val="TOC2"/>
            <w:tabs>
              <w:tab w:val="left" w:pos="1138"/>
              <w:tab w:val="right" w:leader="dot" w:pos="9060"/>
            </w:tabs>
            <w:rPr>
              <w:rFonts w:asciiTheme="minorHAnsi" w:hAnsiTheme="minorHAnsi"/>
              <w:b w:val="0"/>
              <w:bCs w:val="0"/>
              <w:smallCaps w:val="0"/>
              <w:noProof/>
              <w:lang w:val="en-US" w:eastAsia="en-US"/>
            </w:rPr>
          </w:pPr>
          <w:hyperlink w:anchor="_Toc523833914" w:history="1">
            <w:r w:rsidRPr="003D7146">
              <w:rPr>
                <w:rStyle w:val="Hyperlink"/>
                <w:noProof/>
              </w:rPr>
              <w:t>8.10.</w:t>
            </w:r>
            <w:r>
              <w:rPr>
                <w:rFonts w:asciiTheme="minorHAnsi" w:hAnsiTheme="minorHAnsi"/>
                <w:b w:val="0"/>
                <w:bCs w:val="0"/>
                <w:smallCaps w:val="0"/>
                <w:noProof/>
                <w:lang w:val="en-US" w:eastAsia="en-US"/>
              </w:rPr>
              <w:tab/>
            </w:r>
            <w:r w:rsidRPr="003D7146">
              <w:rPr>
                <w:rStyle w:val="Hyperlink"/>
                <w:noProof/>
              </w:rPr>
              <w:t>Procedimento para Coleta e Destinação Final dos Resíduos Gerados</w:t>
            </w:r>
            <w:r>
              <w:rPr>
                <w:noProof/>
                <w:webHidden/>
              </w:rPr>
              <w:tab/>
            </w:r>
            <w:r>
              <w:rPr>
                <w:noProof/>
                <w:webHidden/>
              </w:rPr>
              <w:fldChar w:fldCharType="begin"/>
            </w:r>
            <w:r>
              <w:rPr>
                <w:noProof/>
                <w:webHidden/>
              </w:rPr>
              <w:instrText xml:space="preserve"> PAGEREF _Toc523833914 \h </w:instrText>
            </w:r>
            <w:r>
              <w:rPr>
                <w:noProof/>
                <w:webHidden/>
              </w:rPr>
            </w:r>
            <w:r>
              <w:rPr>
                <w:noProof/>
                <w:webHidden/>
              </w:rPr>
              <w:fldChar w:fldCharType="separate"/>
            </w:r>
            <w:r>
              <w:rPr>
                <w:noProof/>
                <w:webHidden/>
              </w:rPr>
              <w:t>117</w:t>
            </w:r>
            <w:r>
              <w:rPr>
                <w:noProof/>
                <w:webHidden/>
              </w:rPr>
              <w:fldChar w:fldCharType="end"/>
            </w:r>
          </w:hyperlink>
        </w:p>
        <w:p w14:paraId="46658001" w14:textId="3D1A4C27" w:rsidR="003904DD" w:rsidRDefault="003904DD">
          <w:pPr>
            <w:pStyle w:val="TOC1"/>
            <w:rPr>
              <w:rFonts w:asciiTheme="minorHAnsi" w:hAnsiTheme="minorHAnsi"/>
              <w:b w:val="0"/>
              <w:bCs w:val="0"/>
              <w:caps w:val="0"/>
              <w:lang w:val="en-US" w:eastAsia="en-US"/>
            </w:rPr>
          </w:pPr>
          <w:hyperlink w:anchor="_Toc523833915" w:history="1">
            <w:r w:rsidRPr="003D7146">
              <w:rPr>
                <w:rStyle w:val="Hyperlink"/>
              </w:rPr>
              <w:t>9.</w:t>
            </w:r>
            <w:r>
              <w:rPr>
                <w:rFonts w:asciiTheme="minorHAnsi" w:hAnsiTheme="minorHAnsi"/>
                <w:b w:val="0"/>
                <w:bCs w:val="0"/>
                <w:caps w:val="0"/>
                <w:lang w:val="en-US" w:eastAsia="en-US"/>
              </w:rPr>
              <w:tab/>
            </w:r>
            <w:r w:rsidRPr="003D7146">
              <w:rPr>
                <w:rStyle w:val="Hyperlink"/>
              </w:rPr>
              <w:t>MANUTENÇÃO DA RESPOSTA POR 30 DIAS</w:t>
            </w:r>
            <w:r>
              <w:rPr>
                <w:webHidden/>
              </w:rPr>
              <w:tab/>
            </w:r>
            <w:r>
              <w:rPr>
                <w:webHidden/>
              </w:rPr>
              <w:fldChar w:fldCharType="begin"/>
            </w:r>
            <w:r>
              <w:rPr>
                <w:webHidden/>
              </w:rPr>
              <w:instrText xml:space="preserve"> PAGEREF _Toc523833915 \h </w:instrText>
            </w:r>
            <w:r>
              <w:rPr>
                <w:webHidden/>
              </w:rPr>
            </w:r>
            <w:r>
              <w:rPr>
                <w:webHidden/>
              </w:rPr>
              <w:fldChar w:fldCharType="separate"/>
            </w:r>
            <w:r>
              <w:rPr>
                <w:webHidden/>
              </w:rPr>
              <w:t>124</w:t>
            </w:r>
            <w:r>
              <w:rPr>
                <w:webHidden/>
              </w:rPr>
              <w:fldChar w:fldCharType="end"/>
            </w:r>
          </w:hyperlink>
        </w:p>
        <w:p w14:paraId="3EEC71BE" w14:textId="6951864B"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16" w:history="1">
            <w:r w:rsidRPr="003D7146">
              <w:rPr>
                <w:rStyle w:val="Hyperlink"/>
                <w:noProof/>
              </w:rPr>
              <w:t>9.1.</w:t>
            </w:r>
            <w:r>
              <w:rPr>
                <w:rFonts w:asciiTheme="minorHAnsi" w:hAnsiTheme="minorHAnsi"/>
                <w:b w:val="0"/>
                <w:bCs w:val="0"/>
                <w:smallCaps w:val="0"/>
                <w:noProof/>
                <w:lang w:val="en-US" w:eastAsia="en-US"/>
              </w:rPr>
              <w:tab/>
            </w:r>
            <w:r w:rsidRPr="003D7146">
              <w:rPr>
                <w:rStyle w:val="Hyperlink"/>
                <w:noProof/>
              </w:rPr>
              <w:t>Manutenção da Estrutura Organizacional de Resposta</w:t>
            </w:r>
            <w:r>
              <w:rPr>
                <w:noProof/>
                <w:webHidden/>
              </w:rPr>
              <w:tab/>
            </w:r>
            <w:r>
              <w:rPr>
                <w:noProof/>
                <w:webHidden/>
              </w:rPr>
              <w:fldChar w:fldCharType="begin"/>
            </w:r>
            <w:r>
              <w:rPr>
                <w:noProof/>
                <w:webHidden/>
              </w:rPr>
              <w:instrText xml:space="preserve"> PAGEREF _Toc523833916 \h </w:instrText>
            </w:r>
            <w:r>
              <w:rPr>
                <w:noProof/>
                <w:webHidden/>
              </w:rPr>
            </w:r>
            <w:r>
              <w:rPr>
                <w:noProof/>
                <w:webHidden/>
              </w:rPr>
              <w:fldChar w:fldCharType="separate"/>
            </w:r>
            <w:r>
              <w:rPr>
                <w:noProof/>
                <w:webHidden/>
              </w:rPr>
              <w:t>124</w:t>
            </w:r>
            <w:r>
              <w:rPr>
                <w:noProof/>
                <w:webHidden/>
              </w:rPr>
              <w:fldChar w:fldCharType="end"/>
            </w:r>
          </w:hyperlink>
        </w:p>
        <w:p w14:paraId="0FD45587" w14:textId="003B218C" w:rsidR="003904DD" w:rsidRDefault="003904DD">
          <w:pPr>
            <w:pStyle w:val="TOC2"/>
            <w:tabs>
              <w:tab w:val="left" w:pos="1008"/>
              <w:tab w:val="right" w:leader="dot" w:pos="9060"/>
            </w:tabs>
            <w:rPr>
              <w:rFonts w:asciiTheme="minorHAnsi" w:hAnsiTheme="minorHAnsi"/>
              <w:b w:val="0"/>
              <w:bCs w:val="0"/>
              <w:smallCaps w:val="0"/>
              <w:noProof/>
              <w:lang w:val="en-US" w:eastAsia="en-US"/>
            </w:rPr>
          </w:pPr>
          <w:hyperlink w:anchor="_Toc523833917" w:history="1">
            <w:r w:rsidRPr="003D7146">
              <w:rPr>
                <w:rStyle w:val="Hyperlink"/>
                <w:noProof/>
              </w:rPr>
              <w:t>9.2.</w:t>
            </w:r>
            <w:r>
              <w:rPr>
                <w:rFonts w:asciiTheme="minorHAnsi" w:hAnsiTheme="minorHAnsi"/>
                <w:b w:val="0"/>
                <w:bCs w:val="0"/>
                <w:smallCaps w:val="0"/>
                <w:noProof/>
                <w:lang w:val="en-US" w:eastAsia="en-US"/>
              </w:rPr>
              <w:tab/>
            </w:r>
            <w:r w:rsidRPr="003D7146">
              <w:rPr>
                <w:rStyle w:val="Hyperlink"/>
                <w:noProof/>
              </w:rPr>
              <w:t>Manutenção dos Recursos Táticos de Resposta e da Capacidade de Armazenamento Temporário</w:t>
            </w:r>
            <w:r>
              <w:rPr>
                <w:noProof/>
                <w:webHidden/>
              </w:rPr>
              <w:tab/>
            </w:r>
            <w:r>
              <w:rPr>
                <w:noProof/>
                <w:webHidden/>
              </w:rPr>
              <w:fldChar w:fldCharType="begin"/>
            </w:r>
            <w:r>
              <w:rPr>
                <w:noProof/>
                <w:webHidden/>
              </w:rPr>
              <w:instrText xml:space="preserve"> PAGEREF _Toc523833917 \h </w:instrText>
            </w:r>
            <w:r>
              <w:rPr>
                <w:noProof/>
                <w:webHidden/>
              </w:rPr>
            </w:r>
            <w:r>
              <w:rPr>
                <w:noProof/>
                <w:webHidden/>
              </w:rPr>
              <w:fldChar w:fldCharType="separate"/>
            </w:r>
            <w:r>
              <w:rPr>
                <w:noProof/>
                <w:webHidden/>
              </w:rPr>
              <w:t>125</w:t>
            </w:r>
            <w:r>
              <w:rPr>
                <w:noProof/>
                <w:webHidden/>
              </w:rPr>
              <w:fldChar w:fldCharType="end"/>
            </w:r>
          </w:hyperlink>
        </w:p>
        <w:p w14:paraId="5FE1C4CD" w14:textId="379F8EE2" w:rsidR="003904DD" w:rsidRDefault="003904DD">
          <w:pPr>
            <w:pStyle w:val="TOC1"/>
            <w:rPr>
              <w:rFonts w:asciiTheme="minorHAnsi" w:hAnsiTheme="minorHAnsi"/>
              <w:b w:val="0"/>
              <w:bCs w:val="0"/>
              <w:caps w:val="0"/>
              <w:lang w:val="en-US" w:eastAsia="en-US"/>
            </w:rPr>
          </w:pPr>
          <w:hyperlink w:anchor="_Toc523833918" w:history="1">
            <w:r w:rsidRPr="003D7146">
              <w:rPr>
                <w:rStyle w:val="Hyperlink"/>
                <w:lang w:val="pt-BR"/>
              </w:rPr>
              <w:t>10.</w:t>
            </w:r>
            <w:r>
              <w:rPr>
                <w:rFonts w:asciiTheme="minorHAnsi" w:hAnsiTheme="minorHAnsi"/>
                <w:b w:val="0"/>
                <w:bCs w:val="0"/>
                <w:caps w:val="0"/>
                <w:lang w:val="en-US" w:eastAsia="en-US"/>
              </w:rPr>
              <w:tab/>
            </w:r>
            <w:r w:rsidRPr="003D7146">
              <w:rPr>
                <w:rStyle w:val="Hyperlink"/>
                <w:lang w:val="pt-BR"/>
              </w:rPr>
              <w:t>ENCERRAMENTO DAS AÇÕES DE RESPOSTA</w:t>
            </w:r>
            <w:r>
              <w:rPr>
                <w:webHidden/>
              </w:rPr>
              <w:tab/>
            </w:r>
            <w:r>
              <w:rPr>
                <w:webHidden/>
              </w:rPr>
              <w:fldChar w:fldCharType="begin"/>
            </w:r>
            <w:r>
              <w:rPr>
                <w:webHidden/>
              </w:rPr>
              <w:instrText xml:space="preserve"> PAGEREF _Toc523833918 \h </w:instrText>
            </w:r>
            <w:r>
              <w:rPr>
                <w:webHidden/>
              </w:rPr>
            </w:r>
            <w:r>
              <w:rPr>
                <w:webHidden/>
              </w:rPr>
              <w:fldChar w:fldCharType="separate"/>
            </w:r>
            <w:r>
              <w:rPr>
                <w:webHidden/>
              </w:rPr>
              <w:t>128</w:t>
            </w:r>
            <w:r>
              <w:rPr>
                <w:webHidden/>
              </w:rPr>
              <w:fldChar w:fldCharType="end"/>
            </w:r>
          </w:hyperlink>
        </w:p>
        <w:p w14:paraId="7347E57B" w14:textId="3E229D95" w:rsidR="003904DD" w:rsidRDefault="003904DD">
          <w:pPr>
            <w:pStyle w:val="TOC2"/>
            <w:tabs>
              <w:tab w:val="left" w:pos="1138"/>
              <w:tab w:val="right" w:leader="dot" w:pos="9060"/>
            </w:tabs>
            <w:rPr>
              <w:rFonts w:asciiTheme="minorHAnsi" w:hAnsiTheme="minorHAnsi"/>
              <w:b w:val="0"/>
              <w:bCs w:val="0"/>
              <w:smallCaps w:val="0"/>
              <w:noProof/>
              <w:lang w:val="en-US" w:eastAsia="en-US"/>
            </w:rPr>
          </w:pPr>
          <w:hyperlink w:anchor="_Toc523833919" w:history="1">
            <w:r w:rsidRPr="003D7146">
              <w:rPr>
                <w:rStyle w:val="Hyperlink"/>
                <w:noProof/>
              </w:rPr>
              <w:t>10.1.</w:t>
            </w:r>
            <w:r>
              <w:rPr>
                <w:rFonts w:asciiTheme="minorHAnsi" w:hAnsiTheme="minorHAnsi"/>
                <w:b w:val="0"/>
                <w:bCs w:val="0"/>
                <w:smallCaps w:val="0"/>
                <w:noProof/>
                <w:lang w:val="en-US" w:eastAsia="en-US"/>
              </w:rPr>
              <w:tab/>
            </w:r>
            <w:r w:rsidRPr="003D7146">
              <w:rPr>
                <w:rStyle w:val="Hyperlink"/>
                <w:noProof/>
              </w:rPr>
              <w:t>Relatório de Encerramento das Ações de Resposta</w:t>
            </w:r>
            <w:r>
              <w:rPr>
                <w:noProof/>
                <w:webHidden/>
              </w:rPr>
              <w:tab/>
            </w:r>
            <w:r>
              <w:rPr>
                <w:noProof/>
                <w:webHidden/>
              </w:rPr>
              <w:fldChar w:fldCharType="begin"/>
            </w:r>
            <w:r>
              <w:rPr>
                <w:noProof/>
                <w:webHidden/>
              </w:rPr>
              <w:instrText xml:space="preserve"> PAGEREF _Toc523833919 \h </w:instrText>
            </w:r>
            <w:r>
              <w:rPr>
                <w:noProof/>
                <w:webHidden/>
              </w:rPr>
            </w:r>
            <w:r>
              <w:rPr>
                <w:noProof/>
                <w:webHidden/>
              </w:rPr>
              <w:fldChar w:fldCharType="separate"/>
            </w:r>
            <w:r>
              <w:rPr>
                <w:noProof/>
                <w:webHidden/>
              </w:rPr>
              <w:t>130</w:t>
            </w:r>
            <w:r>
              <w:rPr>
                <w:noProof/>
                <w:webHidden/>
              </w:rPr>
              <w:fldChar w:fldCharType="end"/>
            </w:r>
          </w:hyperlink>
        </w:p>
        <w:p w14:paraId="283B86F0" w14:textId="3C28D2C6" w:rsidR="003904DD" w:rsidRDefault="003904DD">
          <w:pPr>
            <w:pStyle w:val="TOC1"/>
            <w:rPr>
              <w:rFonts w:asciiTheme="minorHAnsi" w:hAnsiTheme="minorHAnsi"/>
              <w:b w:val="0"/>
              <w:bCs w:val="0"/>
              <w:caps w:val="0"/>
              <w:lang w:val="en-US" w:eastAsia="en-US"/>
            </w:rPr>
          </w:pPr>
          <w:hyperlink w:anchor="_Toc523833920" w:history="1">
            <w:r w:rsidRPr="003D7146">
              <w:rPr>
                <w:rStyle w:val="Hyperlink"/>
                <w:lang w:val="pt-BR"/>
              </w:rPr>
              <w:t>11.</w:t>
            </w:r>
            <w:r>
              <w:rPr>
                <w:rFonts w:asciiTheme="minorHAnsi" w:hAnsiTheme="minorHAnsi"/>
                <w:b w:val="0"/>
                <w:bCs w:val="0"/>
                <w:caps w:val="0"/>
                <w:lang w:val="en-US" w:eastAsia="en-US"/>
              </w:rPr>
              <w:tab/>
            </w:r>
            <w:r w:rsidRPr="003D7146">
              <w:rPr>
                <w:rStyle w:val="Hyperlink"/>
                <w:lang w:val="pt-BR"/>
              </w:rPr>
              <w:t>RESPONSÁVEIS TÉCNICOS PELA ELABORAÇÃO DO PEI</w:t>
            </w:r>
            <w:r>
              <w:rPr>
                <w:webHidden/>
              </w:rPr>
              <w:tab/>
            </w:r>
            <w:r>
              <w:rPr>
                <w:webHidden/>
              </w:rPr>
              <w:fldChar w:fldCharType="begin"/>
            </w:r>
            <w:r>
              <w:rPr>
                <w:webHidden/>
              </w:rPr>
              <w:instrText xml:space="preserve"> PAGEREF _Toc523833920 \h </w:instrText>
            </w:r>
            <w:r>
              <w:rPr>
                <w:webHidden/>
              </w:rPr>
            </w:r>
            <w:r>
              <w:rPr>
                <w:webHidden/>
              </w:rPr>
              <w:fldChar w:fldCharType="separate"/>
            </w:r>
            <w:r>
              <w:rPr>
                <w:webHidden/>
              </w:rPr>
              <w:t>130</w:t>
            </w:r>
            <w:r>
              <w:rPr>
                <w:webHidden/>
              </w:rPr>
              <w:fldChar w:fldCharType="end"/>
            </w:r>
          </w:hyperlink>
        </w:p>
        <w:p w14:paraId="0EB4645B" w14:textId="5A1B5D29" w:rsidR="003904DD" w:rsidRDefault="003904DD">
          <w:pPr>
            <w:pStyle w:val="TOC1"/>
            <w:rPr>
              <w:rFonts w:asciiTheme="minorHAnsi" w:hAnsiTheme="minorHAnsi"/>
              <w:b w:val="0"/>
              <w:bCs w:val="0"/>
              <w:caps w:val="0"/>
              <w:lang w:val="en-US" w:eastAsia="en-US"/>
            </w:rPr>
          </w:pPr>
          <w:hyperlink w:anchor="_Toc523833921" w:history="1">
            <w:r w:rsidRPr="003D7146">
              <w:rPr>
                <w:rStyle w:val="Hyperlink"/>
                <w:lang w:val="pt-BR"/>
              </w:rPr>
              <w:t>12.</w:t>
            </w:r>
            <w:r>
              <w:rPr>
                <w:rFonts w:asciiTheme="minorHAnsi" w:hAnsiTheme="minorHAnsi"/>
                <w:b w:val="0"/>
                <w:bCs w:val="0"/>
                <w:caps w:val="0"/>
                <w:lang w:val="en-US" w:eastAsia="en-US"/>
              </w:rPr>
              <w:tab/>
            </w:r>
            <w:r w:rsidRPr="003D7146">
              <w:rPr>
                <w:rStyle w:val="Hyperlink"/>
                <w:lang w:val="pt-BR"/>
              </w:rPr>
              <w:t>RESPONSÁVEIS TÉCNICOS PELA EXECUÇÃO DO PEI</w:t>
            </w:r>
            <w:r>
              <w:rPr>
                <w:webHidden/>
              </w:rPr>
              <w:tab/>
            </w:r>
            <w:r>
              <w:rPr>
                <w:webHidden/>
              </w:rPr>
              <w:fldChar w:fldCharType="begin"/>
            </w:r>
            <w:r>
              <w:rPr>
                <w:webHidden/>
              </w:rPr>
              <w:instrText xml:space="preserve"> PAGEREF _Toc523833921 \h </w:instrText>
            </w:r>
            <w:r>
              <w:rPr>
                <w:webHidden/>
              </w:rPr>
            </w:r>
            <w:r>
              <w:rPr>
                <w:webHidden/>
              </w:rPr>
              <w:fldChar w:fldCharType="separate"/>
            </w:r>
            <w:r>
              <w:rPr>
                <w:webHidden/>
              </w:rPr>
              <w:t>131</w:t>
            </w:r>
            <w:r>
              <w:rPr>
                <w:webHidden/>
              </w:rPr>
              <w:fldChar w:fldCharType="end"/>
            </w:r>
          </w:hyperlink>
        </w:p>
        <w:p w14:paraId="397AAF41" w14:textId="24107E8F" w:rsidR="003904DD" w:rsidRDefault="003904DD">
          <w:pPr>
            <w:pStyle w:val="TOC1"/>
            <w:rPr>
              <w:rFonts w:asciiTheme="minorHAnsi" w:hAnsiTheme="minorHAnsi"/>
              <w:b w:val="0"/>
              <w:bCs w:val="0"/>
              <w:caps w:val="0"/>
              <w:lang w:val="en-US" w:eastAsia="en-US"/>
            </w:rPr>
          </w:pPr>
          <w:hyperlink w:anchor="_Toc523833922" w:history="1">
            <w:r w:rsidRPr="003D7146">
              <w:rPr>
                <w:rStyle w:val="Hyperlink"/>
              </w:rPr>
              <w:t>13.</w:t>
            </w:r>
            <w:r>
              <w:rPr>
                <w:rFonts w:asciiTheme="minorHAnsi" w:hAnsiTheme="minorHAnsi"/>
                <w:b w:val="0"/>
                <w:bCs w:val="0"/>
                <w:caps w:val="0"/>
                <w:lang w:val="en-US" w:eastAsia="en-US"/>
              </w:rPr>
              <w:tab/>
            </w:r>
            <w:r w:rsidRPr="003D7146">
              <w:rPr>
                <w:rStyle w:val="Hyperlink"/>
              </w:rPr>
              <w:t>REFERÊNCIAS BIBLIOGRÁFICAS</w:t>
            </w:r>
            <w:r>
              <w:rPr>
                <w:webHidden/>
              </w:rPr>
              <w:tab/>
            </w:r>
            <w:r>
              <w:rPr>
                <w:webHidden/>
              </w:rPr>
              <w:fldChar w:fldCharType="begin"/>
            </w:r>
            <w:r>
              <w:rPr>
                <w:webHidden/>
              </w:rPr>
              <w:instrText xml:space="preserve"> PAGEREF _Toc523833922 \h </w:instrText>
            </w:r>
            <w:r>
              <w:rPr>
                <w:webHidden/>
              </w:rPr>
            </w:r>
            <w:r>
              <w:rPr>
                <w:webHidden/>
              </w:rPr>
              <w:fldChar w:fldCharType="separate"/>
            </w:r>
            <w:r>
              <w:rPr>
                <w:webHidden/>
              </w:rPr>
              <w:t>131</w:t>
            </w:r>
            <w:r>
              <w:rPr>
                <w:webHidden/>
              </w:rPr>
              <w:fldChar w:fldCharType="end"/>
            </w:r>
          </w:hyperlink>
        </w:p>
        <w:p w14:paraId="0AC1C54A" w14:textId="65E33650" w:rsidR="005576DE" w:rsidRPr="00FC10A8" w:rsidRDefault="009B50F4" w:rsidP="005576DE">
          <w:pPr>
            <w:pStyle w:val="Texto"/>
            <w:rPr>
              <w:rFonts w:asciiTheme="majorHAnsi" w:hAnsiTheme="majorHAnsi"/>
              <w:b/>
              <w:szCs w:val="22"/>
              <w:lang w:val="en-GB"/>
            </w:rPr>
          </w:pPr>
          <w:r>
            <w:rPr>
              <w:rFonts w:asciiTheme="majorHAnsi" w:eastAsia="SimSun" w:hAnsiTheme="majorHAnsi" w:cs="Calibri"/>
              <w:bCs/>
              <w:caps/>
              <w:noProof/>
              <w:kern w:val="32"/>
              <w:szCs w:val="22"/>
              <w:lang w:val="en-GB" w:eastAsia="zh-CN"/>
            </w:rPr>
            <w:fldChar w:fldCharType="end"/>
          </w:r>
        </w:p>
      </w:sdtContent>
    </w:sdt>
    <w:p w14:paraId="46BA4D46" w14:textId="77777777" w:rsidR="00CC47FD" w:rsidRDefault="00CC47FD" w:rsidP="00C93479">
      <w:pPr>
        <w:pStyle w:val="tier1Itext"/>
        <w:rPr>
          <w:rStyle w:val="NegritoVersaleteChar"/>
          <w:i w:val="0"/>
          <w:color w:val="auto"/>
          <w:lang w:val="en-GB"/>
        </w:rPr>
      </w:pPr>
      <w:r>
        <w:rPr>
          <w:rStyle w:val="NegritoVersaleteChar"/>
          <w:i w:val="0"/>
          <w:color w:val="auto"/>
          <w:lang w:val="en-GB"/>
        </w:rPr>
        <w:br w:type="page"/>
      </w:r>
    </w:p>
    <w:p w14:paraId="74334267" w14:textId="77777777" w:rsidR="00D567ED" w:rsidRPr="005249F7" w:rsidRDefault="00641FD8" w:rsidP="00FC10A8">
      <w:pPr>
        <w:pStyle w:val="Indices"/>
        <w:rPr>
          <w:rStyle w:val="NegritoVersaleteChar"/>
          <w:b/>
          <w:i w:val="0"/>
          <w:smallCaps/>
          <w:color w:val="auto"/>
        </w:rPr>
      </w:pPr>
      <w:r w:rsidRPr="005249F7">
        <w:rPr>
          <w:rStyle w:val="NegritoVersaleteChar"/>
          <w:b/>
          <w:i w:val="0"/>
          <w:smallCaps/>
          <w:color w:val="auto"/>
        </w:rPr>
        <w:lastRenderedPageBreak/>
        <w:t>Índice de Figuras</w:t>
      </w:r>
    </w:p>
    <w:p w14:paraId="39FB7D6F" w14:textId="4E831187" w:rsidR="003904DD" w:rsidRDefault="00FC10A8">
      <w:pPr>
        <w:pStyle w:val="TableofFigures"/>
        <w:tabs>
          <w:tab w:val="right" w:leader="dot" w:pos="9060"/>
        </w:tabs>
        <w:rPr>
          <w:rFonts w:asciiTheme="minorHAnsi" w:hAnsiTheme="minorHAnsi"/>
          <w:i w:val="0"/>
          <w:iCs w:val="0"/>
          <w:noProof/>
          <w:szCs w:val="22"/>
          <w:lang w:val="en-US" w:eastAsia="en-US"/>
        </w:rPr>
      </w:pPr>
      <w:r w:rsidRPr="00DB2BC5">
        <w:rPr>
          <w:iCs w:val="0"/>
          <w:sz w:val="20"/>
          <w:highlight w:val="yellow"/>
          <w:lang w:val="en-GB" w:eastAsia="zh-CN"/>
        </w:rPr>
        <w:fldChar w:fldCharType="begin"/>
      </w:r>
      <w:r w:rsidRPr="00DB2BC5">
        <w:rPr>
          <w:iCs w:val="0"/>
          <w:sz w:val="20"/>
          <w:highlight w:val="yellow"/>
          <w:lang w:val="en-GB" w:eastAsia="zh-CN"/>
        </w:rPr>
        <w:instrText xml:space="preserve"> TOC \h \z \c "Figura" </w:instrText>
      </w:r>
      <w:r w:rsidRPr="00DB2BC5">
        <w:rPr>
          <w:iCs w:val="0"/>
          <w:sz w:val="20"/>
          <w:highlight w:val="yellow"/>
          <w:lang w:val="en-GB" w:eastAsia="zh-CN"/>
        </w:rPr>
        <w:fldChar w:fldCharType="separate"/>
      </w:r>
      <w:hyperlink w:anchor="_Toc523833966" w:history="1">
        <w:r w:rsidR="003904DD" w:rsidRPr="00771C28">
          <w:rPr>
            <w:rStyle w:val="Hyperlink"/>
            <w:noProof/>
          </w:rPr>
          <w:t>Figura 1: Bloco FZA-M-59, Bacia da Foz do Rio Amazonas (FZA) (Fonte: Witt|O’Brien’s).</w:t>
        </w:r>
        <w:r w:rsidR="003904DD">
          <w:rPr>
            <w:noProof/>
            <w:webHidden/>
          </w:rPr>
          <w:tab/>
        </w:r>
        <w:r w:rsidR="003904DD">
          <w:rPr>
            <w:noProof/>
            <w:webHidden/>
          </w:rPr>
          <w:fldChar w:fldCharType="begin"/>
        </w:r>
        <w:r w:rsidR="003904DD">
          <w:rPr>
            <w:noProof/>
            <w:webHidden/>
          </w:rPr>
          <w:instrText xml:space="preserve"> PAGEREF _Toc523833966 \h </w:instrText>
        </w:r>
        <w:r w:rsidR="003904DD">
          <w:rPr>
            <w:noProof/>
            <w:webHidden/>
          </w:rPr>
        </w:r>
        <w:r w:rsidR="003904DD">
          <w:rPr>
            <w:noProof/>
            <w:webHidden/>
          </w:rPr>
          <w:fldChar w:fldCharType="separate"/>
        </w:r>
        <w:r w:rsidR="003904DD">
          <w:rPr>
            <w:noProof/>
            <w:webHidden/>
          </w:rPr>
          <w:t>1</w:t>
        </w:r>
        <w:r w:rsidR="003904DD">
          <w:rPr>
            <w:noProof/>
            <w:webHidden/>
          </w:rPr>
          <w:fldChar w:fldCharType="end"/>
        </w:r>
      </w:hyperlink>
    </w:p>
    <w:p w14:paraId="0007CE04" w14:textId="46CFA883"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67" w:history="1">
        <w:r w:rsidRPr="00771C28">
          <w:rPr>
            <w:rStyle w:val="Hyperlink"/>
            <w:noProof/>
          </w:rPr>
          <w:t>Figura 2: Localização do Bloco FZA-M-59, na Bacia da Foz do Amazonas, e suas respectivas distâncias máximas até as bases de apoio logístico e aéreo (Fonte: Witt|O’Brien’s).</w:t>
        </w:r>
        <w:r>
          <w:rPr>
            <w:noProof/>
            <w:webHidden/>
          </w:rPr>
          <w:tab/>
        </w:r>
        <w:r>
          <w:rPr>
            <w:noProof/>
            <w:webHidden/>
          </w:rPr>
          <w:fldChar w:fldCharType="begin"/>
        </w:r>
        <w:r>
          <w:rPr>
            <w:noProof/>
            <w:webHidden/>
          </w:rPr>
          <w:instrText xml:space="preserve"> PAGEREF _Toc523833967 \h </w:instrText>
        </w:r>
        <w:r>
          <w:rPr>
            <w:noProof/>
            <w:webHidden/>
          </w:rPr>
        </w:r>
        <w:r>
          <w:rPr>
            <w:noProof/>
            <w:webHidden/>
          </w:rPr>
          <w:fldChar w:fldCharType="separate"/>
        </w:r>
        <w:r>
          <w:rPr>
            <w:noProof/>
            <w:webHidden/>
          </w:rPr>
          <w:t>5</w:t>
        </w:r>
        <w:r>
          <w:rPr>
            <w:noProof/>
            <w:webHidden/>
          </w:rPr>
          <w:fldChar w:fldCharType="end"/>
        </w:r>
      </w:hyperlink>
    </w:p>
    <w:p w14:paraId="467715E4" w14:textId="48EAD604"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68" w:history="1">
        <w:r w:rsidRPr="00771C28">
          <w:rPr>
            <w:rStyle w:val="Hyperlink"/>
            <w:noProof/>
          </w:rPr>
          <w:t>Figura 3: Organograma da IMT, com indicação também da TRT (Fonte: Witt|O’Brien’s).</w:t>
        </w:r>
        <w:r>
          <w:rPr>
            <w:noProof/>
            <w:webHidden/>
          </w:rPr>
          <w:tab/>
        </w:r>
        <w:r>
          <w:rPr>
            <w:noProof/>
            <w:webHidden/>
          </w:rPr>
          <w:fldChar w:fldCharType="begin"/>
        </w:r>
        <w:r>
          <w:rPr>
            <w:noProof/>
            <w:webHidden/>
          </w:rPr>
          <w:instrText xml:space="preserve"> PAGEREF _Toc523833968 \h </w:instrText>
        </w:r>
        <w:r>
          <w:rPr>
            <w:noProof/>
            <w:webHidden/>
          </w:rPr>
        </w:r>
        <w:r>
          <w:rPr>
            <w:noProof/>
            <w:webHidden/>
          </w:rPr>
          <w:fldChar w:fldCharType="separate"/>
        </w:r>
        <w:r>
          <w:rPr>
            <w:noProof/>
            <w:webHidden/>
          </w:rPr>
          <w:t>15</w:t>
        </w:r>
        <w:r>
          <w:rPr>
            <w:noProof/>
            <w:webHidden/>
          </w:rPr>
          <w:fldChar w:fldCharType="end"/>
        </w:r>
      </w:hyperlink>
    </w:p>
    <w:p w14:paraId="618FACA3" w14:textId="6337393E"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69" w:history="1">
        <w:r w:rsidRPr="00771C28">
          <w:rPr>
            <w:rStyle w:val="Hyperlink"/>
            <w:noProof/>
          </w:rPr>
          <w:t>Figura 4: Comunicação inicial e mobilização da EOR (Fonte: Witt|O’Brien’s).</w:t>
        </w:r>
        <w:r>
          <w:rPr>
            <w:noProof/>
            <w:webHidden/>
          </w:rPr>
          <w:tab/>
        </w:r>
        <w:r>
          <w:rPr>
            <w:noProof/>
            <w:webHidden/>
          </w:rPr>
          <w:fldChar w:fldCharType="begin"/>
        </w:r>
        <w:r>
          <w:rPr>
            <w:noProof/>
            <w:webHidden/>
          </w:rPr>
          <w:instrText xml:space="preserve"> PAGEREF _Toc523833969 \h </w:instrText>
        </w:r>
        <w:r>
          <w:rPr>
            <w:noProof/>
            <w:webHidden/>
          </w:rPr>
        </w:r>
        <w:r>
          <w:rPr>
            <w:noProof/>
            <w:webHidden/>
          </w:rPr>
          <w:fldChar w:fldCharType="separate"/>
        </w:r>
        <w:r>
          <w:rPr>
            <w:noProof/>
            <w:webHidden/>
          </w:rPr>
          <w:t>25</w:t>
        </w:r>
        <w:r>
          <w:rPr>
            <w:noProof/>
            <w:webHidden/>
          </w:rPr>
          <w:fldChar w:fldCharType="end"/>
        </w:r>
      </w:hyperlink>
    </w:p>
    <w:p w14:paraId="5FDEC467" w14:textId="501BA5C3"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0" w:history="1">
        <w:r w:rsidRPr="00771C28">
          <w:rPr>
            <w:rStyle w:val="Hyperlink"/>
            <w:noProof/>
          </w:rPr>
          <w:t>Figura 5: Processo de Planejamento “P” do ICS (Fonte: Adaptada de USCG, 2006).</w:t>
        </w:r>
        <w:r>
          <w:rPr>
            <w:noProof/>
            <w:webHidden/>
          </w:rPr>
          <w:tab/>
        </w:r>
        <w:r>
          <w:rPr>
            <w:noProof/>
            <w:webHidden/>
          </w:rPr>
          <w:fldChar w:fldCharType="begin"/>
        </w:r>
        <w:r>
          <w:rPr>
            <w:noProof/>
            <w:webHidden/>
          </w:rPr>
          <w:instrText xml:space="preserve"> PAGEREF _Toc523833970 \h </w:instrText>
        </w:r>
        <w:r>
          <w:rPr>
            <w:noProof/>
            <w:webHidden/>
          </w:rPr>
        </w:r>
        <w:r>
          <w:rPr>
            <w:noProof/>
            <w:webHidden/>
          </w:rPr>
          <w:fldChar w:fldCharType="separate"/>
        </w:r>
        <w:r>
          <w:rPr>
            <w:noProof/>
            <w:webHidden/>
          </w:rPr>
          <w:t>27</w:t>
        </w:r>
        <w:r>
          <w:rPr>
            <w:noProof/>
            <w:webHidden/>
          </w:rPr>
          <w:fldChar w:fldCharType="end"/>
        </w:r>
      </w:hyperlink>
    </w:p>
    <w:p w14:paraId="00217F6F" w14:textId="6A371072"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1" w:history="1">
        <w:r w:rsidRPr="00771C28">
          <w:rPr>
            <w:rStyle w:val="Hyperlink"/>
            <w:noProof/>
          </w:rPr>
          <w:t>Figura 6: Fluxo de Acionamento e notificações necessárias (Fonte: Modificado a partir do original em BP Energy, 2013).</w:t>
        </w:r>
        <w:r>
          <w:rPr>
            <w:noProof/>
            <w:webHidden/>
          </w:rPr>
          <w:tab/>
        </w:r>
        <w:r>
          <w:rPr>
            <w:noProof/>
            <w:webHidden/>
          </w:rPr>
          <w:fldChar w:fldCharType="begin"/>
        </w:r>
        <w:r>
          <w:rPr>
            <w:noProof/>
            <w:webHidden/>
          </w:rPr>
          <w:instrText xml:space="preserve"> PAGEREF _Toc523833971 \h </w:instrText>
        </w:r>
        <w:r>
          <w:rPr>
            <w:noProof/>
            <w:webHidden/>
          </w:rPr>
        </w:r>
        <w:r>
          <w:rPr>
            <w:noProof/>
            <w:webHidden/>
          </w:rPr>
          <w:fldChar w:fldCharType="separate"/>
        </w:r>
        <w:r>
          <w:rPr>
            <w:noProof/>
            <w:webHidden/>
          </w:rPr>
          <w:t>31</w:t>
        </w:r>
        <w:r>
          <w:rPr>
            <w:noProof/>
            <w:webHidden/>
          </w:rPr>
          <w:fldChar w:fldCharType="end"/>
        </w:r>
      </w:hyperlink>
    </w:p>
    <w:p w14:paraId="20227AE6" w14:textId="34C82CD4"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2" w:history="1">
        <w:r w:rsidRPr="00771C28">
          <w:rPr>
            <w:rStyle w:val="Hyperlink"/>
            <w:noProof/>
          </w:rPr>
          <w:t>Figura 7: Processo de mobilização de recursos táticos (Fonte: Witt|O’Brien’s).</w:t>
        </w:r>
        <w:r>
          <w:rPr>
            <w:noProof/>
            <w:webHidden/>
          </w:rPr>
          <w:tab/>
        </w:r>
        <w:r>
          <w:rPr>
            <w:noProof/>
            <w:webHidden/>
          </w:rPr>
          <w:fldChar w:fldCharType="begin"/>
        </w:r>
        <w:r>
          <w:rPr>
            <w:noProof/>
            <w:webHidden/>
          </w:rPr>
          <w:instrText xml:space="preserve"> PAGEREF _Toc523833972 \h </w:instrText>
        </w:r>
        <w:r>
          <w:rPr>
            <w:noProof/>
            <w:webHidden/>
          </w:rPr>
        </w:r>
        <w:r>
          <w:rPr>
            <w:noProof/>
            <w:webHidden/>
          </w:rPr>
          <w:fldChar w:fldCharType="separate"/>
        </w:r>
        <w:r>
          <w:rPr>
            <w:noProof/>
            <w:webHidden/>
          </w:rPr>
          <w:t>51</w:t>
        </w:r>
        <w:r>
          <w:rPr>
            <w:noProof/>
            <w:webHidden/>
          </w:rPr>
          <w:fldChar w:fldCharType="end"/>
        </w:r>
      </w:hyperlink>
    </w:p>
    <w:p w14:paraId="65D19E86" w14:textId="6261DF6F"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3" w:history="1">
        <w:r w:rsidRPr="00771C28">
          <w:rPr>
            <w:rStyle w:val="Hyperlink"/>
            <w:noProof/>
          </w:rPr>
          <w:t>Figura 8: Processo de desmobilização de recursos táticos (Fonte: Witt|O’Brien’s).</w:t>
        </w:r>
        <w:r>
          <w:rPr>
            <w:noProof/>
            <w:webHidden/>
          </w:rPr>
          <w:tab/>
        </w:r>
        <w:r>
          <w:rPr>
            <w:noProof/>
            <w:webHidden/>
          </w:rPr>
          <w:fldChar w:fldCharType="begin"/>
        </w:r>
        <w:r>
          <w:rPr>
            <w:noProof/>
            <w:webHidden/>
          </w:rPr>
          <w:instrText xml:space="preserve"> PAGEREF _Toc523833973 \h </w:instrText>
        </w:r>
        <w:r>
          <w:rPr>
            <w:noProof/>
            <w:webHidden/>
          </w:rPr>
        </w:r>
        <w:r>
          <w:rPr>
            <w:noProof/>
            <w:webHidden/>
          </w:rPr>
          <w:fldChar w:fldCharType="separate"/>
        </w:r>
        <w:r>
          <w:rPr>
            <w:noProof/>
            <w:webHidden/>
          </w:rPr>
          <w:t>52</w:t>
        </w:r>
        <w:r>
          <w:rPr>
            <w:noProof/>
            <w:webHidden/>
          </w:rPr>
          <w:fldChar w:fldCharType="end"/>
        </w:r>
      </w:hyperlink>
    </w:p>
    <w:p w14:paraId="35BB6228" w14:textId="6625B5F5"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4" w:history="1">
        <w:r w:rsidRPr="00771C28">
          <w:rPr>
            <w:rStyle w:val="Hyperlink"/>
            <w:noProof/>
          </w:rPr>
          <w:t>Figura 9: Representação esquemática dos locais de descontaminação (situados na “Zona Morna”) no zoneamento das áreas de resposta à emergência (Fonte: Witt|O’Brien’s, 2014).</w:t>
        </w:r>
        <w:r>
          <w:rPr>
            <w:noProof/>
            <w:webHidden/>
          </w:rPr>
          <w:tab/>
        </w:r>
        <w:r>
          <w:rPr>
            <w:noProof/>
            <w:webHidden/>
          </w:rPr>
          <w:fldChar w:fldCharType="begin"/>
        </w:r>
        <w:r>
          <w:rPr>
            <w:noProof/>
            <w:webHidden/>
          </w:rPr>
          <w:instrText xml:space="preserve"> PAGEREF _Toc523833974 \h </w:instrText>
        </w:r>
        <w:r>
          <w:rPr>
            <w:noProof/>
            <w:webHidden/>
          </w:rPr>
        </w:r>
        <w:r>
          <w:rPr>
            <w:noProof/>
            <w:webHidden/>
          </w:rPr>
          <w:fldChar w:fldCharType="separate"/>
        </w:r>
        <w:r>
          <w:rPr>
            <w:noProof/>
            <w:webHidden/>
          </w:rPr>
          <w:t>54</w:t>
        </w:r>
        <w:r>
          <w:rPr>
            <w:noProof/>
            <w:webHidden/>
          </w:rPr>
          <w:fldChar w:fldCharType="end"/>
        </w:r>
      </w:hyperlink>
    </w:p>
    <w:p w14:paraId="70B16C73" w14:textId="4C8B6EC2"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5" w:history="1">
        <w:r w:rsidRPr="00771C28">
          <w:rPr>
            <w:rStyle w:val="Hyperlink"/>
            <w:noProof/>
          </w:rPr>
          <w:t>Figura 10: Condições limitantes de vazamentos para aplicação de cada técnica de resposta (Fonte: Modificado a partir de original em BP, 2012).</w:t>
        </w:r>
        <w:r>
          <w:rPr>
            <w:noProof/>
            <w:webHidden/>
          </w:rPr>
          <w:tab/>
        </w:r>
        <w:r>
          <w:rPr>
            <w:noProof/>
            <w:webHidden/>
          </w:rPr>
          <w:fldChar w:fldCharType="begin"/>
        </w:r>
        <w:r>
          <w:rPr>
            <w:noProof/>
            <w:webHidden/>
          </w:rPr>
          <w:instrText xml:space="preserve"> PAGEREF _Toc523833975 \h </w:instrText>
        </w:r>
        <w:r>
          <w:rPr>
            <w:noProof/>
            <w:webHidden/>
          </w:rPr>
        </w:r>
        <w:r>
          <w:rPr>
            <w:noProof/>
            <w:webHidden/>
          </w:rPr>
          <w:fldChar w:fldCharType="separate"/>
        </w:r>
        <w:r>
          <w:rPr>
            <w:noProof/>
            <w:webHidden/>
          </w:rPr>
          <w:t>61</w:t>
        </w:r>
        <w:r>
          <w:rPr>
            <w:noProof/>
            <w:webHidden/>
          </w:rPr>
          <w:fldChar w:fldCharType="end"/>
        </w:r>
      </w:hyperlink>
    </w:p>
    <w:p w14:paraId="619A6266" w14:textId="5ECEA694"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6" w:history="1">
        <w:r w:rsidRPr="00771C28">
          <w:rPr>
            <w:rStyle w:val="Hyperlink"/>
            <w:noProof/>
          </w:rPr>
          <w:t>Figura 11: Esquema de degradação de óleo dispersado quimicamente (Fonte: Modificado a partir do original em BP, 2012).</w:t>
        </w:r>
        <w:r>
          <w:rPr>
            <w:noProof/>
            <w:webHidden/>
          </w:rPr>
          <w:tab/>
        </w:r>
        <w:r>
          <w:rPr>
            <w:noProof/>
            <w:webHidden/>
          </w:rPr>
          <w:fldChar w:fldCharType="begin"/>
        </w:r>
        <w:r>
          <w:rPr>
            <w:noProof/>
            <w:webHidden/>
          </w:rPr>
          <w:instrText xml:space="preserve"> PAGEREF _Toc523833976 \h </w:instrText>
        </w:r>
        <w:r>
          <w:rPr>
            <w:noProof/>
            <w:webHidden/>
          </w:rPr>
        </w:r>
        <w:r>
          <w:rPr>
            <w:noProof/>
            <w:webHidden/>
          </w:rPr>
          <w:fldChar w:fldCharType="separate"/>
        </w:r>
        <w:r>
          <w:rPr>
            <w:noProof/>
            <w:webHidden/>
          </w:rPr>
          <w:t>63</w:t>
        </w:r>
        <w:r>
          <w:rPr>
            <w:noProof/>
            <w:webHidden/>
          </w:rPr>
          <w:fldChar w:fldCharType="end"/>
        </w:r>
      </w:hyperlink>
    </w:p>
    <w:p w14:paraId="7ABDCF2C" w14:textId="7452111C"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7" w:history="1">
        <w:r w:rsidRPr="00771C28">
          <w:rPr>
            <w:rStyle w:val="Hyperlink"/>
            <w:noProof/>
          </w:rPr>
          <w:t>Figura 12: Guia da ITOPF para estimar a porcentagem de cobertura de uma área (Fonte: ITOPF, 2009).</w:t>
        </w:r>
        <w:r>
          <w:rPr>
            <w:noProof/>
            <w:webHidden/>
          </w:rPr>
          <w:tab/>
        </w:r>
        <w:r>
          <w:rPr>
            <w:noProof/>
            <w:webHidden/>
          </w:rPr>
          <w:fldChar w:fldCharType="begin"/>
        </w:r>
        <w:r>
          <w:rPr>
            <w:noProof/>
            <w:webHidden/>
          </w:rPr>
          <w:instrText xml:space="preserve"> PAGEREF _Toc523833977 \h </w:instrText>
        </w:r>
        <w:r>
          <w:rPr>
            <w:noProof/>
            <w:webHidden/>
          </w:rPr>
        </w:r>
        <w:r>
          <w:rPr>
            <w:noProof/>
            <w:webHidden/>
          </w:rPr>
          <w:fldChar w:fldCharType="separate"/>
        </w:r>
        <w:r>
          <w:rPr>
            <w:noProof/>
            <w:webHidden/>
          </w:rPr>
          <w:t>74</w:t>
        </w:r>
        <w:r>
          <w:rPr>
            <w:noProof/>
            <w:webHidden/>
          </w:rPr>
          <w:fldChar w:fldCharType="end"/>
        </w:r>
      </w:hyperlink>
    </w:p>
    <w:p w14:paraId="5EC1CF4E" w14:textId="2512BA13"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8" w:history="1">
        <w:r w:rsidRPr="00771C28">
          <w:rPr>
            <w:rStyle w:val="Hyperlink"/>
            <w:noProof/>
          </w:rPr>
          <w:t>Figura 13: Exemplo de Bóia de deriva (drifting buoy). (Fonte: Prooceano, 2015).</w:t>
        </w:r>
        <w:r>
          <w:rPr>
            <w:noProof/>
            <w:webHidden/>
          </w:rPr>
          <w:tab/>
        </w:r>
        <w:r>
          <w:rPr>
            <w:noProof/>
            <w:webHidden/>
          </w:rPr>
          <w:fldChar w:fldCharType="begin"/>
        </w:r>
        <w:r>
          <w:rPr>
            <w:noProof/>
            <w:webHidden/>
          </w:rPr>
          <w:instrText xml:space="preserve"> PAGEREF _Toc523833978 \h </w:instrText>
        </w:r>
        <w:r>
          <w:rPr>
            <w:noProof/>
            <w:webHidden/>
          </w:rPr>
        </w:r>
        <w:r>
          <w:rPr>
            <w:noProof/>
            <w:webHidden/>
          </w:rPr>
          <w:fldChar w:fldCharType="separate"/>
        </w:r>
        <w:r>
          <w:rPr>
            <w:noProof/>
            <w:webHidden/>
          </w:rPr>
          <w:t>83</w:t>
        </w:r>
        <w:r>
          <w:rPr>
            <w:noProof/>
            <w:webHidden/>
          </w:rPr>
          <w:fldChar w:fldCharType="end"/>
        </w:r>
      </w:hyperlink>
    </w:p>
    <w:p w14:paraId="4C3ADB25" w14:textId="5A53B17F"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79" w:history="1">
        <w:r w:rsidRPr="00771C28">
          <w:rPr>
            <w:rStyle w:val="Hyperlink"/>
            <w:noProof/>
          </w:rPr>
          <w:t>Figura 14: Amostras de resultados de saída do modelo (Fonte: Prooceano, 2015).</w:t>
        </w:r>
        <w:r>
          <w:rPr>
            <w:noProof/>
            <w:webHidden/>
          </w:rPr>
          <w:tab/>
        </w:r>
        <w:r>
          <w:rPr>
            <w:noProof/>
            <w:webHidden/>
          </w:rPr>
          <w:fldChar w:fldCharType="begin"/>
        </w:r>
        <w:r>
          <w:rPr>
            <w:noProof/>
            <w:webHidden/>
          </w:rPr>
          <w:instrText xml:space="preserve"> PAGEREF _Toc523833979 \h </w:instrText>
        </w:r>
        <w:r>
          <w:rPr>
            <w:noProof/>
            <w:webHidden/>
          </w:rPr>
        </w:r>
        <w:r>
          <w:rPr>
            <w:noProof/>
            <w:webHidden/>
          </w:rPr>
          <w:fldChar w:fldCharType="separate"/>
        </w:r>
        <w:r>
          <w:rPr>
            <w:noProof/>
            <w:webHidden/>
          </w:rPr>
          <w:t>88</w:t>
        </w:r>
        <w:r>
          <w:rPr>
            <w:noProof/>
            <w:webHidden/>
          </w:rPr>
          <w:fldChar w:fldCharType="end"/>
        </w:r>
      </w:hyperlink>
    </w:p>
    <w:p w14:paraId="08F6054B" w14:textId="3805FB17"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0" w:history="1">
        <w:r w:rsidRPr="00771C28">
          <w:rPr>
            <w:rStyle w:val="Hyperlink"/>
            <w:noProof/>
          </w:rPr>
          <w:t>Figura 15: Sistema com tecnologia inovadora de contenção e recolhimento – Current Buster lançado com Boom Vane (Fonte: adaptado de NOFI Current Buster®, 2014).</w:t>
        </w:r>
        <w:r>
          <w:rPr>
            <w:noProof/>
            <w:webHidden/>
          </w:rPr>
          <w:tab/>
        </w:r>
        <w:r>
          <w:rPr>
            <w:noProof/>
            <w:webHidden/>
          </w:rPr>
          <w:fldChar w:fldCharType="begin"/>
        </w:r>
        <w:r>
          <w:rPr>
            <w:noProof/>
            <w:webHidden/>
          </w:rPr>
          <w:instrText xml:space="preserve"> PAGEREF _Toc523833980 \h </w:instrText>
        </w:r>
        <w:r>
          <w:rPr>
            <w:noProof/>
            <w:webHidden/>
          </w:rPr>
        </w:r>
        <w:r>
          <w:rPr>
            <w:noProof/>
            <w:webHidden/>
          </w:rPr>
          <w:fldChar w:fldCharType="separate"/>
        </w:r>
        <w:r>
          <w:rPr>
            <w:noProof/>
            <w:webHidden/>
          </w:rPr>
          <w:t>91</w:t>
        </w:r>
        <w:r>
          <w:rPr>
            <w:noProof/>
            <w:webHidden/>
          </w:rPr>
          <w:fldChar w:fldCharType="end"/>
        </w:r>
      </w:hyperlink>
    </w:p>
    <w:p w14:paraId="6135C278" w14:textId="55D49F0D"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1" w:history="1">
        <w:r w:rsidRPr="00771C28">
          <w:rPr>
            <w:rStyle w:val="Hyperlink"/>
            <w:noProof/>
          </w:rPr>
          <w:t>Figura 16: Regiões da mancha onde a dispersão mecânica pode apresentar maior eficiência – áreas com aparência rainbow (arco-íris) e sheen (brilhosa) (Fonte: Adaptado de BAOAC PHOTO ATLAS, 2011).</w:t>
        </w:r>
        <w:r>
          <w:rPr>
            <w:noProof/>
            <w:webHidden/>
          </w:rPr>
          <w:tab/>
        </w:r>
        <w:r>
          <w:rPr>
            <w:noProof/>
            <w:webHidden/>
          </w:rPr>
          <w:fldChar w:fldCharType="begin"/>
        </w:r>
        <w:r>
          <w:rPr>
            <w:noProof/>
            <w:webHidden/>
          </w:rPr>
          <w:instrText xml:space="preserve"> PAGEREF _Toc523833981 \h </w:instrText>
        </w:r>
        <w:r>
          <w:rPr>
            <w:noProof/>
            <w:webHidden/>
          </w:rPr>
        </w:r>
        <w:r>
          <w:rPr>
            <w:noProof/>
            <w:webHidden/>
          </w:rPr>
          <w:fldChar w:fldCharType="separate"/>
        </w:r>
        <w:r>
          <w:rPr>
            <w:noProof/>
            <w:webHidden/>
          </w:rPr>
          <w:t>97</w:t>
        </w:r>
        <w:r>
          <w:rPr>
            <w:noProof/>
            <w:webHidden/>
          </w:rPr>
          <w:fldChar w:fldCharType="end"/>
        </w:r>
      </w:hyperlink>
    </w:p>
    <w:p w14:paraId="66726695" w14:textId="76CED5F5"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2" w:history="1">
        <w:r w:rsidRPr="00771C28">
          <w:rPr>
            <w:rStyle w:val="Hyperlink"/>
            <w:noProof/>
          </w:rPr>
          <w:t xml:space="preserve">Figura 17: Área com restrição ao uso de dispersantes químicos, considerando os critérios </w:t>
        </w:r>
        <w:r w:rsidRPr="00771C28">
          <w:rPr>
            <w:rStyle w:val="Hyperlink"/>
            <w:noProof/>
            <w:highlight w:val="lightGray"/>
          </w:rPr>
          <w:t>da Resolução Conama 472/15 – Art 8º</w:t>
        </w:r>
        <w:r w:rsidRPr="00771C28">
          <w:rPr>
            <w:rStyle w:val="Hyperlink"/>
            <w:noProof/>
          </w:rPr>
          <w:t xml:space="preserve">. (Fonte: </w:t>
        </w:r>
        <w:r w:rsidRPr="00771C28">
          <w:rPr>
            <w:rStyle w:val="Hyperlink"/>
            <w:noProof/>
            <w:highlight w:val="lightGray"/>
          </w:rPr>
          <w:t>Alterado a partir de</w:t>
        </w:r>
        <w:r w:rsidRPr="00771C28">
          <w:rPr>
            <w:rStyle w:val="Hyperlink"/>
            <w:noProof/>
          </w:rPr>
          <w:t xml:space="preserve"> Witt|O’Brien’s).</w:t>
        </w:r>
        <w:r>
          <w:rPr>
            <w:noProof/>
            <w:webHidden/>
          </w:rPr>
          <w:tab/>
        </w:r>
        <w:r>
          <w:rPr>
            <w:noProof/>
            <w:webHidden/>
          </w:rPr>
          <w:fldChar w:fldCharType="begin"/>
        </w:r>
        <w:r>
          <w:rPr>
            <w:noProof/>
            <w:webHidden/>
          </w:rPr>
          <w:instrText xml:space="preserve"> PAGEREF _Toc523833982 \h </w:instrText>
        </w:r>
        <w:r>
          <w:rPr>
            <w:noProof/>
            <w:webHidden/>
          </w:rPr>
        </w:r>
        <w:r>
          <w:rPr>
            <w:noProof/>
            <w:webHidden/>
          </w:rPr>
          <w:fldChar w:fldCharType="separate"/>
        </w:r>
        <w:r>
          <w:rPr>
            <w:noProof/>
            <w:webHidden/>
          </w:rPr>
          <w:t>99</w:t>
        </w:r>
        <w:r>
          <w:rPr>
            <w:noProof/>
            <w:webHidden/>
          </w:rPr>
          <w:fldChar w:fldCharType="end"/>
        </w:r>
      </w:hyperlink>
    </w:p>
    <w:p w14:paraId="4DD65F09" w14:textId="4D288CFC"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3" w:history="1">
        <w:r w:rsidRPr="00771C28">
          <w:rPr>
            <w:rStyle w:val="Hyperlink"/>
            <w:b/>
            <w:noProof/>
          </w:rPr>
          <w:t xml:space="preserve">Figura 18: </w:t>
        </w:r>
        <w:r w:rsidRPr="00771C28">
          <w:rPr>
            <w:rStyle w:val="Hyperlink"/>
            <w:rFonts w:cstheme="majorHAnsi"/>
            <w:b/>
            <w:noProof/>
          </w:rPr>
          <w:t>Sub-dosagem – aplicação de menos dispersante que o requerido, significa que a pulverização foi ineficaz. O óleo permanecerá na superfície no seu estado normal (Fonte: OSRL, 2011).</w:t>
        </w:r>
        <w:r>
          <w:rPr>
            <w:noProof/>
            <w:webHidden/>
          </w:rPr>
          <w:tab/>
        </w:r>
        <w:r>
          <w:rPr>
            <w:noProof/>
            <w:webHidden/>
          </w:rPr>
          <w:fldChar w:fldCharType="begin"/>
        </w:r>
        <w:r>
          <w:rPr>
            <w:noProof/>
            <w:webHidden/>
          </w:rPr>
          <w:instrText xml:space="preserve"> PAGEREF _Toc523833983 \h </w:instrText>
        </w:r>
        <w:r>
          <w:rPr>
            <w:noProof/>
            <w:webHidden/>
          </w:rPr>
        </w:r>
        <w:r>
          <w:rPr>
            <w:noProof/>
            <w:webHidden/>
          </w:rPr>
          <w:fldChar w:fldCharType="separate"/>
        </w:r>
        <w:r>
          <w:rPr>
            <w:noProof/>
            <w:webHidden/>
          </w:rPr>
          <w:t>101</w:t>
        </w:r>
        <w:r>
          <w:rPr>
            <w:noProof/>
            <w:webHidden/>
          </w:rPr>
          <w:fldChar w:fldCharType="end"/>
        </w:r>
      </w:hyperlink>
    </w:p>
    <w:p w14:paraId="3408AE3E" w14:textId="090152F4"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4" w:history="1">
        <w:r w:rsidRPr="00771C28">
          <w:rPr>
            <w:rStyle w:val="Hyperlink"/>
            <w:b/>
            <w:noProof/>
          </w:rPr>
          <w:t xml:space="preserve">Figura 19: </w:t>
        </w:r>
        <w:r w:rsidRPr="00771C28">
          <w:rPr>
            <w:rStyle w:val="Hyperlink"/>
            <w:rFonts w:cstheme="majorHAnsi"/>
            <w:b/>
            <w:noProof/>
          </w:rPr>
          <w:t>Concentração efetiva – quando o dispersante é eficientemente aplicado, uma pluma colorida na cor cinza ou café será visível na água. Também pode haver um movimento perceptível de óleo na superfície (Fonte: OSRL, 2011).</w:t>
        </w:r>
        <w:r>
          <w:rPr>
            <w:noProof/>
            <w:webHidden/>
          </w:rPr>
          <w:tab/>
        </w:r>
        <w:r>
          <w:rPr>
            <w:noProof/>
            <w:webHidden/>
          </w:rPr>
          <w:fldChar w:fldCharType="begin"/>
        </w:r>
        <w:r>
          <w:rPr>
            <w:noProof/>
            <w:webHidden/>
          </w:rPr>
          <w:instrText xml:space="preserve"> PAGEREF _Toc523833984 \h </w:instrText>
        </w:r>
        <w:r>
          <w:rPr>
            <w:noProof/>
            <w:webHidden/>
          </w:rPr>
        </w:r>
        <w:r>
          <w:rPr>
            <w:noProof/>
            <w:webHidden/>
          </w:rPr>
          <w:fldChar w:fldCharType="separate"/>
        </w:r>
        <w:r>
          <w:rPr>
            <w:noProof/>
            <w:webHidden/>
          </w:rPr>
          <w:t>101</w:t>
        </w:r>
        <w:r>
          <w:rPr>
            <w:noProof/>
            <w:webHidden/>
          </w:rPr>
          <w:fldChar w:fldCharType="end"/>
        </w:r>
      </w:hyperlink>
    </w:p>
    <w:p w14:paraId="4C114F6C" w14:textId="42496C8F"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5" w:history="1">
        <w:r w:rsidRPr="00771C28">
          <w:rPr>
            <w:rStyle w:val="Hyperlink"/>
            <w:noProof/>
          </w:rPr>
          <w:t xml:space="preserve">Figura 20: Sobredosagem – a aplicação em excesso de dispersante em águas claras irá resultar em uma pluma branca nebulosa aparecendo na água </w:t>
        </w:r>
        <w:r w:rsidRPr="00771C28">
          <w:rPr>
            <w:rStyle w:val="Hyperlink"/>
            <w:rFonts w:cstheme="majorHAnsi"/>
            <w:noProof/>
          </w:rPr>
          <w:t>(</w:t>
        </w:r>
        <w:r w:rsidRPr="00771C28">
          <w:rPr>
            <w:rStyle w:val="Hyperlink"/>
            <w:noProof/>
          </w:rPr>
          <w:t>Fonte: OSRL, 2011).</w:t>
        </w:r>
        <w:r>
          <w:rPr>
            <w:noProof/>
            <w:webHidden/>
          </w:rPr>
          <w:tab/>
        </w:r>
        <w:r>
          <w:rPr>
            <w:noProof/>
            <w:webHidden/>
          </w:rPr>
          <w:fldChar w:fldCharType="begin"/>
        </w:r>
        <w:r>
          <w:rPr>
            <w:noProof/>
            <w:webHidden/>
          </w:rPr>
          <w:instrText xml:space="preserve"> PAGEREF _Toc523833985 \h </w:instrText>
        </w:r>
        <w:r>
          <w:rPr>
            <w:noProof/>
            <w:webHidden/>
          </w:rPr>
        </w:r>
        <w:r>
          <w:rPr>
            <w:noProof/>
            <w:webHidden/>
          </w:rPr>
          <w:fldChar w:fldCharType="separate"/>
        </w:r>
        <w:r>
          <w:rPr>
            <w:noProof/>
            <w:webHidden/>
          </w:rPr>
          <w:t>101</w:t>
        </w:r>
        <w:r>
          <w:rPr>
            <w:noProof/>
            <w:webHidden/>
          </w:rPr>
          <w:fldChar w:fldCharType="end"/>
        </w:r>
      </w:hyperlink>
    </w:p>
    <w:p w14:paraId="4F20C657" w14:textId="7C1678E5"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6" w:history="1">
        <w:r w:rsidRPr="00771C28">
          <w:rPr>
            <w:rStyle w:val="Hyperlink"/>
            <w:noProof/>
          </w:rPr>
          <w:t xml:space="preserve">Figura 21: Esquema do sistema de pulverização NeatSweep (Fonte: </w:t>
        </w:r>
        <w:r w:rsidRPr="00771C28">
          <w:rPr>
            <w:rStyle w:val="Hyperlink"/>
            <w:rFonts w:cstheme="majorHAnsi"/>
            <w:noProof/>
          </w:rPr>
          <w:t>Elastec American Marine, 2012).</w:t>
        </w:r>
        <w:r>
          <w:rPr>
            <w:noProof/>
            <w:webHidden/>
          </w:rPr>
          <w:tab/>
        </w:r>
        <w:r>
          <w:rPr>
            <w:noProof/>
            <w:webHidden/>
          </w:rPr>
          <w:fldChar w:fldCharType="begin"/>
        </w:r>
        <w:r>
          <w:rPr>
            <w:noProof/>
            <w:webHidden/>
          </w:rPr>
          <w:instrText xml:space="preserve"> PAGEREF _Toc523833986 \h </w:instrText>
        </w:r>
        <w:r>
          <w:rPr>
            <w:noProof/>
            <w:webHidden/>
          </w:rPr>
        </w:r>
        <w:r>
          <w:rPr>
            <w:noProof/>
            <w:webHidden/>
          </w:rPr>
          <w:fldChar w:fldCharType="separate"/>
        </w:r>
        <w:r>
          <w:rPr>
            <w:noProof/>
            <w:webHidden/>
          </w:rPr>
          <w:t>105</w:t>
        </w:r>
        <w:r>
          <w:rPr>
            <w:noProof/>
            <w:webHidden/>
          </w:rPr>
          <w:fldChar w:fldCharType="end"/>
        </w:r>
      </w:hyperlink>
    </w:p>
    <w:p w14:paraId="3765C4DB" w14:textId="49D23ACA"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7" w:history="1">
        <w:r w:rsidRPr="00771C28">
          <w:rPr>
            <w:rStyle w:val="Hyperlink"/>
            <w:noProof/>
          </w:rPr>
          <w:t xml:space="preserve">Figura 22: Sistema NeatSweep – dispositivo de aplicação de dispersante </w:t>
        </w:r>
        <w:r w:rsidRPr="00771C28">
          <w:rPr>
            <w:rStyle w:val="Hyperlink"/>
            <w:rFonts w:cstheme="majorHAnsi"/>
            <w:noProof/>
          </w:rPr>
          <w:t>(Fonte: Elastec American Marine, 2012).</w:t>
        </w:r>
        <w:r>
          <w:rPr>
            <w:noProof/>
            <w:webHidden/>
          </w:rPr>
          <w:tab/>
        </w:r>
        <w:r>
          <w:rPr>
            <w:noProof/>
            <w:webHidden/>
          </w:rPr>
          <w:fldChar w:fldCharType="begin"/>
        </w:r>
        <w:r>
          <w:rPr>
            <w:noProof/>
            <w:webHidden/>
          </w:rPr>
          <w:instrText xml:space="preserve"> PAGEREF _Toc523833987 \h </w:instrText>
        </w:r>
        <w:r>
          <w:rPr>
            <w:noProof/>
            <w:webHidden/>
          </w:rPr>
        </w:r>
        <w:r>
          <w:rPr>
            <w:noProof/>
            <w:webHidden/>
          </w:rPr>
          <w:fldChar w:fldCharType="separate"/>
        </w:r>
        <w:r>
          <w:rPr>
            <w:noProof/>
            <w:webHidden/>
          </w:rPr>
          <w:t>106</w:t>
        </w:r>
        <w:r>
          <w:rPr>
            <w:noProof/>
            <w:webHidden/>
          </w:rPr>
          <w:fldChar w:fldCharType="end"/>
        </w:r>
      </w:hyperlink>
    </w:p>
    <w:p w14:paraId="563DE9D0" w14:textId="08EA9596"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8" w:history="1">
        <w:r w:rsidRPr="00771C28">
          <w:rPr>
            <w:rStyle w:val="Hyperlink"/>
            <w:noProof/>
          </w:rPr>
          <w:t xml:space="preserve">Figura 23: </w:t>
        </w:r>
        <w:r w:rsidRPr="00771C28">
          <w:rPr>
            <w:rStyle w:val="Hyperlink"/>
            <w:rFonts w:cstheme="majorHAnsi"/>
            <w:noProof/>
          </w:rPr>
          <w:t>Sistema NeatSweep montado (Fonte: Elastec American Marine, 2012).</w:t>
        </w:r>
        <w:r>
          <w:rPr>
            <w:noProof/>
            <w:webHidden/>
          </w:rPr>
          <w:tab/>
        </w:r>
        <w:r>
          <w:rPr>
            <w:noProof/>
            <w:webHidden/>
          </w:rPr>
          <w:fldChar w:fldCharType="begin"/>
        </w:r>
        <w:r>
          <w:rPr>
            <w:noProof/>
            <w:webHidden/>
          </w:rPr>
          <w:instrText xml:space="preserve"> PAGEREF _Toc523833988 \h </w:instrText>
        </w:r>
        <w:r>
          <w:rPr>
            <w:noProof/>
            <w:webHidden/>
          </w:rPr>
        </w:r>
        <w:r>
          <w:rPr>
            <w:noProof/>
            <w:webHidden/>
          </w:rPr>
          <w:fldChar w:fldCharType="separate"/>
        </w:r>
        <w:r>
          <w:rPr>
            <w:noProof/>
            <w:webHidden/>
          </w:rPr>
          <w:t>106</w:t>
        </w:r>
        <w:r>
          <w:rPr>
            <w:noProof/>
            <w:webHidden/>
          </w:rPr>
          <w:fldChar w:fldCharType="end"/>
        </w:r>
      </w:hyperlink>
    </w:p>
    <w:p w14:paraId="203FABC1" w14:textId="03E001D3"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89" w:history="1">
        <w:r w:rsidRPr="00771C28">
          <w:rPr>
            <w:rStyle w:val="Hyperlink"/>
            <w:noProof/>
          </w:rPr>
          <w:t xml:space="preserve">Figura 24: </w:t>
        </w:r>
        <w:r w:rsidRPr="00771C28">
          <w:rPr>
            <w:rStyle w:val="Hyperlink"/>
            <w:rFonts w:cstheme="majorHAnsi"/>
            <w:noProof/>
          </w:rPr>
          <w:t>Detalhe no aplicador e agitador (Fonte: Elastec American Marine, 2012).</w:t>
        </w:r>
        <w:r>
          <w:rPr>
            <w:noProof/>
            <w:webHidden/>
          </w:rPr>
          <w:tab/>
        </w:r>
        <w:r>
          <w:rPr>
            <w:noProof/>
            <w:webHidden/>
          </w:rPr>
          <w:fldChar w:fldCharType="begin"/>
        </w:r>
        <w:r>
          <w:rPr>
            <w:noProof/>
            <w:webHidden/>
          </w:rPr>
          <w:instrText xml:space="preserve"> PAGEREF _Toc523833989 \h </w:instrText>
        </w:r>
        <w:r>
          <w:rPr>
            <w:noProof/>
            <w:webHidden/>
          </w:rPr>
        </w:r>
        <w:r>
          <w:rPr>
            <w:noProof/>
            <w:webHidden/>
          </w:rPr>
          <w:fldChar w:fldCharType="separate"/>
        </w:r>
        <w:r>
          <w:rPr>
            <w:noProof/>
            <w:webHidden/>
          </w:rPr>
          <w:t>106</w:t>
        </w:r>
        <w:r>
          <w:rPr>
            <w:noProof/>
            <w:webHidden/>
          </w:rPr>
          <w:fldChar w:fldCharType="end"/>
        </w:r>
      </w:hyperlink>
    </w:p>
    <w:p w14:paraId="45ACC0C3" w14:textId="29380E43"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90" w:history="1">
        <w:r w:rsidRPr="00771C28">
          <w:rPr>
            <w:rStyle w:val="Hyperlink"/>
            <w:noProof/>
          </w:rPr>
          <w:t xml:space="preserve">Figura 25: Unidade de aplicação em funcionamento </w:t>
        </w:r>
        <w:r w:rsidRPr="00771C28">
          <w:rPr>
            <w:rStyle w:val="Hyperlink"/>
            <w:rFonts w:cstheme="majorHAnsi"/>
            <w:noProof/>
          </w:rPr>
          <w:t>(Fonte: Elastec American Marine, 2012).</w:t>
        </w:r>
        <w:r>
          <w:rPr>
            <w:noProof/>
            <w:webHidden/>
          </w:rPr>
          <w:tab/>
        </w:r>
        <w:r>
          <w:rPr>
            <w:noProof/>
            <w:webHidden/>
          </w:rPr>
          <w:fldChar w:fldCharType="begin"/>
        </w:r>
        <w:r>
          <w:rPr>
            <w:noProof/>
            <w:webHidden/>
          </w:rPr>
          <w:instrText xml:space="preserve"> PAGEREF _Toc523833990 \h </w:instrText>
        </w:r>
        <w:r>
          <w:rPr>
            <w:noProof/>
            <w:webHidden/>
          </w:rPr>
        </w:r>
        <w:r>
          <w:rPr>
            <w:noProof/>
            <w:webHidden/>
          </w:rPr>
          <w:fldChar w:fldCharType="separate"/>
        </w:r>
        <w:r>
          <w:rPr>
            <w:noProof/>
            <w:webHidden/>
          </w:rPr>
          <w:t>106</w:t>
        </w:r>
        <w:r>
          <w:rPr>
            <w:noProof/>
            <w:webHidden/>
          </w:rPr>
          <w:fldChar w:fldCharType="end"/>
        </w:r>
      </w:hyperlink>
    </w:p>
    <w:p w14:paraId="0F6BD4C8" w14:textId="70E6D32E"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91" w:history="1">
        <w:r w:rsidRPr="00771C28">
          <w:rPr>
            <w:rStyle w:val="Hyperlink"/>
            <w:noProof/>
          </w:rPr>
          <w:t>Figura 26: Tipos de navios e equipamentos que podem ser considerados em uma operação de aplicação de dispersante por via marítima (Fonte: Modificado a partir do original em BP, 2012).</w:t>
        </w:r>
        <w:r>
          <w:rPr>
            <w:noProof/>
            <w:webHidden/>
          </w:rPr>
          <w:tab/>
        </w:r>
        <w:r>
          <w:rPr>
            <w:noProof/>
            <w:webHidden/>
          </w:rPr>
          <w:fldChar w:fldCharType="begin"/>
        </w:r>
        <w:r>
          <w:rPr>
            <w:noProof/>
            <w:webHidden/>
          </w:rPr>
          <w:instrText xml:space="preserve"> PAGEREF _Toc523833991 \h </w:instrText>
        </w:r>
        <w:r>
          <w:rPr>
            <w:noProof/>
            <w:webHidden/>
          </w:rPr>
        </w:r>
        <w:r>
          <w:rPr>
            <w:noProof/>
            <w:webHidden/>
          </w:rPr>
          <w:fldChar w:fldCharType="separate"/>
        </w:r>
        <w:r>
          <w:rPr>
            <w:noProof/>
            <w:webHidden/>
          </w:rPr>
          <w:t>107</w:t>
        </w:r>
        <w:r>
          <w:rPr>
            <w:noProof/>
            <w:webHidden/>
          </w:rPr>
          <w:fldChar w:fldCharType="end"/>
        </w:r>
      </w:hyperlink>
    </w:p>
    <w:p w14:paraId="36CEAB43" w14:textId="67C6D6DF"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92" w:history="1">
        <w:r w:rsidRPr="00771C28">
          <w:rPr>
            <w:rStyle w:val="Hyperlink"/>
            <w:noProof/>
          </w:rPr>
          <w:t>Figura 27: Alternativas para aplicação de dispersantes e monitoramento das operações (Fonte: Adaptado de Spill Tactics for Alaska Responders, 2014).</w:t>
        </w:r>
        <w:r>
          <w:rPr>
            <w:noProof/>
            <w:webHidden/>
          </w:rPr>
          <w:tab/>
        </w:r>
        <w:r>
          <w:rPr>
            <w:noProof/>
            <w:webHidden/>
          </w:rPr>
          <w:fldChar w:fldCharType="begin"/>
        </w:r>
        <w:r>
          <w:rPr>
            <w:noProof/>
            <w:webHidden/>
          </w:rPr>
          <w:instrText xml:space="preserve"> PAGEREF _Toc523833992 \h </w:instrText>
        </w:r>
        <w:r>
          <w:rPr>
            <w:noProof/>
            <w:webHidden/>
          </w:rPr>
        </w:r>
        <w:r>
          <w:rPr>
            <w:noProof/>
            <w:webHidden/>
          </w:rPr>
          <w:fldChar w:fldCharType="separate"/>
        </w:r>
        <w:r>
          <w:rPr>
            <w:noProof/>
            <w:webHidden/>
          </w:rPr>
          <w:t>110</w:t>
        </w:r>
        <w:r>
          <w:rPr>
            <w:noProof/>
            <w:webHidden/>
          </w:rPr>
          <w:fldChar w:fldCharType="end"/>
        </w:r>
      </w:hyperlink>
    </w:p>
    <w:p w14:paraId="318D026E" w14:textId="3D39258F"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3993" w:history="1">
        <w:r w:rsidRPr="00771C28">
          <w:rPr>
            <w:rStyle w:val="Hyperlink"/>
            <w:noProof/>
          </w:rPr>
          <w:t>Figura 28: Esquema de aplicação aérea de dispersantes com aeronaves de asa fixa (Fonte: Modificado a partir do original em BP, 2012).</w:t>
        </w:r>
        <w:r>
          <w:rPr>
            <w:noProof/>
            <w:webHidden/>
          </w:rPr>
          <w:tab/>
        </w:r>
        <w:r>
          <w:rPr>
            <w:noProof/>
            <w:webHidden/>
          </w:rPr>
          <w:fldChar w:fldCharType="begin"/>
        </w:r>
        <w:r>
          <w:rPr>
            <w:noProof/>
            <w:webHidden/>
          </w:rPr>
          <w:instrText xml:space="preserve"> PAGEREF _Toc523833993 \h </w:instrText>
        </w:r>
        <w:r>
          <w:rPr>
            <w:noProof/>
            <w:webHidden/>
          </w:rPr>
        </w:r>
        <w:r>
          <w:rPr>
            <w:noProof/>
            <w:webHidden/>
          </w:rPr>
          <w:fldChar w:fldCharType="separate"/>
        </w:r>
        <w:r>
          <w:rPr>
            <w:noProof/>
            <w:webHidden/>
          </w:rPr>
          <w:t>110</w:t>
        </w:r>
        <w:r>
          <w:rPr>
            <w:noProof/>
            <w:webHidden/>
          </w:rPr>
          <w:fldChar w:fldCharType="end"/>
        </w:r>
      </w:hyperlink>
    </w:p>
    <w:p w14:paraId="17F31A71" w14:textId="35708DC5" w:rsidR="00CC47FD" w:rsidRPr="00CC47FD" w:rsidRDefault="00FC10A8" w:rsidP="00BC431A">
      <w:pPr>
        <w:pStyle w:val="TableofFigures"/>
        <w:tabs>
          <w:tab w:val="right" w:leader="dot" w:pos="9060"/>
        </w:tabs>
        <w:rPr>
          <w:iCs w:val="0"/>
          <w:sz w:val="20"/>
          <w:highlight w:val="yellow"/>
          <w:lang w:val="en-GB" w:eastAsia="zh-CN"/>
        </w:rPr>
      </w:pPr>
      <w:r w:rsidRPr="00DB2BC5">
        <w:rPr>
          <w:iCs w:val="0"/>
          <w:sz w:val="20"/>
          <w:highlight w:val="yellow"/>
          <w:lang w:val="en-GB" w:eastAsia="zh-CN"/>
        </w:rPr>
        <w:fldChar w:fldCharType="end"/>
      </w:r>
      <w:r w:rsidR="00CC47FD">
        <w:rPr>
          <w:sz w:val="20"/>
          <w:highlight w:val="yellow"/>
          <w:lang w:val="en-GB" w:eastAsia="zh-CN"/>
        </w:rPr>
        <w:br w:type="page"/>
      </w:r>
    </w:p>
    <w:p w14:paraId="644A1D97" w14:textId="77777777" w:rsidR="00626D9A" w:rsidRPr="005249F7" w:rsidRDefault="00641FD8" w:rsidP="005249F7">
      <w:pPr>
        <w:pStyle w:val="Indices"/>
        <w:rPr>
          <w:rStyle w:val="NegritoVersaleteChar"/>
          <w:b/>
          <w:i w:val="0"/>
          <w:smallCaps/>
          <w:color w:val="auto"/>
        </w:rPr>
      </w:pPr>
      <w:r w:rsidRPr="005249F7">
        <w:rPr>
          <w:rStyle w:val="NegritoVersaleteChar"/>
          <w:b/>
          <w:i w:val="0"/>
          <w:smallCaps/>
          <w:color w:val="auto"/>
        </w:rPr>
        <w:lastRenderedPageBreak/>
        <w:t>Índice de Tabelas</w:t>
      </w:r>
    </w:p>
    <w:bookmarkStart w:id="0" w:name="_GoBack"/>
    <w:bookmarkEnd w:id="0"/>
    <w:p w14:paraId="331C6F29" w14:textId="2047ACD2" w:rsidR="003904DD" w:rsidRDefault="005B5638">
      <w:pPr>
        <w:pStyle w:val="TableofFigures"/>
        <w:tabs>
          <w:tab w:val="right" w:leader="dot" w:pos="9060"/>
        </w:tabs>
        <w:rPr>
          <w:rFonts w:asciiTheme="minorHAnsi" w:hAnsiTheme="minorHAnsi"/>
          <w:i w:val="0"/>
          <w:iCs w:val="0"/>
          <w:noProof/>
          <w:szCs w:val="22"/>
          <w:lang w:val="en-US" w:eastAsia="en-US"/>
        </w:rPr>
      </w:pPr>
      <w:r w:rsidRPr="00DB2BC5">
        <w:rPr>
          <w:rStyle w:val="NegritoVersaleteChar"/>
          <w:b w:val="0"/>
          <w:i/>
          <w:color w:val="auto"/>
          <w:sz w:val="20"/>
        </w:rPr>
        <w:fldChar w:fldCharType="begin"/>
      </w:r>
      <w:r w:rsidRPr="00DB2BC5">
        <w:rPr>
          <w:rStyle w:val="NegritoVersaleteChar"/>
          <w:b w:val="0"/>
          <w:i/>
          <w:color w:val="auto"/>
          <w:sz w:val="20"/>
        </w:rPr>
        <w:instrText xml:space="preserve"> TOC \h \z \c "Tabela" </w:instrText>
      </w:r>
      <w:r w:rsidRPr="00DB2BC5">
        <w:rPr>
          <w:rStyle w:val="NegritoVersaleteChar"/>
          <w:b w:val="0"/>
          <w:i/>
          <w:color w:val="auto"/>
          <w:sz w:val="20"/>
        </w:rPr>
        <w:fldChar w:fldCharType="separate"/>
      </w:r>
      <w:hyperlink w:anchor="_Toc523834033" w:history="1">
        <w:r w:rsidR="003904DD" w:rsidRPr="00495163">
          <w:rPr>
            <w:rStyle w:val="Hyperlink"/>
            <w:noProof/>
          </w:rPr>
          <w:t>Tabela 1: Informações da empresa operadora.</w:t>
        </w:r>
        <w:r w:rsidR="003904DD">
          <w:rPr>
            <w:noProof/>
            <w:webHidden/>
          </w:rPr>
          <w:tab/>
        </w:r>
        <w:r w:rsidR="003904DD">
          <w:rPr>
            <w:noProof/>
            <w:webHidden/>
          </w:rPr>
          <w:fldChar w:fldCharType="begin"/>
        </w:r>
        <w:r w:rsidR="003904DD">
          <w:rPr>
            <w:noProof/>
            <w:webHidden/>
          </w:rPr>
          <w:instrText xml:space="preserve"> PAGEREF _Toc523834033 \h </w:instrText>
        </w:r>
        <w:r w:rsidR="003904DD">
          <w:rPr>
            <w:noProof/>
            <w:webHidden/>
          </w:rPr>
        </w:r>
        <w:r w:rsidR="003904DD">
          <w:rPr>
            <w:noProof/>
            <w:webHidden/>
          </w:rPr>
          <w:fldChar w:fldCharType="separate"/>
        </w:r>
        <w:r w:rsidR="003904DD">
          <w:rPr>
            <w:noProof/>
            <w:webHidden/>
          </w:rPr>
          <w:t>2</w:t>
        </w:r>
        <w:r w:rsidR="003904DD">
          <w:rPr>
            <w:noProof/>
            <w:webHidden/>
          </w:rPr>
          <w:fldChar w:fldCharType="end"/>
        </w:r>
      </w:hyperlink>
    </w:p>
    <w:p w14:paraId="64E13BDA" w14:textId="059D1A30"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4" w:history="1">
        <w:r w:rsidRPr="00495163">
          <w:rPr>
            <w:rStyle w:val="Hyperlink"/>
            <w:noProof/>
          </w:rPr>
          <w:t>Tabela 2: Informações do Representante Legal e do Responsável Técnico.</w:t>
        </w:r>
        <w:r>
          <w:rPr>
            <w:noProof/>
            <w:webHidden/>
          </w:rPr>
          <w:tab/>
        </w:r>
        <w:r>
          <w:rPr>
            <w:noProof/>
            <w:webHidden/>
          </w:rPr>
          <w:fldChar w:fldCharType="begin"/>
        </w:r>
        <w:r>
          <w:rPr>
            <w:noProof/>
            <w:webHidden/>
          </w:rPr>
          <w:instrText xml:space="preserve"> PAGEREF _Toc523834034 \h </w:instrText>
        </w:r>
        <w:r>
          <w:rPr>
            <w:noProof/>
            <w:webHidden/>
          </w:rPr>
        </w:r>
        <w:r>
          <w:rPr>
            <w:noProof/>
            <w:webHidden/>
          </w:rPr>
          <w:fldChar w:fldCharType="separate"/>
        </w:r>
        <w:r>
          <w:rPr>
            <w:noProof/>
            <w:webHidden/>
          </w:rPr>
          <w:t>3</w:t>
        </w:r>
        <w:r>
          <w:rPr>
            <w:noProof/>
            <w:webHidden/>
          </w:rPr>
          <w:fldChar w:fldCharType="end"/>
        </w:r>
      </w:hyperlink>
    </w:p>
    <w:p w14:paraId="2FC210BC" w14:textId="5820A6DD"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5" w:history="1">
        <w:r w:rsidRPr="00495163">
          <w:rPr>
            <w:rStyle w:val="Hyperlink"/>
            <w:noProof/>
          </w:rPr>
          <w:t>Tabela 3: Coordenadas do Bloco FZA-M-59 (DATUM: SIRGAS 2000).</w:t>
        </w:r>
        <w:r>
          <w:rPr>
            <w:noProof/>
            <w:webHidden/>
          </w:rPr>
          <w:tab/>
        </w:r>
        <w:r>
          <w:rPr>
            <w:noProof/>
            <w:webHidden/>
          </w:rPr>
          <w:fldChar w:fldCharType="begin"/>
        </w:r>
        <w:r>
          <w:rPr>
            <w:noProof/>
            <w:webHidden/>
          </w:rPr>
          <w:instrText xml:space="preserve"> PAGEREF _Toc523834035 \h </w:instrText>
        </w:r>
        <w:r>
          <w:rPr>
            <w:noProof/>
            <w:webHidden/>
          </w:rPr>
        </w:r>
        <w:r>
          <w:rPr>
            <w:noProof/>
            <w:webHidden/>
          </w:rPr>
          <w:fldChar w:fldCharType="separate"/>
        </w:r>
        <w:r>
          <w:rPr>
            <w:noProof/>
            <w:webHidden/>
          </w:rPr>
          <w:t>3</w:t>
        </w:r>
        <w:r>
          <w:rPr>
            <w:noProof/>
            <w:webHidden/>
          </w:rPr>
          <w:fldChar w:fldCharType="end"/>
        </w:r>
      </w:hyperlink>
    </w:p>
    <w:p w14:paraId="4308BD69" w14:textId="09083736"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6" w:history="1">
        <w:r w:rsidRPr="00495163">
          <w:rPr>
            <w:rStyle w:val="Hyperlink"/>
            <w:noProof/>
          </w:rPr>
          <w:t>Tabela 4: Informações do poço a ser perfurado pela BP Energy no Bloco FZA-M-59.</w:t>
        </w:r>
        <w:r>
          <w:rPr>
            <w:noProof/>
            <w:webHidden/>
          </w:rPr>
          <w:tab/>
        </w:r>
        <w:r>
          <w:rPr>
            <w:noProof/>
            <w:webHidden/>
          </w:rPr>
          <w:fldChar w:fldCharType="begin"/>
        </w:r>
        <w:r>
          <w:rPr>
            <w:noProof/>
            <w:webHidden/>
          </w:rPr>
          <w:instrText xml:space="preserve"> PAGEREF _Toc523834036 \h </w:instrText>
        </w:r>
        <w:r>
          <w:rPr>
            <w:noProof/>
            <w:webHidden/>
          </w:rPr>
        </w:r>
        <w:r>
          <w:rPr>
            <w:noProof/>
            <w:webHidden/>
          </w:rPr>
          <w:fldChar w:fldCharType="separate"/>
        </w:r>
        <w:r>
          <w:rPr>
            <w:noProof/>
            <w:webHidden/>
          </w:rPr>
          <w:t>4</w:t>
        </w:r>
        <w:r>
          <w:rPr>
            <w:noProof/>
            <w:webHidden/>
          </w:rPr>
          <w:fldChar w:fldCharType="end"/>
        </w:r>
      </w:hyperlink>
    </w:p>
    <w:p w14:paraId="41573911" w14:textId="7DC062C5"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7" w:history="1">
        <w:r w:rsidRPr="00495163">
          <w:rPr>
            <w:rStyle w:val="Hyperlink"/>
            <w:noProof/>
          </w:rPr>
          <w:t xml:space="preserve">Tabela 5: Dados da </w:t>
        </w:r>
        <w:r w:rsidRPr="00495163">
          <w:rPr>
            <w:rStyle w:val="Hyperlink"/>
            <w:rFonts w:cs="TT1D8t00"/>
            <w:noProof/>
          </w:rPr>
          <w:t>ENSCO DS-9.</w:t>
        </w:r>
        <w:r>
          <w:rPr>
            <w:noProof/>
            <w:webHidden/>
          </w:rPr>
          <w:tab/>
        </w:r>
        <w:r>
          <w:rPr>
            <w:noProof/>
            <w:webHidden/>
          </w:rPr>
          <w:fldChar w:fldCharType="begin"/>
        </w:r>
        <w:r>
          <w:rPr>
            <w:noProof/>
            <w:webHidden/>
          </w:rPr>
          <w:instrText xml:space="preserve"> PAGEREF _Toc523834037 \h </w:instrText>
        </w:r>
        <w:r>
          <w:rPr>
            <w:noProof/>
            <w:webHidden/>
          </w:rPr>
        </w:r>
        <w:r>
          <w:rPr>
            <w:noProof/>
            <w:webHidden/>
          </w:rPr>
          <w:fldChar w:fldCharType="separate"/>
        </w:r>
        <w:r>
          <w:rPr>
            <w:noProof/>
            <w:webHidden/>
          </w:rPr>
          <w:t>4</w:t>
        </w:r>
        <w:r>
          <w:rPr>
            <w:noProof/>
            <w:webHidden/>
          </w:rPr>
          <w:fldChar w:fldCharType="end"/>
        </w:r>
      </w:hyperlink>
    </w:p>
    <w:p w14:paraId="4A35056F" w14:textId="1E6008C5"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8" w:history="1">
        <w:r w:rsidRPr="00495163">
          <w:rPr>
            <w:rStyle w:val="Hyperlink"/>
            <w:noProof/>
          </w:rPr>
          <w:t>Tabela 6: Sumário dos cenários acidentais com potencial de derramamento de produto oleoso, identificados na Análise Preliminar de Riscos (APR).</w:t>
        </w:r>
        <w:r>
          <w:rPr>
            <w:noProof/>
            <w:webHidden/>
          </w:rPr>
          <w:tab/>
        </w:r>
        <w:r>
          <w:rPr>
            <w:noProof/>
            <w:webHidden/>
          </w:rPr>
          <w:fldChar w:fldCharType="begin"/>
        </w:r>
        <w:r>
          <w:rPr>
            <w:noProof/>
            <w:webHidden/>
          </w:rPr>
          <w:instrText xml:space="preserve"> PAGEREF _Toc523834038 \h </w:instrText>
        </w:r>
        <w:r>
          <w:rPr>
            <w:noProof/>
            <w:webHidden/>
          </w:rPr>
        </w:r>
        <w:r>
          <w:rPr>
            <w:noProof/>
            <w:webHidden/>
          </w:rPr>
          <w:fldChar w:fldCharType="separate"/>
        </w:r>
        <w:r>
          <w:rPr>
            <w:noProof/>
            <w:webHidden/>
          </w:rPr>
          <w:t>7</w:t>
        </w:r>
        <w:r>
          <w:rPr>
            <w:noProof/>
            <w:webHidden/>
          </w:rPr>
          <w:fldChar w:fldCharType="end"/>
        </w:r>
      </w:hyperlink>
    </w:p>
    <w:p w14:paraId="6F1E5F5E" w14:textId="0B9CEFC8"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39" w:history="1">
        <w:r w:rsidRPr="00495163">
          <w:rPr>
            <w:rStyle w:val="Hyperlink"/>
            <w:noProof/>
          </w:rPr>
          <w:t>Tabela 7: Proporção de cenários acidentais envolvendo descargas pequena, média e grande de produto oleoso.</w:t>
        </w:r>
        <w:r>
          <w:rPr>
            <w:noProof/>
            <w:webHidden/>
          </w:rPr>
          <w:tab/>
        </w:r>
        <w:r>
          <w:rPr>
            <w:noProof/>
            <w:webHidden/>
          </w:rPr>
          <w:fldChar w:fldCharType="begin"/>
        </w:r>
        <w:r>
          <w:rPr>
            <w:noProof/>
            <w:webHidden/>
          </w:rPr>
          <w:instrText xml:space="preserve"> PAGEREF _Toc523834039 \h </w:instrText>
        </w:r>
        <w:r>
          <w:rPr>
            <w:noProof/>
            <w:webHidden/>
          </w:rPr>
        </w:r>
        <w:r>
          <w:rPr>
            <w:noProof/>
            <w:webHidden/>
          </w:rPr>
          <w:fldChar w:fldCharType="separate"/>
        </w:r>
        <w:r>
          <w:rPr>
            <w:noProof/>
            <w:webHidden/>
          </w:rPr>
          <w:t>10</w:t>
        </w:r>
        <w:r>
          <w:rPr>
            <w:noProof/>
            <w:webHidden/>
          </w:rPr>
          <w:fldChar w:fldCharType="end"/>
        </w:r>
      </w:hyperlink>
    </w:p>
    <w:p w14:paraId="7B3D9680" w14:textId="3C6913FD"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0" w:history="1">
        <w:r w:rsidRPr="00495163">
          <w:rPr>
            <w:rStyle w:val="Hyperlink"/>
            <w:b/>
            <w:noProof/>
          </w:rPr>
          <w:t>Tabela 8: Critérios para a avaliação da vulnerabilidade ambiental.</w:t>
        </w:r>
        <w:r>
          <w:rPr>
            <w:noProof/>
            <w:webHidden/>
          </w:rPr>
          <w:tab/>
        </w:r>
        <w:r>
          <w:rPr>
            <w:noProof/>
            <w:webHidden/>
          </w:rPr>
          <w:fldChar w:fldCharType="begin"/>
        </w:r>
        <w:r>
          <w:rPr>
            <w:noProof/>
            <w:webHidden/>
          </w:rPr>
          <w:instrText xml:space="preserve"> PAGEREF _Toc523834040 \h </w:instrText>
        </w:r>
        <w:r>
          <w:rPr>
            <w:noProof/>
            <w:webHidden/>
          </w:rPr>
        </w:r>
        <w:r>
          <w:rPr>
            <w:noProof/>
            <w:webHidden/>
          </w:rPr>
          <w:fldChar w:fldCharType="separate"/>
        </w:r>
        <w:r>
          <w:rPr>
            <w:noProof/>
            <w:webHidden/>
          </w:rPr>
          <w:t>11</w:t>
        </w:r>
        <w:r>
          <w:rPr>
            <w:noProof/>
            <w:webHidden/>
          </w:rPr>
          <w:fldChar w:fldCharType="end"/>
        </w:r>
      </w:hyperlink>
    </w:p>
    <w:p w14:paraId="04C3A85C" w14:textId="6A4D0DE0"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1" w:history="1">
        <w:r w:rsidRPr="00495163">
          <w:rPr>
            <w:rStyle w:val="Hyperlink"/>
            <w:b/>
            <w:noProof/>
          </w:rPr>
          <w:t>Tabela 9: Vulnerabilidade dos componentes ambientais potencialmente impactados no caso de um derramamento de óleo de pior caso em decorrência das atividades no Bloco FZA-M-59.</w:t>
        </w:r>
        <w:r>
          <w:rPr>
            <w:noProof/>
            <w:webHidden/>
          </w:rPr>
          <w:tab/>
        </w:r>
        <w:r>
          <w:rPr>
            <w:noProof/>
            <w:webHidden/>
          </w:rPr>
          <w:fldChar w:fldCharType="begin"/>
        </w:r>
        <w:r>
          <w:rPr>
            <w:noProof/>
            <w:webHidden/>
          </w:rPr>
          <w:instrText xml:space="preserve"> PAGEREF _Toc523834041 \h </w:instrText>
        </w:r>
        <w:r>
          <w:rPr>
            <w:noProof/>
            <w:webHidden/>
          </w:rPr>
        </w:r>
        <w:r>
          <w:rPr>
            <w:noProof/>
            <w:webHidden/>
          </w:rPr>
          <w:fldChar w:fldCharType="separate"/>
        </w:r>
        <w:r>
          <w:rPr>
            <w:noProof/>
            <w:webHidden/>
          </w:rPr>
          <w:t>13</w:t>
        </w:r>
        <w:r>
          <w:rPr>
            <w:noProof/>
            <w:webHidden/>
          </w:rPr>
          <w:fldChar w:fldCharType="end"/>
        </w:r>
      </w:hyperlink>
    </w:p>
    <w:p w14:paraId="611E8EA3" w14:textId="14750160"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2" w:history="1">
        <w:r w:rsidRPr="00495163">
          <w:rPr>
            <w:rStyle w:val="Hyperlink"/>
            <w:b/>
            <w:noProof/>
          </w:rPr>
          <w:t>Tabela 10: Formulários ICS usados pela BP Energy do Brasil em seu sistema de gerenciamento de emergências.</w:t>
        </w:r>
        <w:r>
          <w:rPr>
            <w:noProof/>
            <w:webHidden/>
          </w:rPr>
          <w:tab/>
        </w:r>
        <w:r>
          <w:rPr>
            <w:noProof/>
            <w:webHidden/>
          </w:rPr>
          <w:fldChar w:fldCharType="begin"/>
        </w:r>
        <w:r>
          <w:rPr>
            <w:noProof/>
            <w:webHidden/>
          </w:rPr>
          <w:instrText xml:space="preserve"> PAGEREF _Toc523834042 \h </w:instrText>
        </w:r>
        <w:r>
          <w:rPr>
            <w:noProof/>
            <w:webHidden/>
          </w:rPr>
        </w:r>
        <w:r>
          <w:rPr>
            <w:noProof/>
            <w:webHidden/>
          </w:rPr>
          <w:fldChar w:fldCharType="separate"/>
        </w:r>
        <w:r>
          <w:rPr>
            <w:noProof/>
            <w:webHidden/>
          </w:rPr>
          <w:t>34</w:t>
        </w:r>
        <w:r>
          <w:rPr>
            <w:noProof/>
            <w:webHidden/>
          </w:rPr>
          <w:fldChar w:fldCharType="end"/>
        </w:r>
      </w:hyperlink>
    </w:p>
    <w:p w14:paraId="6C52EC69" w14:textId="38F04B3A"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3" w:history="1">
        <w:r w:rsidRPr="00495163">
          <w:rPr>
            <w:rStyle w:val="Hyperlink"/>
            <w:b/>
            <w:noProof/>
          </w:rPr>
          <w:t>Tabela 11: Notificações externas para agências ambientais.</w:t>
        </w:r>
        <w:r>
          <w:rPr>
            <w:noProof/>
            <w:webHidden/>
          </w:rPr>
          <w:tab/>
        </w:r>
        <w:r>
          <w:rPr>
            <w:noProof/>
            <w:webHidden/>
          </w:rPr>
          <w:fldChar w:fldCharType="begin"/>
        </w:r>
        <w:r>
          <w:rPr>
            <w:noProof/>
            <w:webHidden/>
          </w:rPr>
          <w:instrText xml:space="preserve"> PAGEREF _Toc523834043 \h </w:instrText>
        </w:r>
        <w:r>
          <w:rPr>
            <w:noProof/>
            <w:webHidden/>
          </w:rPr>
        </w:r>
        <w:r>
          <w:rPr>
            <w:noProof/>
            <w:webHidden/>
          </w:rPr>
          <w:fldChar w:fldCharType="separate"/>
        </w:r>
        <w:r>
          <w:rPr>
            <w:noProof/>
            <w:webHidden/>
          </w:rPr>
          <w:t>41</w:t>
        </w:r>
        <w:r>
          <w:rPr>
            <w:noProof/>
            <w:webHidden/>
          </w:rPr>
          <w:fldChar w:fldCharType="end"/>
        </w:r>
      </w:hyperlink>
    </w:p>
    <w:p w14:paraId="4444793F" w14:textId="5A3505C6"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4" w:history="1">
        <w:r w:rsidRPr="00495163">
          <w:rPr>
            <w:rStyle w:val="Hyperlink"/>
            <w:noProof/>
          </w:rPr>
          <w:t>Tabela 12: Algumas partes interessadas específicas e seus interlocutores.</w:t>
        </w:r>
        <w:r>
          <w:rPr>
            <w:noProof/>
            <w:webHidden/>
          </w:rPr>
          <w:tab/>
        </w:r>
        <w:r>
          <w:rPr>
            <w:noProof/>
            <w:webHidden/>
          </w:rPr>
          <w:fldChar w:fldCharType="begin"/>
        </w:r>
        <w:r>
          <w:rPr>
            <w:noProof/>
            <w:webHidden/>
          </w:rPr>
          <w:instrText xml:space="preserve"> PAGEREF _Toc523834044 \h </w:instrText>
        </w:r>
        <w:r>
          <w:rPr>
            <w:noProof/>
            <w:webHidden/>
          </w:rPr>
        </w:r>
        <w:r>
          <w:rPr>
            <w:noProof/>
            <w:webHidden/>
          </w:rPr>
          <w:fldChar w:fldCharType="separate"/>
        </w:r>
        <w:r>
          <w:rPr>
            <w:noProof/>
            <w:webHidden/>
          </w:rPr>
          <w:t>45</w:t>
        </w:r>
        <w:r>
          <w:rPr>
            <w:noProof/>
            <w:webHidden/>
          </w:rPr>
          <w:fldChar w:fldCharType="end"/>
        </w:r>
      </w:hyperlink>
    </w:p>
    <w:p w14:paraId="11EC3E88" w14:textId="4D823872"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5" w:history="1">
        <w:r w:rsidRPr="00495163">
          <w:rPr>
            <w:rStyle w:val="Hyperlink"/>
            <w:noProof/>
          </w:rPr>
          <w:t>Tabela 13: Características da estratégia adotada.</w:t>
        </w:r>
        <w:r>
          <w:rPr>
            <w:noProof/>
            <w:webHidden/>
          </w:rPr>
          <w:tab/>
        </w:r>
        <w:r>
          <w:rPr>
            <w:noProof/>
            <w:webHidden/>
          </w:rPr>
          <w:fldChar w:fldCharType="begin"/>
        </w:r>
        <w:r>
          <w:rPr>
            <w:noProof/>
            <w:webHidden/>
          </w:rPr>
          <w:instrText xml:space="preserve"> PAGEREF _Toc523834045 \h </w:instrText>
        </w:r>
        <w:r>
          <w:rPr>
            <w:noProof/>
            <w:webHidden/>
          </w:rPr>
        </w:r>
        <w:r>
          <w:rPr>
            <w:noProof/>
            <w:webHidden/>
          </w:rPr>
          <w:fldChar w:fldCharType="separate"/>
        </w:r>
        <w:r>
          <w:rPr>
            <w:noProof/>
            <w:webHidden/>
          </w:rPr>
          <w:t>90</w:t>
        </w:r>
        <w:r>
          <w:rPr>
            <w:noProof/>
            <w:webHidden/>
          </w:rPr>
          <w:fldChar w:fldCharType="end"/>
        </w:r>
      </w:hyperlink>
    </w:p>
    <w:p w14:paraId="2F279650" w14:textId="0D591F28"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6" w:history="1">
        <w:r w:rsidRPr="00495163">
          <w:rPr>
            <w:rStyle w:val="Hyperlink"/>
            <w:noProof/>
          </w:rPr>
          <w:t>Tabela 14: Recursos disponíveis para a operacionalização da estratégia de contenção e recolhimento.</w:t>
        </w:r>
        <w:r>
          <w:rPr>
            <w:noProof/>
            <w:webHidden/>
          </w:rPr>
          <w:tab/>
        </w:r>
        <w:r>
          <w:rPr>
            <w:noProof/>
            <w:webHidden/>
          </w:rPr>
          <w:fldChar w:fldCharType="begin"/>
        </w:r>
        <w:r>
          <w:rPr>
            <w:noProof/>
            <w:webHidden/>
          </w:rPr>
          <w:instrText xml:space="preserve"> PAGEREF _Toc523834046 \h </w:instrText>
        </w:r>
        <w:r>
          <w:rPr>
            <w:noProof/>
            <w:webHidden/>
          </w:rPr>
        </w:r>
        <w:r>
          <w:rPr>
            <w:noProof/>
            <w:webHidden/>
          </w:rPr>
          <w:fldChar w:fldCharType="separate"/>
        </w:r>
        <w:r>
          <w:rPr>
            <w:noProof/>
            <w:webHidden/>
          </w:rPr>
          <w:t>92</w:t>
        </w:r>
        <w:r>
          <w:rPr>
            <w:noProof/>
            <w:webHidden/>
          </w:rPr>
          <w:fldChar w:fldCharType="end"/>
        </w:r>
      </w:hyperlink>
    </w:p>
    <w:p w14:paraId="1CBE49AA" w14:textId="4DD4810E"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7" w:history="1">
        <w:r w:rsidRPr="00495163">
          <w:rPr>
            <w:rStyle w:val="Hyperlink"/>
            <w:b/>
            <w:noProof/>
          </w:rPr>
          <w:t>Tabela 15: Formulários para comunicação e relatório sobre a aplicação de dispersantes.</w:t>
        </w:r>
        <w:r>
          <w:rPr>
            <w:noProof/>
            <w:webHidden/>
          </w:rPr>
          <w:tab/>
        </w:r>
        <w:r>
          <w:rPr>
            <w:noProof/>
            <w:webHidden/>
          </w:rPr>
          <w:fldChar w:fldCharType="begin"/>
        </w:r>
        <w:r>
          <w:rPr>
            <w:noProof/>
            <w:webHidden/>
          </w:rPr>
          <w:instrText xml:space="preserve"> PAGEREF _Toc523834047 \h </w:instrText>
        </w:r>
        <w:r>
          <w:rPr>
            <w:noProof/>
            <w:webHidden/>
          </w:rPr>
        </w:r>
        <w:r>
          <w:rPr>
            <w:noProof/>
            <w:webHidden/>
          </w:rPr>
          <w:fldChar w:fldCharType="separate"/>
        </w:r>
        <w:r>
          <w:rPr>
            <w:noProof/>
            <w:webHidden/>
          </w:rPr>
          <w:t>102</w:t>
        </w:r>
        <w:r>
          <w:rPr>
            <w:noProof/>
            <w:webHidden/>
          </w:rPr>
          <w:fldChar w:fldCharType="end"/>
        </w:r>
      </w:hyperlink>
    </w:p>
    <w:p w14:paraId="4B1CC6FD" w14:textId="7607AA80"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8" w:history="1">
        <w:r w:rsidRPr="00495163">
          <w:rPr>
            <w:rStyle w:val="Hyperlink"/>
            <w:noProof/>
          </w:rPr>
          <w:t>Tabela 16: Recursos disponíveis para operacionalização da estratégia de dispersão química.</w:t>
        </w:r>
        <w:r>
          <w:rPr>
            <w:noProof/>
            <w:webHidden/>
          </w:rPr>
          <w:tab/>
        </w:r>
        <w:r>
          <w:rPr>
            <w:noProof/>
            <w:webHidden/>
          </w:rPr>
          <w:fldChar w:fldCharType="begin"/>
        </w:r>
        <w:r>
          <w:rPr>
            <w:noProof/>
            <w:webHidden/>
          </w:rPr>
          <w:instrText xml:space="preserve"> PAGEREF _Toc523834048 \h </w:instrText>
        </w:r>
        <w:r>
          <w:rPr>
            <w:noProof/>
            <w:webHidden/>
          </w:rPr>
        </w:r>
        <w:r>
          <w:rPr>
            <w:noProof/>
            <w:webHidden/>
          </w:rPr>
          <w:fldChar w:fldCharType="separate"/>
        </w:r>
        <w:r>
          <w:rPr>
            <w:noProof/>
            <w:webHidden/>
          </w:rPr>
          <w:t>112</w:t>
        </w:r>
        <w:r>
          <w:rPr>
            <w:noProof/>
            <w:webHidden/>
          </w:rPr>
          <w:fldChar w:fldCharType="end"/>
        </w:r>
      </w:hyperlink>
    </w:p>
    <w:p w14:paraId="2A0AB5A6" w14:textId="775E66C6"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49" w:history="1">
        <w:r w:rsidRPr="00495163">
          <w:rPr>
            <w:rStyle w:val="Hyperlink"/>
            <w:noProof/>
          </w:rPr>
          <w:t>Tabela 18: Descrição dos requisitos da embarcação utilizada na aplicação submarina de dispersantes (com recursos de monitoramento).</w:t>
        </w:r>
        <w:r>
          <w:rPr>
            <w:noProof/>
            <w:webHidden/>
          </w:rPr>
          <w:tab/>
        </w:r>
        <w:r>
          <w:rPr>
            <w:noProof/>
            <w:webHidden/>
          </w:rPr>
          <w:fldChar w:fldCharType="begin"/>
        </w:r>
        <w:r>
          <w:rPr>
            <w:noProof/>
            <w:webHidden/>
          </w:rPr>
          <w:instrText xml:space="preserve"> PAGEREF _Toc523834049 \h </w:instrText>
        </w:r>
        <w:r>
          <w:rPr>
            <w:noProof/>
            <w:webHidden/>
          </w:rPr>
        </w:r>
        <w:r>
          <w:rPr>
            <w:noProof/>
            <w:webHidden/>
          </w:rPr>
          <w:fldChar w:fldCharType="separate"/>
        </w:r>
        <w:r>
          <w:rPr>
            <w:noProof/>
            <w:webHidden/>
          </w:rPr>
          <w:t>113</w:t>
        </w:r>
        <w:r>
          <w:rPr>
            <w:noProof/>
            <w:webHidden/>
          </w:rPr>
          <w:fldChar w:fldCharType="end"/>
        </w:r>
      </w:hyperlink>
    </w:p>
    <w:p w14:paraId="77E75DB2" w14:textId="2EE2E492"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50" w:history="1">
        <w:r w:rsidRPr="00495163">
          <w:rPr>
            <w:rStyle w:val="Hyperlink"/>
            <w:noProof/>
          </w:rPr>
          <w:t>Tabela 18: Tipos típicos de resíduos gerados durante uma operação de resposta a derramamentos de óleo e limpeza.</w:t>
        </w:r>
        <w:r>
          <w:rPr>
            <w:noProof/>
            <w:webHidden/>
          </w:rPr>
          <w:tab/>
        </w:r>
        <w:r>
          <w:rPr>
            <w:noProof/>
            <w:webHidden/>
          </w:rPr>
          <w:fldChar w:fldCharType="begin"/>
        </w:r>
        <w:r>
          <w:rPr>
            <w:noProof/>
            <w:webHidden/>
          </w:rPr>
          <w:instrText xml:space="preserve"> PAGEREF _Toc523834050 \h </w:instrText>
        </w:r>
        <w:r>
          <w:rPr>
            <w:noProof/>
            <w:webHidden/>
          </w:rPr>
        </w:r>
        <w:r>
          <w:rPr>
            <w:noProof/>
            <w:webHidden/>
          </w:rPr>
          <w:fldChar w:fldCharType="separate"/>
        </w:r>
        <w:r>
          <w:rPr>
            <w:noProof/>
            <w:webHidden/>
          </w:rPr>
          <w:t>121</w:t>
        </w:r>
        <w:r>
          <w:rPr>
            <w:noProof/>
            <w:webHidden/>
          </w:rPr>
          <w:fldChar w:fldCharType="end"/>
        </w:r>
      </w:hyperlink>
    </w:p>
    <w:p w14:paraId="02025EF1" w14:textId="1A3B9C0B"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51" w:history="1">
        <w:r w:rsidRPr="00495163">
          <w:rPr>
            <w:rStyle w:val="Hyperlink"/>
            <w:b/>
            <w:noProof/>
          </w:rPr>
          <w:t>Tabela 19: Informações sobre os responsáveis técnicos pela elaboração desta versão do Plano de Emergência Individual (PEI).</w:t>
        </w:r>
        <w:r>
          <w:rPr>
            <w:noProof/>
            <w:webHidden/>
          </w:rPr>
          <w:tab/>
        </w:r>
        <w:r>
          <w:rPr>
            <w:noProof/>
            <w:webHidden/>
          </w:rPr>
          <w:fldChar w:fldCharType="begin"/>
        </w:r>
        <w:r>
          <w:rPr>
            <w:noProof/>
            <w:webHidden/>
          </w:rPr>
          <w:instrText xml:space="preserve"> PAGEREF _Toc523834051 \h </w:instrText>
        </w:r>
        <w:r>
          <w:rPr>
            <w:noProof/>
            <w:webHidden/>
          </w:rPr>
        </w:r>
        <w:r>
          <w:rPr>
            <w:noProof/>
            <w:webHidden/>
          </w:rPr>
          <w:fldChar w:fldCharType="separate"/>
        </w:r>
        <w:r>
          <w:rPr>
            <w:noProof/>
            <w:webHidden/>
          </w:rPr>
          <w:t>130</w:t>
        </w:r>
        <w:r>
          <w:rPr>
            <w:noProof/>
            <w:webHidden/>
          </w:rPr>
          <w:fldChar w:fldCharType="end"/>
        </w:r>
      </w:hyperlink>
    </w:p>
    <w:p w14:paraId="3000FEF8" w14:textId="5B4111E9" w:rsidR="003904DD" w:rsidRDefault="003904DD">
      <w:pPr>
        <w:pStyle w:val="TableofFigures"/>
        <w:tabs>
          <w:tab w:val="right" w:leader="dot" w:pos="9060"/>
        </w:tabs>
        <w:rPr>
          <w:rFonts w:asciiTheme="minorHAnsi" w:hAnsiTheme="minorHAnsi"/>
          <w:i w:val="0"/>
          <w:iCs w:val="0"/>
          <w:noProof/>
          <w:szCs w:val="22"/>
          <w:lang w:val="en-US" w:eastAsia="en-US"/>
        </w:rPr>
      </w:pPr>
      <w:hyperlink w:anchor="_Toc523834052" w:history="1">
        <w:r w:rsidRPr="00495163">
          <w:rPr>
            <w:rStyle w:val="Hyperlink"/>
            <w:b/>
            <w:noProof/>
          </w:rPr>
          <w:t>Tabela 20: Informações sobre os responsáveis técnicos pela execução do Plano de Emergência Individual (PEI).</w:t>
        </w:r>
        <w:r>
          <w:rPr>
            <w:noProof/>
            <w:webHidden/>
          </w:rPr>
          <w:tab/>
        </w:r>
        <w:r>
          <w:rPr>
            <w:noProof/>
            <w:webHidden/>
          </w:rPr>
          <w:fldChar w:fldCharType="begin"/>
        </w:r>
        <w:r>
          <w:rPr>
            <w:noProof/>
            <w:webHidden/>
          </w:rPr>
          <w:instrText xml:space="preserve"> PAGEREF _Toc523834052 \h </w:instrText>
        </w:r>
        <w:r>
          <w:rPr>
            <w:noProof/>
            <w:webHidden/>
          </w:rPr>
        </w:r>
        <w:r>
          <w:rPr>
            <w:noProof/>
            <w:webHidden/>
          </w:rPr>
          <w:fldChar w:fldCharType="separate"/>
        </w:r>
        <w:r>
          <w:rPr>
            <w:noProof/>
            <w:webHidden/>
          </w:rPr>
          <w:t>131</w:t>
        </w:r>
        <w:r>
          <w:rPr>
            <w:noProof/>
            <w:webHidden/>
          </w:rPr>
          <w:fldChar w:fldCharType="end"/>
        </w:r>
      </w:hyperlink>
    </w:p>
    <w:p w14:paraId="5F76AD19" w14:textId="2AE876A5" w:rsidR="00A43854" w:rsidRDefault="005B5638" w:rsidP="00C93479">
      <w:pPr>
        <w:pStyle w:val="tier1Itext"/>
        <w:rPr>
          <w:rStyle w:val="NegritoVersaleteChar"/>
          <w:i w:val="0"/>
          <w:color w:val="auto"/>
          <w:sz w:val="20"/>
        </w:rPr>
      </w:pPr>
      <w:r w:rsidRPr="00DB2BC5">
        <w:rPr>
          <w:rStyle w:val="NegritoVersaleteChar"/>
          <w:b w:val="0"/>
          <w:color w:val="auto"/>
          <w:sz w:val="20"/>
        </w:rPr>
        <w:fldChar w:fldCharType="end"/>
      </w:r>
      <w:r w:rsidR="00A43854">
        <w:rPr>
          <w:rStyle w:val="NegritoVersaleteChar"/>
          <w:i w:val="0"/>
          <w:color w:val="auto"/>
          <w:sz w:val="20"/>
        </w:rPr>
        <w:br w:type="page"/>
      </w:r>
    </w:p>
    <w:p w14:paraId="66DB7750" w14:textId="77777777" w:rsidR="005249F7" w:rsidRDefault="005249F7" w:rsidP="005249F7">
      <w:pPr>
        <w:pStyle w:val="Indices"/>
        <w:rPr>
          <w:rStyle w:val="NegritoVersaleteChar"/>
          <w:b/>
          <w:i w:val="0"/>
          <w:smallCaps/>
          <w:color w:val="auto"/>
        </w:rPr>
      </w:pPr>
      <w:r w:rsidRPr="007A5400">
        <w:rPr>
          <w:rStyle w:val="NegritoVersaleteChar"/>
          <w:b/>
          <w:i w:val="0"/>
          <w:smallCaps/>
          <w:color w:val="auto"/>
        </w:rPr>
        <w:lastRenderedPageBreak/>
        <w:t xml:space="preserve">Índice de </w:t>
      </w:r>
      <w:r>
        <w:rPr>
          <w:rStyle w:val="NegritoVersaleteChar"/>
          <w:b/>
          <w:i w:val="0"/>
          <w:smallCaps/>
          <w:color w:val="auto"/>
        </w:rPr>
        <w:t>Apêndices</w:t>
      </w:r>
    </w:p>
    <w:p w14:paraId="0C7D3319"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APÊNDICE A – IDENTIFICAÇÃO DOS RISCOS POR FONTE</w:t>
      </w:r>
    </w:p>
    <w:p w14:paraId="3A1E034D"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APÊNDICE B – LISTA DE CONTATOS</w:t>
      </w:r>
    </w:p>
    <w:p w14:paraId="2C7163CF" w14:textId="2BFA0513"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 xml:space="preserve">APÊNDICE C – </w:t>
      </w:r>
      <w:r w:rsidR="004D4A24" w:rsidRPr="005E4B27">
        <w:rPr>
          <w:rStyle w:val="NegritoVersaleteChar"/>
          <w:i w:val="0"/>
          <w:color w:val="auto"/>
          <w:sz w:val="22"/>
          <w:szCs w:val="22"/>
        </w:rPr>
        <w:t>TREINAMENTOS E SIMULADOS</w:t>
      </w:r>
    </w:p>
    <w:p w14:paraId="150ED6F1" w14:textId="41DA11FE"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 xml:space="preserve">APÊNDICE D – </w:t>
      </w:r>
      <w:r w:rsidR="00CE6488" w:rsidRPr="005E4B27">
        <w:rPr>
          <w:rStyle w:val="NegritoVersaleteChar"/>
          <w:i w:val="0"/>
          <w:color w:val="auto"/>
          <w:sz w:val="22"/>
          <w:szCs w:val="22"/>
        </w:rPr>
        <w:t>FORMULÁRIOS E RELATÓRIOS DE APOIO À GESTÃO</w:t>
      </w:r>
    </w:p>
    <w:p w14:paraId="75588DC0" w14:textId="767D6D0B"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 xml:space="preserve">APÊNDICE E – </w:t>
      </w:r>
      <w:r w:rsidR="00CE6488" w:rsidRPr="005E4B27">
        <w:rPr>
          <w:rStyle w:val="NegritoVersaleteChar"/>
          <w:i w:val="0"/>
          <w:color w:val="auto"/>
          <w:sz w:val="22"/>
          <w:szCs w:val="22"/>
        </w:rPr>
        <w:t>DIMENSIONAMENTO DA CAPACIDADE DE RESPOSTA</w:t>
      </w:r>
    </w:p>
    <w:p w14:paraId="6142F369" w14:textId="511F9C8E"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 xml:space="preserve">APÊNDICE F – </w:t>
      </w:r>
      <w:r w:rsidR="00CE6488" w:rsidRPr="005E4B27">
        <w:rPr>
          <w:rStyle w:val="NegritoVersaleteChar"/>
          <w:i w:val="0"/>
          <w:color w:val="auto"/>
          <w:sz w:val="22"/>
          <w:szCs w:val="22"/>
        </w:rPr>
        <w:t>INVENTÁRIO DOS RECURSOS DE RESPOSTA</w:t>
      </w:r>
    </w:p>
    <w:p w14:paraId="19250108" w14:textId="77777777" w:rsidR="00A43854" w:rsidRDefault="00A43854" w:rsidP="00C93479">
      <w:pPr>
        <w:pStyle w:val="tier1Itext"/>
        <w:rPr>
          <w:rStyle w:val="NegritoVersaleteChar"/>
          <w:b w:val="0"/>
          <w:i w:val="0"/>
          <w:smallCaps w:val="0"/>
          <w:color w:val="auto"/>
        </w:rPr>
      </w:pPr>
      <w:r>
        <w:rPr>
          <w:rStyle w:val="NegritoVersaleteChar"/>
          <w:b w:val="0"/>
          <w:i w:val="0"/>
          <w:smallCaps w:val="0"/>
          <w:color w:val="auto"/>
        </w:rPr>
        <w:br w:type="page"/>
      </w:r>
    </w:p>
    <w:p w14:paraId="3BA56147" w14:textId="77777777" w:rsidR="005249F7" w:rsidRDefault="005249F7" w:rsidP="005249F7">
      <w:pPr>
        <w:pStyle w:val="Indices"/>
        <w:rPr>
          <w:rStyle w:val="NegritoVersaleteChar"/>
          <w:b/>
          <w:i w:val="0"/>
          <w:smallCaps/>
          <w:color w:val="auto"/>
        </w:rPr>
      </w:pPr>
      <w:r w:rsidRPr="007A5400">
        <w:rPr>
          <w:rStyle w:val="NegritoVersaleteChar"/>
          <w:b/>
          <w:i w:val="0"/>
          <w:smallCaps/>
          <w:color w:val="auto"/>
        </w:rPr>
        <w:lastRenderedPageBreak/>
        <w:t xml:space="preserve">Índice de </w:t>
      </w:r>
      <w:r>
        <w:rPr>
          <w:rStyle w:val="NegritoVersaleteChar"/>
          <w:b/>
          <w:i w:val="0"/>
          <w:smallCaps/>
          <w:color w:val="auto"/>
        </w:rPr>
        <w:t>Anexos</w:t>
      </w:r>
    </w:p>
    <w:p w14:paraId="5291C4AC" w14:textId="705EA46D" w:rsidR="005249F7" w:rsidRPr="005E4B27" w:rsidRDefault="005E4B27" w:rsidP="005E4B27">
      <w:pPr>
        <w:pStyle w:val="Indices"/>
        <w:spacing w:before="0"/>
        <w:jc w:val="left"/>
        <w:rPr>
          <w:rStyle w:val="NegritoVersaleteChar"/>
          <w:i w:val="0"/>
          <w:color w:val="auto"/>
          <w:sz w:val="22"/>
          <w:szCs w:val="22"/>
        </w:rPr>
      </w:pPr>
      <w:r w:rsidRPr="003455A8">
        <w:rPr>
          <w:rStyle w:val="NegritoVersaleteChar"/>
          <w:i w:val="0"/>
          <w:color w:val="auto"/>
          <w:sz w:val="22"/>
          <w:szCs w:val="22"/>
        </w:rPr>
        <w:t>ANEXO A</w:t>
      </w:r>
      <w:r w:rsidRPr="005E4B27">
        <w:rPr>
          <w:rStyle w:val="NegritoVersaleteChar"/>
          <w:i w:val="0"/>
          <w:color w:val="auto"/>
          <w:sz w:val="22"/>
          <w:szCs w:val="22"/>
        </w:rPr>
        <w:t xml:space="preserve"> – CARACTERÍSTICAS DA UNIDADE </w:t>
      </w:r>
      <w:r w:rsidR="007059C7">
        <w:rPr>
          <w:rStyle w:val="NegritoVersaleteChar"/>
          <w:i w:val="0"/>
          <w:color w:val="auto"/>
          <w:sz w:val="22"/>
          <w:szCs w:val="22"/>
        </w:rPr>
        <w:t>DE PERFURAÇÃO</w:t>
      </w:r>
      <w:r w:rsidRPr="005E4B27">
        <w:rPr>
          <w:rStyle w:val="NegritoVersaleteChar"/>
          <w:i w:val="0"/>
          <w:color w:val="auto"/>
          <w:sz w:val="22"/>
          <w:szCs w:val="22"/>
        </w:rPr>
        <w:t xml:space="preserve"> E EMBARCAÇÕES DE APOIO E DEDICADA</w:t>
      </w:r>
    </w:p>
    <w:p w14:paraId="3D32D932" w14:textId="77777777" w:rsidR="001B3163" w:rsidRPr="005E4B27" w:rsidRDefault="005A0D63" w:rsidP="00EA2A77">
      <w:pPr>
        <w:numPr>
          <w:ilvl w:val="0"/>
          <w:numId w:val="30"/>
        </w:numPr>
        <w:spacing w:before="0"/>
        <w:ind w:left="1060" w:hanging="357"/>
        <w:rPr>
          <w:rFonts w:asciiTheme="majorHAnsi" w:hAnsiTheme="majorHAnsi"/>
        </w:rPr>
      </w:pPr>
      <w:r>
        <w:rPr>
          <w:rFonts w:asciiTheme="majorHAnsi" w:hAnsiTheme="majorHAnsi"/>
        </w:rPr>
        <w:t>DUM ENSCO DS-4 (Descrição da Unidade Marítima)</w:t>
      </w:r>
    </w:p>
    <w:p w14:paraId="62C31D6B" w14:textId="77777777" w:rsidR="001B3163" w:rsidRPr="005E4B27" w:rsidRDefault="001B3163" w:rsidP="00EA2A77">
      <w:pPr>
        <w:numPr>
          <w:ilvl w:val="0"/>
          <w:numId w:val="30"/>
        </w:numPr>
        <w:spacing w:before="0"/>
        <w:ind w:left="1060" w:hanging="357"/>
        <w:rPr>
          <w:rFonts w:asciiTheme="majorHAnsi" w:hAnsiTheme="majorHAnsi"/>
        </w:rPr>
      </w:pPr>
      <w:bookmarkStart w:id="1" w:name="_Ref414612030"/>
      <w:r w:rsidRPr="005E4B27">
        <w:rPr>
          <w:rFonts w:asciiTheme="majorHAnsi" w:hAnsiTheme="majorHAnsi"/>
        </w:rPr>
        <w:t>Ficha das especificações técnicas das embarcações de apoio e dedicada</w:t>
      </w:r>
      <w:bookmarkEnd w:id="1"/>
    </w:p>
    <w:p w14:paraId="724C6BEF"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ANEXO B – MODELAGEM DE DISPERSÃO DE ÓLEO</w:t>
      </w:r>
    </w:p>
    <w:p w14:paraId="78D59666" w14:textId="77777777" w:rsidR="005249F7" w:rsidRPr="005E4B27" w:rsidRDefault="005E4B27" w:rsidP="005E4B27">
      <w:pPr>
        <w:pStyle w:val="Indices"/>
        <w:spacing w:before="0"/>
        <w:jc w:val="left"/>
        <w:rPr>
          <w:rStyle w:val="NegritoVersaleteChar"/>
          <w:i w:val="0"/>
          <w:color w:val="auto"/>
          <w:sz w:val="22"/>
          <w:szCs w:val="22"/>
        </w:rPr>
      </w:pPr>
      <w:r w:rsidRPr="005E4B27">
        <w:rPr>
          <w:rStyle w:val="NegritoVersaleteChar"/>
          <w:i w:val="0"/>
          <w:color w:val="auto"/>
          <w:sz w:val="22"/>
          <w:szCs w:val="22"/>
        </w:rPr>
        <w:t>ANEXO C – ANÁLISE E MAPA DE VULNERABILIDADE</w:t>
      </w:r>
    </w:p>
    <w:p w14:paraId="53D3C657" w14:textId="77777777" w:rsidR="00A43854" w:rsidRDefault="00A43854" w:rsidP="00121F26">
      <w:pPr>
        <w:pStyle w:val="tier1Itext"/>
        <w:rPr>
          <w:rStyle w:val="NegritoVersaleteChar"/>
          <w:b w:val="0"/>
          <w:i w:val="0"/>
          <w:smallCaps w:val="0"/>
          <w:color w:val="auto"/>
        </w:rPr>
      </w:pPr>
      <w:r>
        <w:rPr>
          <w:rStyle w:val="NegritoVersaleteChar"/>
          <w:b w:val="0"/>
          <w:i w:val="0"/>
          <w:smallCaps w:val="0"/>
          <w:color w:val="auto"/>
        </w:rPr>
        <w:br w:type="page"/>
      </w:r>
    </w:p>
    <w:p w14:paraId="7E6CCF0B" w14:textId="77777777" w:rsidR="00BF1926" w:rsidRDefault="00BF1926" w:rsidP="005249F7">
      <w:pPr>
        <w:pStyle w:val="Indices"/>
        <w:rPr>
          <w:rStyle w:val="NegritoVersaleteChar"/>
          <w:b/>
          <w:i w:val="0"/>
          <w:smallCaps/>
          <w:color w:val="auto"/>
        </w:rPr>
      </w:pPr>
      <w:r>
        <w:rPr>
          <w:rStyle w:val="NegritoVersaleteChar"/>
          <w:b/>
          <w:i w:val="0"/>
          <w:smallCaps/>
          <w:color w:val="auto"/>
        </w:rPr>
        <w:lastRenderedPageBreak/>
        <w:t>Lista de Siglas</w:t>
      </w:r>
    </w:p>
    <w:tbl>
      <w:tblPr>
        <w:tblW w:w="5000" w:type="pct"/>
        <w:tblCellMar>
          <w:left w:w="70" w:type="dxa"/>
          <w:right w:w="70" w:type="dxa"/>
        </w:tblCellMar>
        <w:tblLook w:val="04A0" w:firstRow="1" w:lastRow="0" w:firstColumn="1" w:lastColumn="0" w:noHBand="0" w:noVBand="1"/>
      </w:tblPr>
      <w:tblGrid>
        <w:gridCol w:w="1551"/>
        <w:gridCol w:w="7489"/>
      </w:tblGrid>
      <w:tr w:rsidR="00EC26E4" w:rsidRPr="00BF1926" w14:paraId="4972857B" w14:textId="77777777" w:rsidTr="005249F7">
        <w:trPr>
          <w:trHeight w:val="330"/>
          <w:tblHeader/>
        </w:trPr>
        <w:tc>
          <w:tcPr>
            <w:tcW w:w="858" w:type="pct"/>
            <w:tcBorders>
              <w:top w:val="nil"/>
              <w:left w:val="single" w:sz="12" w:space="0" w:color="FFFFFF"/>
              <w:bottom w:val="single" w:sz="12" w:space="0" w:color="FFFFFF"/>
              <w:right w:val="single" w:sz="12" w:space="0" w:color="FFFFFF"/>
            </w:tcBorders>
            <w:shd w:val="clear" w:color="auto" w:fill="1F497D" w:themeFill="text2"/>
            <w:vAlign w:val="center"/>
          </w:tcPr>
          <w:p w14:paraId="2F4FE3B1" w14:textId="77777777" w:rsidR="00EC26E4" w:rsidRPr="00EC26E4" w:rsidRDefault="00EC26E4" w:rsidP="00EC26E4">
            <w:pPr>
              <w:spacing w:before="100" w:beforeAutospacing="1" w:after="100" w:afterAutospacing="1" w:line="240" w:lineRule="auto"/>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Sigla</w:t>
            </w:r>
          </w:p>
        </w:tc>
        <w:tc>
          <w:tcPr>
            <w:tcW w:w="4142" w:type="pct"/>
            <w:tcBorders>
              <w:top w:val="nil"/>
              <w:left w:val="nil"/>
              <w:bottom w:val="single" w:sz="12" w:space="0" w:color="FFFFFF"/>
              <w:right w:val="single" w:sz="12" w:space="0" w:color="FFFFFF"/>
            </w:tcBorders>
            <w:shd w:val="clear" w:color="auto" w:fill="1F497D" w:themeFill="text2"/>
            <w:vAlign w:val="center"/>
          </w:tcPr>
          <w:p w14:paraId="26DEB92C" w14:textId="77777777" w:rsidR="00EC26E4" w:rsidRPr="00EC26E4" w:rsidRDefault="00EC26E4" w:rsidP="00EC26E4">
            <w:pPr>
              <w:spacing w:before="100" w:beforeAutospacing="1" w:after="100" w:afterAutospacing="1" w:line="240" w:lineRule="auto"/>
              <w:jc w:val="center"/>
              <w:rPr>
                <w:rFonts w:asciiTheme="majorHAnsi" w:hAnsiTheme="majorHAnsi"/>
                <w:b/>
                <w:color w:val="FFFFFF" w:themeColor="background1"/>
                <w:sz w:val="20"/>
                <w:szCs w:val="20"/>
              </w:rPr>
            </w:pPr>
            <w:r>
              <w:rPr>
                <w:rFonts w:asciiTheme="majorHAnsi" w:hAnsiTheme="majorHAnsi"/>
                <w:b/>
                <w:color w:val="FFFFFF" w:themeColor="background1"/>
                <w:sz w:val="20"/>
                <w:szCs w:val="20"/>
              </w:rPr>
              <w:t>Definição</w:t>
            </w:r>
          </w:p>
        </w:tc>
      </w:tr>
      <w:tr w:rsidR="00BF1926" w:rsidRPr="00BF1926" w14:paraId="0000EB7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7797E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ACT</w:t>
            </w:r>
          </w:p>
        </w:tc>
        <w:tc>
          <w:tcPr>
            <w:tcW w:w="4142" w:type="pct"/>
            <w:tcBorders>
              <w:top w:val="nil"/>
              <w:left w:val="nil"/>
              <w:bottom w:val="single" w:sz="12" w:space="0" w:color="FFFFFF"/>
              <w:right w:val="single" w:sz="12" w:space="0" w:color="FFFFFF"/>
            </w:tcBorders>
            <w:shd w:val="clear" w:color="000000" w:fill="D9D9D9"/>
            <w:vAlign w:val="center"/>
            <w:hideMark/>
          </w:tcPr>
          <w:p w14:paraId="0C0A3E3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Acordo de Cooperação Técnica</w:t>
            </w:r>
          </w:p>
        </w:tc>
      </w:tr>
      <w:tr w:rsidR="00BF1926" w:rsidRPr="00BF1926" w14:paraId="5C1DCBE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E5706C2"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ANP</w:t>
            </w:r>
          </w:p>
        </w:tc>
        <w:tc>
          <w:tcPr>
            <w:tcW w:w="4142" w:type="pct"/>
            <w:tcBorders>
              <w:top w:val="nil"/>
              <w:left w:val="nil"/>
              <w:bottom w:val="single" w:sz="12" w:space="0" w:color="FFFFFF"/>
              <w:right w:val="single" w:sz="12" w:space="0" w:color="FFFFFF"/>
            </w:tcBorders>
            <w:shd w:val="clear" w:color="000000" w:fill="D9D9D9"/>
            <w:vAlign w:val="center"/>
            <w:hideMark/>
          </w:tcPr>
          <w:p w14:paraId="2BAB0CF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Agência Nacional do Petróleo, Gás Natural e Biocombustíveis</w:t>
            </w:r>
          </w:p>
        </w:tc>
      </w:tr>
      <w:tr w:rsidR="00BF1926" w:rsidRPr="00BF1926" w14:paraId="6C3F479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E244B2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API</w:t>
            </w:r>
          </w:p>
        </w:tc>
        <w:tc>
          <w:tcPr>
            <w:tcW w:w="4142" w:type="pct"/>
            <w:tcBorders>
              <w:top w:val="nil"/>
              <w:left w:val="nil"/>
              <w:bottom w:val="single" w:sz="12" w:space="0" w:color="FFFFFF"/>
              <w:right w:val="single" w:sz="12" w:space="0" w:color="FFFFFF"/>
            </w:tcBorders>
            <w:shd w:val="clear" w:color="000000" w:fill="D9D9D9"/>
            <w:vAlign w:val="center"/>
            <w:hideMark/>
          </w:tcPr>
          <w:p w14:paraId="51635EF9"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i/>
                <w:color w:val="000000"/>
                <w:sz w:val="20"/>
                <w:szCs w:val="20"/>
              </w:rPr>
              <w:t>American Petroleum Institute</w:t>
            </w:r>
            <w:r w:rsidRPr="00BF1926">
              <w:rPr>
                <w:rFonts w:asciiTheme="majorHAnsi" w:hAnsiTheme="majorHAnsi"/>
                <w:color w:val="000000"/>
                <w:sz w:val="20"/>
                <w:szCs w:val="20"/>
              </w:rPr>
              <w:t xml:space="preserve"> </w:t>
            </w:r>
          </w:p>
        </w:tc>
      </w:tr>
      <w:tr w:rsidR="00BF1926" w:rsidRPr="00BF1926" w14:paraId="2A3A954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2AAD44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BST</w:t>
            </w:r>
          </w:p>
        </w:tc>
        <w:tc>
          <w:tcPr>
            <w:tcW w:w="4142" w:type="pct"/>
            <w:tcBorders>
              <w:top w:val="nil"/>
              <w:left w:val="nil"/>
              <w:bottom w:val="single" w:sz="12" w:space="0" w:color="FFFFFF"/>
              <w:right w:val="single" w:sz="12" w:space="0" w:color="FFFFFF"/>
            </w:tcBorders>
            <w:shd w:val="clear" w:color="000000" w:fill="D9D9D9"/>
            <w:vAlign w:val="center"/>
            <w:hideMark/>
          </w:tcPr>
          <w:p w14:paraId="7E9EB960"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sidRPr="0059026A">
              <w:rPr>
                <w:rFonts w:asciiTheme="majorHAnsi" w:hAnsiTheme="majorHAnsi"/>
                <w:color w:val="000000"/>
                <w:sz w:val="20"/>
                <w:szCs w:val="20"/>
              </w:rPr>
              <w:t>Equipe de Suporte à Continuidade da Capacidade Operacional</w:t>
            </w:r>
            <w:r w:rsidR="00BF1926" w:rsidRPr="00BF1926">
              <w:rPr>
                <w:rFonts w:asciiTheme="majorHAnsi" w:hAnsiTheme="majorHAnsi"/>
                <w:color w:val="000000"/>
                <w:sz w:val="20"/>
                <w:szCs w:val="20"/>
              </w:rPr>
              <w:t xml:space="preserve"> (em inglês, </w:t>
            </w:r>
            <w:r w:rsidR="00BF1926" w:rsidRPr="0059026A">
              <w:rPr>
                <w:rFonts w:asciiTheme="majorHAnsi" w:hAnsiTheme="majorHAnsi"/>
                <w:i/>
                <w:color w:val="000000"/>
                <w:sz w:val="20"/>
                <w:szCs w:val="20"/>
              </w:rPr>
              <w:t>Business Support Team</w:t>
            </w:r>
            <w:r w:rsidR="00BF1926" w:rsidRPr="00BF1926">
              <w:rPr>
                <w:rFonts w:asciiTheme="majorHAnsi" w:hAnsiTheme="majorHAnsi"/>
                <w:color w:val="000000"/>
                <w:sz w:val="20"/>
                <w:szCs w:val="20"/>
              </w:rPr>
              <w:t>)</w:t>
            </w:r>
          </w:p>
        </w:tc>
      </w:tr>
      <w:tr w:rsidR="00BF1926" w:rsidRPr="00BF1926" w14:paraId="1B23104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47EADE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CB6</w:t>
            </w:r>
          </w:p>
        </w:tc>
        <w:tc>
          <w:tcPr>
            <w:tcW w:w="4142" w:type="pct"/>
            <w:tcBorders>
              <w:top w:val="nil"/>
              <w:left w:val="nil"/>
              <w:bottom w:val="single" w:sz="12" w:space="0" w:color="FFFFFF"/>
              <w:right w:val="single" w:sz="12" w:space="0" w:color="FFFFFF"/>
            </w:tcBorders>
            <w:shd w:val="clear" w:color="000000" w:fill="D9D9D9"/>
            <w:vAlign w:val="center"/>
            <w:hideMark/>
          </w:tcPr>
          <w:p w14:paraId="2AE12A5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i/>
                <w:color w:val="000000"/>
                <w:sz w:val="20"/>
                <w:szCs w:val="20"/>
              </w:rPr>
              <w:t>Current Buster</w:t>
            </w:r>
            <w:r w:rsidRPr="00BF1926">
              <w:rPr>
                <w:rFonts w:asciiTheme="majorHAnsi" w:hAnsiTheme="majorHAnsi"/>
                <w:color w:val="000000"/>
                <w:sz w:val="20"/>
                <w:szCs w:val="20"/>
              </w:rPr>
              <w:t xml:space="preserve"> 6</w:t>
            </w:r>
          </w:p>
        </w:tc>
      </w:tr>
      <w:tr w:rsidR="00BF1926" w:rsidRPr="00BF1926" w14:paraId="204CE2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B3402C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CCM/ER</w:t>
            </w:r>
          </w:p>
        </w:tc>
        <w:tc>
          <w:tcPr>
            <w:tcW w:w="4142" w:type="pct"/>
            <w:tcBorders>
              <w:top w:val="nil"/>
              <w:left w:val="nil"/>
              <w:bottom w:val="single" w:sz="12" w:space="0" w:color="FFFFFF"/>
              <w:right w:val="single" w:sz="12" w:space="0" w:color="FFFFFF"/>
            </w:tcBorders>
            <w:shd w:val="clear" w:color="000000" w:fill="D9D9D9"/>
            <w:vAlign w:val="center"/>
            <w:hideMark/>
          </w:tcPr>
          <w:p w14:paraId="055B72B9"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sidRPr="0059026A">
              <w:rPr>
                <w:rFonts w:asciiTheme="majorHAnsi" w:hAnsiTheme="majorHAnsi"/>
                <w:color w:val="000000"/>
                <w:sz w:val="20"/>
                <w:szCs w:val="20"/>
              </w:rPr>
              <w:t>Grupo de Gerenciamento de Crise &amp; Continuidade e Resposta a Emergência</w:t>
            </w:r>
            <w:r w:rsidR="00BF1926" w:rsidRPr="00BF1926">
              <w:rPr>
                <w:rFonts w:asciiTheme="majorHAnsi" w:hAnsiTheme="majorHAnsi"/>
                <w:color w:val="000000"/>
                <w:sz w:val="20"/>
                <w:szCs w:val="20"/>
              </w:rPr>
              <w:t xml:space="preserve"> (em inglês, </w:t>
            </w:r>
            <w:r w:rsidR="00BF1926" w:rsidRPr="00BF1926">
              <w:rPr>
                <w:rFonts w:asciiTheme="majorHAnsi" w:hAnsiTheme="majorHAnsi"/>
                <w:i/>
                <w:color w:val="000000"/>
                <w:sz w:val="20"/>
                <w:szCs w:val="20"/>
              </w:rPr>
              <w:t>Crisis Continuity Management and Emergency Response</w:t>
            </w:r>
            <w:r w:rsidR="00BF1926" w:rsidRPr="00BF1926">
              <w:rPr>
                <w:rFonts w:asciiTheme="majorHAnsi" w:hAnsiTheme="majorHAnsi"/>
                <w:color w:val="000000"/>
                <w:sz w:val="20"/>
                <w:szCs w:val="20"/>
              </w:rPr>
              <w:t>)</w:t>
            </w:r>
          </w:p>
        </w:tc>
      </w:tr>
      <w:tr w:rsidR="00BF1926" w:rsidRPr="00BF1926" w14:paraId="24D7B473"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092553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CGEMA</w:t>
            </w:r>
          </w:p>
        </w:tc>
        <w:tc>
          <w:tcPr>
            <w:tcW w:w="4142" w:type="pct"/>
            <w:tcBorders>
              <w:top w:val="nil"/>
              <w:left w:val="nil"/>
              <w:bottom w:val="single" w:sz="12" w:space="0" w:color="FFFFFF"/>
              <w:right w:val="single" w:sz="12" w:space="0" w:color="FFFFFF"/>
            </w:tcBorders>
            <w:shd w:val="clear" w:color="000000" w:fill="D9D9D9"/>
            <w:vAlign w:val="center"/>
            <w:hideMark/>
          </w:tcPr>
          <w:p w14:paraId="48DB6C5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Coordenação Geral de Emergências Ambientais</w:t>
            </w:r>
          </w:p>
        </w:tc>
      </w:tr>
      <w:tr w:rsidR="00BF1926" w:rsidRPr="00BF1926" w14:paraId="443D874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23262C4" w14:textId="25DF24B0" w:rsidR="00BF1926" w:rsidRPr="00BF1926" w:rsidRDefault="00BF1926" w:rsidP="00C37EF6">
            <w:pPr>
              <w:spacing w:before="100" w:beforeAutospacing="1" w:after="100" w:afterAutospacing="1" w:line="240" w:lineRule="auto"/>
              <w:rPr>
                <w:rFonts w:asciiTheme="majorHAnsi" w:hAnsiTheme="majorHAnsi"/>
                <w:color w:val="000000"/>
                <w:sz w:val="20"/>
                <w:szCs w:val="20"/>
              </w:rPr>
            </w:pPr>
            <w:r w:rsidRPr="00C37EF6">
              <w:rPr>
                <w:rFonts w:asciiTheme="majorHAnsi" w:hAnsiTheme="majorHAnsi"/>
                <w:color w:val="000000"/>
                <w:sz w:val="20"/>
                <w:szCs w:val="20"/>
              </w:rPr>
              <w:t>C</w:t>
            </w:r>
            <w:r w:rsidR="00C37EF6" w:rsidRPr="00C37EF6">
              <w:rPr>
                <w:rFonts w:asciiTheme="majorHAnsi" w:hAnsiTheme="majorHAnsi"/>
                <w:color w:val="000000"/>
                <w:sz w:val="20"/>
                <w:szCs w:val="20"/>
              </w:rPr>
              <w:t>OEXP</w:t>
            </w:r>
          </w:p>
        </w:tc>
        <w:tc>
          <w:tcPr>
            <w:tcW w:w="4142" w:type="pct"/>
            <w:tcBorders>
              <w:top w:val="nil"/>
              <w:left w:val="nil"/>
              <w:bottom w:val="single" w:sz="12" w:space="0" w:color="FFFFFF"/>
              <w:right w:val="single" w:sz="12" w:space="0" w:color="FFFFFF"/>
            </w:tcBorders>
            <w:shd w:val="clear" w:color="000000" w:fill="D9D9D9"/>
            <w:vAlign w:val="center"/>
            <w:hideMark/>
          </w:tcPr>
          <w:p w14:paraId="6203BB83" w14:textId="101DE3F1" w:rsidR="00BF1926" w:rsidRPr="00BF1926" w:rsidRDefault="00C37EF6" w:rsidP="00C37EF6">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Sub-</w:t>
            </w:r>
            <w:r w:rsidR="00BF1926" w:rsidRPr="00BF1926">
              <w:rPr>
                <w:rFonts w:asciiTheme="majorHAnsi" w:hAnsiTheme="majorHAnsi"/>
                <w:color w:val="000000"/>
                <w:sz w:val="20"/>
                <w:szCs w:val="20"/>
              </w:rPr>
              <w:t>Coordenação</w:t>
            </w:r>
            <w:r w:rsidR="0059026A">
              <w:rPr>
                <w:rFonts w:asciiTheme="majorHAnsi" w:hAnsiTheme="majorHAnsi"/>
                <w:color w:val="000000"/>
                <w:sz w:val="20"/>
                <w:szCs w:val="20"/>
              </w:rPr>
              <w:t xml:space="preserve"> </w:t>
            </w:r>
            <w:r>
              <w:rPr>
                <w:rFonts w:asciiTheme="majorHAnsi" w:hAnsiTheme="majorHAnsi"/>
                <w:color w:val="000000"/>
                <w:sz w:val="20"/>
                <w:szCs w:val="20"/>
              </w:rPr>
              <w:t>de Exploração</w:t>
            </w:r>
          </w:p>
        </w:tc>
      </w:tr>
      <w:tr w:rsidR="00BF1926" w:rsidRPr="00BF1926" w14:paraId="3B65DA3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77B94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CN</w:t>
            </w:r>
          </w:p>
        </w:tc>
        <w:tc>
          <w:tcPr>
            <w:tcW w:w="4142" w:type="pct"/>
            <w:tcBorders>
              <w:top w:val="nil"/>
              <w:left w:val="nil"/>
              <w:bottom w:val="single" w:sz="12" w:space="0" w:color="FFFFFF"/>
              <w:right w:val="single" w:sz="12" w:space="0" w:color="FFFFFF"/>
            </w:tcBorders>
            <w:shd w:val="clear" w:color="000000" w:fill="D9D9D9"/>
            <w:vAlign w:val="center"/>
            <w:hideMark/>
          </w:tcPr>
          <w:p w14:paraId="2B0A0B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Capacidade Nominal</w:t>
            </w:r>
          </w:p>
        </w:tc>
      </w:tr>
      <w:tr w:rsidR="00BF1926" w:rsidRPr="00BF1926" w14:paraId="1C4904BC"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D7287D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CONAMA</w:t>
            </w:r>
          </w:p>
        </w:tc>
        <w:tc>
          <w:tcPr>
            <w:tcW w:w="4142" w:type="pct"/>
            <w:tcBorders>
              <w:top w:val="nil"/>
              <w:left w:val="nil"/>
              <w:bottom w:val="single" w:sz="12" w:space="0" w:color="FFFFFF"/>
              <w:right w:val="single" w:sz="12" w:space="0" w:color="FFFFFF"/>
            </w:tcBorders>
            <w:shd w:val="clear" w:color="000000" w:fill="D9D9D9"/>
            <w:vAlign w:val="center"/>
            <w:hideMark/>
          </w:tcPr>
          <w:p w14:paraId="3DD12A1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Conselho Nacional do Meio Ambiente</w:t>
            </w:r>
          </w:p>
        </w:tc>
      </w:tr>
      <w:tr w:rsidR="00BF1926" w:rsidRPr="00BF1926" w14:paraId="7F7CB35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847593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DILIC</w:t>
            </w:r>
          </w:p>
        </w:tc>
        <w:tc>
          <w:tcPr>
            <w:tcW w:w="4142" w:type="pct"/>
            <w:tcBorders>
              <w:top w:val="nil"/>
              <w:left w:val="nil"/>
              <w:bottom w:val="single" w:sz="12" w:space="0" w:color="FFFFFF"/>
              <w:right w:val="single" w:sz="12" w:space="0" w:color="FFFFFF"/>
            </w:tcBorders>
            <w:shd w:val="clear" w:color="000000" w:fill="D9D9D9"/>
            <w:vAlign w:val="center"/>
            <w:hideMark/>
          </w:tcPr>
          <w:p w14:paraId="24377B2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Diretoria de Licenciamento Ambiental</w:t>
            </w:r>
          </w:p>
        </w:tc>
      </w:tr>
      <w:tr w:rsidR="00BF1926" w:rsidRPr="00BF1926" w14:paraId="34A9DF6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DF96D4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DP</w:t>
            </w:r>
          </w:p>
        </w:tc>
        <w:tc>
          <w:tcPr>
            <w:tcW w:w="4142" w:type="pct"/>
            <w:tcBorders>
              <w:top w:val="nil"/>
              <w:left w:val="nil"/>
              <w:bottom w:val="single" w:sz="12" w:space="0" w:color="FFFFFF"/>
              <w:right w:val="single" w:sz="12" w:space="0" w:color="FFFFFF"/>
            </w:tcBorders>
            <w:shd w:val="clear" w:color="000000" w:fill="D9D9D9"/>
            <w:vAlign w:val="center"/>
            <w:hideMark/>
          </w:tcPr>
          <w:p w14:paraId="14E1C75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Posicionamento Dinâmico (em inglês, </w:t>
            </w:r>
            <w:r w:rsidRPr="00BF1926">
              <w:rPr>
                <w:rFonts w:asciiTheme="majorHAnsi" w:hAnsiTheme="majorHAnsi"/>
                <w:i/>
                <w:color w:val="000000"/>
                <w:sz w:val="20"/>
                <w:szCs w:val="20"/>
              </w:rPr>
              <w:t>Dynamic Position</w:t>
            </w:r>
            <w:r w:rsidRPr="00BF1926">
              <w:rPr>
                <w:rFonts w:asciiTheme="majorHAnsi" w:hAnsiTheme="majorHAnsi"/>
                <w:color w:val="000000"/>
                <w:sz w:val="20"/>
                <w:szCs w:val="20"/>
              </w:rPr>
              <w:t>)</w:t>
            </w:r>
          </w:p>
        </w:tc>
      </w:tr>
      <w:tr w:rsidR="00BF1926" w:rsidRPr="00BF1926" w14:paraId="17D632D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3ED2B9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EOR</w:t>
            </w:r>
          </w:p>
        </w:tc>
        <w:tc>
          <w:tcPr>
            <w:tcW w:w="4142" w:type="pct"/>
            <w:tcBorders>
              <w:top w:val="nil"/>
              <w:left w:val="nil"/>
              <w:bottom w:val="single" w:sz="12" w:space="0" w:color="FFFFFF"/>
              <w:right w:val="single" w:sz="12" w:space="0" w:color="FFFFFF"/>
            </w:tcBorders>
            <w:shd w:val="clear" w:color="000000" w:fill="D9D9D9"/>
            <w:vAlign w:val="center"/>
            <w:hideMark/>
          </w:tcPr>
          <w:p w14:paraId="6CAF302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Estrutura Organizacional de Resposta </w:t>
            </w:r>
          </w:p>
        </w:tc>
      </w:tr>
      <w:tr w:rsidR="00BF1926" w:rsidRPr="00BF1926" w14:paraId="4E56D8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F69154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EPI</w:t>
            </w:r>
          </w:p>
        </w:tc>
        <w:tc>
          <w:tcPr>
            <w:tcW w:w="4142" w:type="pct"/>
            <w:tcBorders>
              <w:top w:val="nil"/>
              <w:left w:val="nil"/>
              <w:bottom w:val="single" w:sz="12" w:space="0" w:color="FFFFFF"/>
              <w:right w:val="single" w:sz="12" w:space="0" w:color="FFFFFF"/>
            </w:tcBorders>
            <w:shd w:val="clear" w:color="000000" w:fill="D9D9D9"/>
            <w:vAlign w:val="center"/>
            <w:hideMark/>
          </w:tcPr>
          <w:p w14:paraId="4D62475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Equipamentos de Proteção Individual</w:t>
            </w:r>
          </w:p>
        </w:tc>
      </w:tr>
      <w:tr w:rsidR="00BF1926" w:rsidRPr="00BF1926" w14:paraId="2C2B50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4B4CEB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FER</w:t>
            </w:r>
          </w:p>
        </w:tc>
        <w:tc>
          <w:tcPr>
            <w:tcW w:w="4142" w:type="pct"/>
            <w:tcBorders>
              <w:top w:val="nil"/>
              <w:left w:val="nil"/>
              <w:bottom w:val="single" w:sz="12" w:space="0" w:color="FFFFFF"/>
              <w:right w:val="single" w:sz="12" w:space="0" w:color="FFFFFF"/>
            </w:tcBorders>
            <w:shd w:val="clear" w:color="000000" w:fill="D9D9D9"/>
            <w:vAlign w:val="center"/>
            <w:hideMark/>
          </w:tcPr>
          <w:p w14:paraId="576A82D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Ficha Estratégica de Resposta</w:t>
            </w:r>
          </w:p>
        </w:tc>
      </w:tr>
      <w:tr w:rsidR="00BF1926" w:rsidRPr="00BF1926" w14:paraId="76FCC82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4B8130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Fi-Fi</w:t>
            </w:r>
          </w:p>
        </w:tc>
        <w:tc>
          <w:tcPr>
            <w:tcW w:w="4142" w:type="pct"/>
            <w:tcBorders>
              <w:top w:val="nil"/>
              <w:left w:val="nil"/>
              <w:bottom w:val="single" w:sz="12" w:space="0" w:color="FFFFFF"/>
              <w:right w:val="single" w:sz="12" w:space="0" w:color="FFFFFF"/>
            </w:tcBorders>
            <w:shd w:val="clear" w:color="000000" w:fill="D9D9D9"/>
            <w:vAlign w:val="center"/>
            <w:hideMark/>
          </w:tcPr>
          <w:p w14:paraId="74BFA3D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 de Combate a Incêndio (em inglês, </w:t>
            </w:r>
            <w:r w:rsidRPr="00BF1926">
              <w:rPr>
                <w:rFonts w:asciiTheme="majorHAnsi" w:hAnsiTheme="majorHAnsi"/>
                <w:i/>
                <w:color w:val="000000"/>
                <w:sz w:val="20"/>
                <w:szCs w:val="20"/>
              </w:rPr>
              <w:t>Fire Fighting System</w:t>
            </w:r>
            <w:r w:rsidRPr="00BF1926">
              <w:rPr>
                <w:rFonts w:asciiTheme="majorHAnsi" w:hAnsiTheme="majorHAnsi"/>
                <w:color w:val="000000"/>
                <w:sz w:val="20"/>
                <w:szCs w:val="20"/>
              </w:rPr>
              <w:t>)</w:t>
            </w:r>
          </w:p>
        </w:tc>
      </w:tr>
      <w:tr w:rsidR="00BF1926" w:rsidRPr="00BF1926" w14:paraId="5C270B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A96FBE5"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FZA</w:t>
            </w:r>
          </w:p>
        </w:tc>
        <w:tc>
          <w:tcPr>
            <w:tcW w:w="4142" w:type="pct"/>
            <w:tcBorders>
              <w:top w:val="nil"/>
              <w:left w:val="nil"/>
              <w:bottom w:val="single" w:sz="12" w:space="0" w:color="FFFFFF"/>
              <w:right w:val="single" w:sz="12" w:space="0" w:color="FFFFFF"/>
            </w:tcBorders>
            <w:shd w:val="clear" w:color="000000" w:fill="D9D9D9"/>
            <w:vAlign w:val="center"/>
            <w:hideMark/>
          </w:tcPr>
          <w:p w14:paraId="6D4A72E7"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Foz do Amazonas</w:t>
            </w:r>
          </w:p>
        </w:tc>
      </w:tr>
      <w:tr w:rsidR="00BF1926" w:rsidRPr="00BF1926" w14:paraId="3E65298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0F6790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IAP</w:t>
            </w:r>
          </w:p>
        </w:tc>
        <w:tc>
          <w:tcPr>
            <w:tcW w:w="4142" w:type="pct"/>
            <w:tcBorders>
              <w:top w:val="nil"/>
              <w:left w:val="nil"/>
              <w:bottom w:val="single" w:sz="12" w:space="0" w:color="FFFFFF"/>
              <w:right w:val="single" w:sz="12" w:space="0" w:color="FFFFFF"/>
            </w:tcBorders>
            <w:shd w:val="clear" w:color="000000" w:fill="D9D9D9"/>
            <w:vAlign w:val="center"/>
            <w:hideMark/>
          </w:tcPr>
          <w:p w14:paraId="6A8D00D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Plano de Ação do Incidente (em inglês, </w:t>
            </w:r>
            <w:r w:rsidRPr="00BF1926">
              <w:rPr>
                <w:rFonts w:asciiTheme="majorHAnsi" w:hAnsiTheme="majorHAnsi"/>
                <w:i/>
                <w:color w:val="000000"/>
                <w:sz w:val="20"/>
                <w:szCs w:val="20"/>
              </w:rPr>
              <w:t>Incident Action Plan</w:t>
            </w:r>
            <w:r w:rsidRPr="00BF1926">
              <w:rPr>
                <w:rFonts w:asciiTheme="majorHAnsi" w:hAnsiTheme="majorHAnsi"/>
                <w:color w:val="000000"/>
                <w:sz w:val="20"/>
                <w:szCs w:val="20"/>
              </w:rPr>
              <w:t>)</w:t>
            </w:r>
          </w:p>
        </w:tc>
      </w:tr>
      <w:tr w:rsidR="00BF1926" w:rsidRPr="00BF1926" w14:paraId="77F2D058" w14:textId="77777777" w:rsidTr="00FC10A8">
        <w:trPr>
          <w:trHeight w:val="435"/>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F693C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IBAMA </w:t>
            </w:r>
          </w:p>
        </w:tc>
        <w:tc>
          <w:tcPr>
            <w:tcW w:w="4142" w:type="pct"/>
            <w:tcBorders>
              <w:top w:val="nil"/>
              <w:left w:val="nil"/>
              <w:bottom w:val="single" w:sz="12" w:space="0" w:color="FFFFFF"/>
              <w:right w:val="single" w:sz="12" w:space="0" w:color="FFFFFF"/>
            </w:tcBorders>
            <w:shd w:val="clear" w:color="000000" w:fill="D9D9D9"/>
            <w:vAlign w:val="center"/>
            <w:hideMark/>
          </w:tcPr>
          <w:p w14:paraId="138F350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Instituto Brasileiro do Meio Ambiente e dos Recursos Naturais Renováveis</w:t>
            </w:r>
          </w:p>
        </w:tc>
      </w:tr>
      <w:tr w:rsidR="00BF1926" w:rsidRPr="00BF1926" w14:paraId="77ABE99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92FA8A5"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IBP</w:t>
            </w:r>
          </w:p>
        </w:tc>
        <w:tc>
          <w:tcPr>
            <w:tcW w:w="4142" w:type="pct"/>
            <w:tcBorders>
              <w:top w:val="nil"/>
              <w:left w:val="nil"/>
              <w:bottom w:val="single" w:sz="12" w:space="0" w:color="FFFFFF"/>
              <w:right w:val="single" w:sz="12" w:space="0" w:color="FFFFFF"/>
            </w:tcBorders>
            <w:shd w:val="clear" w:color="000000" w:fill="D9D9D9"/>
            <w:vAlign w:val="center"/>
            <w:hideMark/>
          </w:tcPr>
          <w:p w14:paraId="7465925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Instituto Brasileiro de Petróleo, Gás e Biocombustíveis</w:t>
            </w:r>
          </w:p>
        </w:tc>
      </w:tr>
      <w:tr w:rsidR="00BF1926" w:rsidRPr="00BF1926" w14:paraId="62CED45B"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92E66A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w:t>
            </w:r>
          </w:p>
        </w:tc>
        <w:tc>
          <w:tcPr>
            <w:tcW w:w="4142" w:type="pct"/>
            <w:tcBorders>
              <w:top w:val="nil"/>
              <w:left w:val="nil"/>
              <w:bottom w:val="single" w:sz="12" w:space="0" w:color="FFFFFF"/>
              <w:right w:val="single" w:sz="12" w:space="0" w:color="FFFFFF"/>
            </w:tcBorders>
            <w:shd w:val="clear" w:color="000000" w:fill="D9D9D9"/>
            <w:vAlign w:val="center"/>
            <w:hideMark/>
          </w:tcPr>
          <w:p w14:paraId="24260D0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Comandante do Incidente (em inglês, </w:t>
            </w:r>
            <w:r w:rsidRPr="00BF1926">
              <w:rPr>
                <w:rFonts w:asciiTheme="majorHAnsi" w:hAnsiTheme="majorHAnsi"/>
                <w:i/>
                <w:color w:val="000000"/>
                <w:sz w:val="20"/>
                <w:szCs w:val="20"/>
              </w:rPr>
              <w:t>Incident Commander</w:t>
            </w:r>
            <w:r w:rsidRPr="00BF1926">
              <w:rPr>
                <w:rFonts w:asciiTheme="majorHAnsi" w:hAnsiTheme="majorHAnsi"/>
                <w:color w:val="000000"/>
                <w:sz w:val="20"/>
                <w:szCs w:val="20"/>
              </w:rPr>
              <w:t>)</w:t>
            </w:r>
          </w:p>
        </w:tc>
      </w:tr>
      <w:tr w:rsidR="00BF1926" w:rsidRPr="00BF1926" w14:paraId="424267D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3B588D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ICP</w:t>
            </w:r>
          </w:p>
        </w:tc>
        <w:tc>
          <w:tcPr>
            <w:tcW w:w="4142" w:type="pct"/>
            <w:tcBorders>
              <w:top w:val="nil"/>
              <w:left w:val="nil"/>
              <w:bottom w:val="single" w:sz="12" w:space="0" w:color="FFFFFF"/>
              <w:right w:val="single" w:sz="12" w:space="0" w:color="FFFFFF"/>
            </w:tcBorders>
            <w:shd w:val="clear" w:color="000000" w:fill="D9D9D9"/>
            <w:vAlign w:val="center"/>
            <w:hideMark/>
          </w:tcPr>
          <w:p w14:paraId="564F7B8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Centro de Comando do Incidente (em inglês, </w:t>
            </w:r>
            <w:r w:rsidRPr="00BF1926">
              <w:rPr>
                <w:rFonts w:asciiTheme="majorHAnsi" w:hAnsiTheme="majorHAnsi"/>
                <w:i/>
                <w:color w:val="000000"/>
                <w:sz w:val="20"/>
                <w:szCs w:val="20"/>
              </w:rPr>
              <w:t>Incident Command Post</w:t>
            </w:r>
            <w:r w:rsidRPr="00BF1926">
              <w:rPr>
                <w:rFonts w:asciiTheme="majorHAnsi" w:hAnsiTheme="majorHAnsi"/>
                <w:color w:val="000000"/>
                <w:sz w:val="20"/>
                <w:szCs w:val="20"/>
              </w:rPr>
              <w:t>)</w:t>
            </w:r>
          </w:p>
        </w:tc>
      </w:tr>
      <w:tr w:rsidR="00BF1926" w:rsidRPr="00BF1926" w14:paraId="03B8E60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897A59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ICS</w:t>
            </w:r>
          </w:p>
        </w:tc>
        <w:tc>
          <w:tcPr>
            <w:tcW w:w="4142" w:type="pct"/>
            <w:tcBorders>
              <w:top w:val="nil"/>
              <w:left w:val="nil"/>
              <w:bottom w:val="single" w:sz="12" w:space="0" w:color="FFFFFF"/>
              <w:right w:val="single" w:sz="12" w:space="0" w:color="FFFFFF"/>
            </w:tcBorders>
            <w:shd w:val="clear" w:color="000000" w:fill="D9D9D9"/>
            <w:vAlign w:val="center"/>
            <w:hideMark/>
          </w:tcPr>
          <w:p w14:paraId="3CB8419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 de Comando de Incidentes (em inglês, </w:t>
            </w:r>
            <w:r w:rsidRPr="00BF1926">
              <w:rPr>
                <w:rFonts w:asciiTheme="majorHAnsi" w:hAnsiTheme="majorHAnsi"/>
                <w:i/>
                <w:color w:val="000000"/>
                <w:sz w:val="20"/>
                <w:szCs w:val="20"/>
              </w:rPr>
              <w:t>Incident Command System</w:t>
            </w:r>
            <w:r w:rsidRPr="00BF1926">
              <w:rPr>
                <w:rFonts w:asciiTheme="majorHAnsi" w:hAnsiTheme="majorHAnsi"/>
                <w:color w:val="000000"/>
                <w:sz w:val="20"/>
                <w:szCs w:val="20"/>
              </w:rPr>
              <w:t>)</w:t>
            </w:r>
          </w:p>
        </w:tc>
      </w:tr>
      <w:tr w:rsidR="00BF1926" w:rsidRPr="00BF1926" w14:paraId="58600B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675D0F14"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IMT</w:t>
            </w:r>
          </w:p>
        </w:tc>
        <w:tc>
          <w:tcPr>
            <w:tcW w:w="4142" w:type="pct"/>
            <w:tcBorders>
              <w:top w:val="nil"/>
              <w:left w:val="nil"/>
              <w:bottom w:val="single" w:sz="12" w:space="0" w:color="FFFFFF"/>
              <w:right w:val="single" w:sz="12" w:space="0" w:color="FFFFFF"/>
            </w:tcBorders>
            <w:shd w:val="clear" w:color="000000" w:fill="D9D9D9"/>
            <w:vAlign w:val="center"/>
            <w:hideMark/>
          </w:tcPr>
          <w:p w14:paraId="7818541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de Gerenciamento de Incidentes (em inglês, </w:t>
            </w:r>
            <w:r w:rsidRPr="00BF1926">
              <w:rPr>
                <w:rFonts w:asciiTheme="majorHAnsi" w:hAnsiTheme="majorHAnsi"/>
                <w:i/>
                <w:color w:val="000000"/>
                <w:sz w:val="20"/>
                <w:szCs w:val="20"/>
              </w:rPr>
              <w:t>Incident Management Team</w:t>
            </w:r>
            <w:r w:rsidRPr="00BF1926">
              <w:rPr>
                <w:rFonts w:asciiTheme="majorHAnsi" w:hAnsiTheme="majorHAnsi"/>
                <w:color w:val="000000"/>
                <w:sz w:val="20"/>
                <w:szCs w:val="20"/>
              </w:rPr>
              <w:t>)</w:t>
            </w:r>
          </w:p>
        </w:tc>
      </w:tr>
      <w:tr w:rsidR="00BF1926" w:rsidRPr="00BF1926" w14:paraId="3F29BC1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7AB7F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LIO-Com</w:t>
            </w:r>
          </w:p>
        </w:tc>
        <w:tc>
          <w:tcPr>
            <w:tcW w:w="4142" w:type="pct"/>
            <w:tcBorders>
              <w:top w:val="nil"/>
              <w:left w:val="nil"/>
              <w:bottom w:val="single" w:sz="12" w:space="0" w:color="FFFFFF"/>
              <w:right w:val="single" w:sz="12" w:space="0" w:color="FFFFFF"/>
            </w:tcBorders>
            <w:shd w:val="clear" w:color="000000" w:fill="D9D9D9"/>
            <w:vAlign w:val="center"/>
            <w:hideMark/>
          </w:tcPr>
          <w:p w14:paraId="094535B3"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w:t>
            </w:r>
            <w:r w:rsidR="0059026A">
              <w:rPr>
                <w:rFonts w:asciiTheme="majorHAnsi" w:hAnsiTheme="majorHAnsi"/>
                <w:color w:val="000000"/>
                <w:sz w:val="20"/>
                <w:szCs w:val="20"/>
              </w:rPr>
              <w:t>d</w:t>
            </w:r>
            <w:r w:rsidRPr="00BF1926">
              <w:rPr>
                <w:rFonts w:asciiTheme="majorHAnsi" w:hAnsiTheme="majorHAnsi"/>
                <w:color w:val="000000"/>
                <w:sz w:val="20"/>
                <w:szCs w:val="20"/>
              </w:rPr>
              <w:t xml:space="preserve">e Relações </w:t>
            </w:r>
            <w:r w:rsidR="0059026A">
              <w:rPr>
                <w:rFonts w:asciiTheme="majorHAnsi" w:hAnsiTheme="majorHAnsi"/>
                <w:color w:val="000000"/>
                <w:sz w:val="20"/>
                <w:szCs w:val="20"/>
              </w:rPr>
              <w:t>c</w:t>
            </w:r>
            <w:r w:rsidRPr="00BF1926">
              <w:rPr>
                <w:rFonts w:asciiTheme="majorHAnsi" w:hAnsiTheme="majorHAnsi"/>
                <w:color w:val="000000"/>
                <w:sz w:val="20"/>
                <w:szCs w:val="20"/>
              </w:rPr>
              <w:t xml:space="preserve">om Comunidades (em inglês, </w:t>
            </w:r>
            <w:r w:rsidRPr="00BF1926">
              <w:rPr>
                <w:rFonts w:asciiTheme="majorHAnsi" w:hAnsiTheme="majorHAnsi"/>
                <w:i/>
                <w:color w:val="000000"/>
                <w:sz w:val="20"/>
                <w:szCs w:val="20"/>
              </w:rPr>
              <w:t>Liaison Officer - Communities</w:t>
            </w:r>
            <w:r w:rsidRPr="00BF1926">
              <w:rPr>
                <w:rFonts w:asciiTheme="majorHAnsi" w:hAnsiTheme="majorHAnsi"/>
                <w:color w:val="000000"/>
                <w:sz w:val="20"/>
                <w:szCs w:val="20"/>
              </w:rPr>
              <w:t>)</w:t>
            </w:r>
          </w:p>
        </w:tc>
      </w:tr>
      <w:tr w:rsidR="00BF1926" w:rsidRPr="00BF1926" w14:paraId="3BDE4A4D"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F22853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LIO-Gov</w:t>
            </w:r>
          </w:p>
        </w:tc>
        <w:tc>
          <w:tcPr>
            <w:tcW w:w="4142" w:type="pct"/>
            <w:tcBorders>
              <w:top w:val="nil"/>
              <w:left w:val="nil"/>
              <w:bottom w:val="single" w:sz="12" w:space="0" w:color="FFFFFF"/>
              <w:right w:val="single" w:sz="12" w:space="0" w:color="FFFFFF"/>
            </w:tcBorders>
            <w:shd w:val="clear" w:color="000000" w:fill="D9D9D9"/>
            <w:vAlign w:val="center"/>
            <w:hideMark/>
          </w:tcPr>
          <w:p w14:paraId="2A5C8EC8"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w:t>
            </w:r>
            <w:r w:rsidR="0059026A">
              <w:rPr>
                <w:rFonts w:asciiTheme="majorHAnsi" w:hAnsiTheme="majorHAnsi"/>
                <w:color w:val="000000"/>
                <w:sz w:val="20"/>
                <w:szCs w:val="20"/>
              </w:rPr>
              <w:t>d</w:t>
            </w:r>
            <w:r w:rsidRPr="00BF1926">
              <w:rPr>
                <w:rFonts w:asciiTheme="majorHAnsi" w:hAnsiTheme="majorHAnsi"/>
                <w:color w:val="000000"/>
                <w:sz w:val="20"/>
                <w:szCs w:val="20"/>
              </w:rPr>
              <w:t xml:space="preserve">e Relações </w:t>
            </w:r>
            <w:r w:rsidR="0059026A">
              <w:rPr>
                <w:rFonts w:asciiTheme="majorHAnsi" w:hAnsiTheme="majorHAnsi"/>
                <w:color w:val="000000"/>
                <w:sz w:val="20"/>
                <w:szCs w:val="20"/>
              </w:rPr>
              <w:t>c</w:t>
            </w:r>
            <w:r w:rsidRPr="00BF1926">
              <w:rPr>
                <w:rFonts w:asciiTheme="majorHAnsi" w:hAnsiTheme="majorHAnsi"/>
                <w:color w:val="000000"/>
                <w:sz w:val="20"/>
                <w:szCs w:val="20"/>
              </w:rPr>
              <w:t xml:space="preserve">om Órgãos Governamentais (em inglês, </w:t>
            </w:r>
            <w:r w:rsidRPr="00BF1926">
              <w:rPr>
                <w:rFonts w:asciiTheme="majorHAnsi" w:hAnsiTheme="majorHAnsi"/>
                <w:i/>
                <w:color w:val="000000"/>
                <w:sz w:val="20"/>
                <w:szCs w:val="20"/>
              </w:rPr>
              <w:t>Liaison Officer - Goverment</w:t>
            </w:r>
            <w:r w:rsidRPr="00BF1926">
              <w:rPr>
                <w:rFonts w:asciiTheme="majorHAnsi" w:hAnsiTheme="majorHAnsi"/>
                <w:color w:val="000000"/>
                <w:sz w:val="20"/>
                <w:szCs w:val="20"/>
              </w:rPr>
              <w:t>)</w:t>
            </w:r>
          </w:p>
        </w:tc>
      </w:tr>
      <w:tr w:rsidR="00BF1926" w:rsidRPr="00BF1926" w14:paraId="26B33C5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9D535E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LOF</w:t>
            </w:r>
          </w:p>
        </w:tc>
        <w:tc>
          <w:tcPr>
            <w:tcW w:w="4142" w:type="pct"/>
            <w:tcBorders>
              <w:top w:val="nil"/>
              <w:left w:val="nil"/>
              <w:bottom w:val="single" w:sz="12" w:space="0" w:color="FFFFFF"/>
              <w:right w:val="single" w:sz="12" w:space="0" w:color="FFFFFF"/>
            </w:tcBorders>
            <w:shd w:val="clear" w:color="000000" w:fill="D9D9D9"/>
            <w:vAlign w:val="center"/>
            <w:hideMark/>
          </w:tcPr>
          <w:p w14:paraId="6382A9A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Oficial Jurídico</w:t>
            </w:r>
          </w:p>
        </w:tc>
      </w:tr>
      <w:tr w:rsidR="00BF1926" w:rsidRPr="00BF1926" w14:paraId="75C2EE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51FADAD"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LSC</w:t>
            </w:r>
          </w:p>
        </w:tc>
        <w:tc>
          <w:tcPr>
            <w:tcW w:w="4142" w:type="pct"/>
            <w:tcBorders>
              <w:top w:val="nil"/>
              <w:left w:val="nil"/>
              <w:bottom w:val="single" w:sz="12" w:space="0" w:color="FFFFFF"/>
              <w:right w:val="single" w:sz="12" w:space="0" w:color="FFFFFF"/>
            </w:tcBorders>
            <w:shd w:val="clear" w:color="000000" w:fill="D9D9D9"/>
            <w:vAlign w:val="center"/>
            <w:hideMark/>
          </w:tcPr>
          <w:p w14:paraId="6B56A34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Logística (em inglês, </w:t>
            </w:r>
            <w:r w:rsidRPr="00BF1926">
              <w:rPr>
                <w:rFonts w:asciiTheme="majorHAnsi" w:hAnsiTheme="majorHAnsi"/>
                <w:i/>
                <w:color w:val="000000"/>
                <w:sz w:val="20"/>
                <w:szCs w:val="20"/>
              </w:rPr>
              <w:t>Logistics Section Chief</w:t>
            </w:r>
            <w:r w:rsidRPr="00BF1926">
              <w:rPr>
                <w:rFonts w:asciiTheme="majorHAnsi" w:hAnsiTheme="majorHAnsi"/>
                <w:color w:val="000000"/>
                <w:sz w:val="20"/>
                <w:szCs w:val="20"/>
              </w:rPr>
              <w:t>)</w:t>
            </w:r>
          </w:p>
        </w:tc>
      </w:tr>
      <w:tr w:rsidR="00BF1926" w:rsidRPr="00BF1926" w14:paraId="050492C1"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240B8F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MARPOL 73/78</w:t>
            </w:r>
          </w:p>
        </w:tc>
        <w:tc>
          <w:tcPr>
            <w:tcW w:w="4142" w:type="pct"/>
            <w:tcBorders>
              <w:top w:val="nil"/>
              <w:left w:val="nil"/>
              <w:bottom w:val="single" w:sz="12" w:space="0" w:color="FFFFFF"/>
              <w:right w:val="single" w:sz="12" w:space="0" w:color="FFFFFF"/>
            </w:tcBorders>
            <w:shd w:val="clear" w:color="000000" w:fill="D9D9D9"/>
            <w:vAlign w:val="center"/>
            <w:hideMark/>
          </w:tcPr>
          <w:p w14:paraId="1804A39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Convenção Internacional de Prevenção de Poluição por Navios</w:t>
            </w:r>
          </w:p>
        </w:tc>
      </w:tr>
      <w:tr w:rsidR="005942C1" w:rsidRPr="00BF1926" w14:paraId="3BA7C39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6107C9DE" w14:textId="2E088594" w:rsidR="005942C1" w:rsidRPr="00BF1926" w:rsidRDefault="005942C1"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MCI</w:t>
            </w:r>
          </w:p>
        </w:tc>
        <w:tc>
          <w:tcPr>
            <w:tcW w:w="4142" w:type="pct"/>
            <w:tcBorders>
              <w:top w:val="nil"/>
              <w:left w:val="nil"/>
              <w:bottom w:val="single" w:sz="12" w:space="0" w:color="FFFFFF"/>
              <w:right w:val="single" w:sz="12" w:space="0" w:color="FFFFFF"/>
            </w:tcBorders>
            <w:shd w:val="clear" w:color="000000" w:fill="D9D9D9"/>
            <w:vAlign w:val="center"/>
          </w:tcPr>
          <w:p w14:paraId="02D8364C" w14:textId="68FD4C77" w:rsidR="005942C1" w:rsidRPr="00BF1926" w:rsidRDefault="005942C1" w:rsidP="005942C1">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Manual de Comunicação de Incidentes de Exploração e Produção de Petróleo e Gás Natural / SSM/ ANP</w:t>
            </w:r>
          </w:p>
        </w:tc>
      </w:tr>
      <w:tr w:rsidR="00BF1926" w:rsidRPr="00BF1926" w14:paraId="15B0605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B7EA0C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MRT</w:t>
            </w:r>
          </w:p>
        </w:tc>
        <w:tc>
          <w:tcPr>
            <w:tcW w:w="4142" w:type="pct"/>
            <w:tcBorders>
              <w:top w:val="nil"/>
              <w:left w:val="nil"/>
              <w:bottom w:val="single" w:sz="12" w:space="0" w:color="FFFFFF"/>
              <w:right w:val="single" w:sz="12" w:space="0" w:color="FFFFFF"/>
            </w:tcBorders>
            <w:shd w:val="clear" w:color="000000" w:fill="D9D9D9"/>
            <w:vAlign w:val="center"/>
            <w:hideMark/>
          </w:tcPr>
          <w:p w14:paraId="63E9A6C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de Resposta Mútua (em inglês, </w:t>
            </w:r>
            <w:r w:rsidRPr="00BF1926">
              <w:rPr>
                <w:rFonts w:asciiTheme="majorHAnsi" w:hAnsiTheme="majorHAnsi"/>
                <w:i/>
                <w:color w:val="000000"/>
                <w:sz w:val="20"/>
                <w:szCs w:val="20"/>
              </w:rPr>
              <w:t>Mutual Response Team</w:t>
            </w:r>
            <w:r w:rsidRPr="00BF1926">
              <w:rPr>
                <w:rFonts w:asciiTheme="majorHAnsi" w:hAnsiTheme="majorHAnsi"/>
                <w:color w:val="000000"/>
                <w:sz w:val="20"/>
                <w:szCs w:val="20"/>
              </w:rPr>
              <w:t>)</w:t>
            </w:r>
          </w:p>
        </w:tc>
      </w:tr>
      <w:tr w:rsidR="00BF1926" w:rsidRPr="00BF1926" w14:paraId="12A902D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A6C8BA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OEMA </w:t>
            </w:r>
          </w:p>
        </w:tc>
        <w:tc>
          <w:tcPr>
            <w:tcW w:w="4142" w:type="pct"/>
            <w:tcBorders>
              <w:top w:val="nil"/>
              <w:left w:val="nil"/>
              <w:bottom w:val="single" w:sz="12" w:space="0" w:color="FFFFFF"/>
              <w:right w:val="single" w:sz="12" w:space="0" w:color="FFFFFF"/>
            </w:tcBorders>
            <w:shd w:val="clear" w:color="000000" w:fill="D9D9D9"/>
            <w:vAlign w:val="center"/>
            <w:hideMark/>
          </w:tcPr>
          <w:p w14:paraId="21353E7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Órgão Estadual de Meio Ambiente</w:t>
            </w:r>
          </w:p>
        </w:tc>
      </w:tr>
      <w:tr w:rsidR="00BF1926" w:rsidRPr="00BF1926" w14:paraId="1B77E86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8DEB5C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OSC</w:t>
            </w:r>
          </w:p>
        </w:tc>
        <w:tc>
          <w:tcPr>
            <w:tcW w:w="4142" w:type="pct"/>
            <w:tcBorders>
              <w:top w:val="nil"/>
              <w:left w:val="nil"/>
              <w:bottom w:val="single" w:sz="12" w:space="0" w:color="FFFFFF"/>
              <w:right w:val="single" w:sz="12" w:space="0" w:color="FFFFFF"/>
            </w:tcBorders>
            <w:shd w:val="clear" w:color="000000" w:fill="D9D9D9"/>
            <w:vAlign w:val="center"/>
            <w:hideMark/>
          </w:tcPr>
          <w:p w14:paraId="12EFFAD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Operações (em inglês, </w:t>
            </w:r>
            <w:r w:rsidRPr="00BF1926">
              <w:rPr>
                <w:rFonts w:asciiTheme="majorHAnsi" w:hAnsiTheme="majorHAnsi"/>
                <w:i/>
                <w:color w:val="000000"/>
                <w:sz w:val="20"/>
                <w:szCs w:val="20"/>
              </w:rPr>
              <w:t>Operations Section Chief</w:t>
            </w:r>
            <w:r w:rsidRPr="00BF1926">
              <w:rPr>
                <w:rFonts w:asciiTheme="majorHAnsi" w:hAnsiTheme="majorHAnsi"/>
                <w:color w:val="000000"/>
                <w:sz w:val="20"/>
                <w:szCs w:val="20"/>
              </w:rPr>
              <w:t>)</w:t>
            </w:r>
          </w:p>
        </w:tc>
      </w:tr>
      <w:tr w:rsidR="00BA4A90" w:rsidRPr="00BF1926" w14:paraId="423BC02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621B4B0C" w14:textId="77777777" w:rsidR="00BA4A90" w:rsidRPr="00BF1926" w:rsidRDefault="00BA4A90"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OSRO</w:t>
            </w:r>
          </w:p>
        </w:tc>
        <w:tc>
          <w:tcPr>
            <w:tcW w:w="4142" w:type="pct"/>
            <w:tcBorders>
              <w:top w:val="nil"/>
              <w:left w:val="nil"/>
              <w:bottom w:val="single" w:sz="12" w:space="0" w:color="FFFFFF"/>
              <w:right w:val="single" w:sz="12" w:space="0" w:color="FFFFFF"/>
            </w:tcBorders>
            <w:shd w:val="clear" w:color="000000" w:fill="D9D9D9"/>
            <w:vAlign w:val="center"/>
          </w:tcPr>
          <w:p w14:paraId="4C1AFBD4" w14:textId="77777777" w:rsidR="00BA4A90" w:rsidRPr="00BF1926" w:rsidRDefault="00BA4A90" w:rsidP="00CC4ED0">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 xml:space="preserve">Organização de Resposta a </w:t>
            </w:r>
            <w:r w:rsidR="00CC4ED0">
              <w:rPr>
                <w:rFonts w:asciiTheme="majorHAnsi" w:hAnsiTheme="majorHAnsi"/>
                <w:color w:val="000000"/>
                <w:sz w:val="20"/>
                <w:szCs w:val="20"/>
              </w:rPr>
              <w:t>Derramamento de Óleo</w:t>
            </w:r>
            <w:r>
              <w:rPr>
                <w:rFonts w:asciiTheme="majorHAnsi" w:hAnsiTheme="majorHAnsi"/>
                <w:color w:val="000000"/>
                <w:sz w:val="20"/>
                <w:szCs w:val="20"/>
              </w:rPr>
              <w:t xml:space="preserve"> (em inglês, </w:t>
            </w:r>
            <w:r w:rsidRPr="00C45C9A">
              <w:rPr>
                <w:rFonts w:asciiTheme="majorHAnsi" w:hAnsiTheme="majorHAnsi"/>
                <w:i/>
                <w:color w:val="000000"/>
                <w:sz w:val="20"/>
                <w:szCs w:val="20"/>
              </w:rPr>
              <w:t>Oil Spill Response Organization</w:t>
            </w:r>
            <w:r>
              <w:rPr>
                <w:rFonts w:asciiTheme="majorHAnsi" w:hAnsiTheme="majorHAnsi"/>
                <w:color w:val="000000"/>
                <w:sz w:val="20"/>
                <w:szCs w:val="20"/>
              </w:rPr>
              <w:t>)</w:t>
            </w:r>
          </w:p>
        </w:tc>
      </w:tr>
      <w:tr w:rsidR="00BF1926" w:rsidRPr="00BF1926" w14:paraId="6E1F03C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94713E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lastRenderedPageBreak/>
              <w:t>OSRV</w:t>
            </w:r>
          </w:p>
        </w:tc>
        <w:tc>
          <w:tcPr>
            <w:tcW w:w="4142" w:type="pct"/>
            <w:tcBorders>
              <w:top w:val="nil"/>
              <w:left w:val="nil"/>
              <w:bottom w:val="single" w:sz="12" w:space="0" w:color="FFFFFF"/>
              <w:right w:val="single" w:sz="12" w:space="0" w:color="FFFFFF"/>
            </w:tcBorders>
            <w:shd w:val="clear" w:color="000000" w:fill="D9D9D9"/>
            <w:vAlign w:val="center"/>
            <w:hideMark/>
          </w:tcPr>
          <w:p w14:paraId="06D32AD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Embarcação dedicada (em inglês, </w:t>
            </w:r>
            <w:r w:rsidRPr="00BF1926">
              <w:rPr>
                <w:rFonts w:asciiTheme="majorHAnsi" w:hAnsiTheme="majorHAnsi"/>
                <w:i/>
                <w:color w:val="000000"/>
                <w:sz w:val="20"/>
                <w:szCs w:val="20"/>
              </w:rPr>
              <w:t>Oil Spill Response Vessel</w:t>
            </w:r>
            <w:r w:rsidRPr="00BF1926">
              <w:rPr>
                <w:rFonts w:asciiTheme="majorHAnsi" w:hAnsiTheme="majorHAnsi"/>
                <w:color w:val="000000"/>
                <w:sz w:val="20"/>
                <w:szCs w:val="20"/>
              </w:rPr>
              <w:t>)</w:t>
            </w:r>
          </w:p>
        </w:tc>
      </w:tr>
      <w:tr w:rsidR="00BF1926" w:rsidRPr="00BF1926" w14:paraId="35DDB65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6E086F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PCP</w:t>
            </w:r>
          </w:p>
        </w:tc>
        <w:tc>
          <w:tcPr>
            <w:tcW w:w="4142" w:type="pct"/>
            <w:tcBorders>
              <w:top w:val="nil"/>
              <w:left w:val="nil"/>
              <w:bottom w:val="single" w:sz="12" w:space="0" w:color="FFFFFF"/>
              <w:right w:val="single" w:sz="12" w:space="0" w:color="FFFFFF"/>
            </w:tcBorders>
            <w:shd w:val="clear" w:color="000000" w:fill="D9D9D9"/>
            <w:vAlign w:val="center"/>
            <w:hideMark/>
          </w:tcPr>
          <w:p w14:paraId="5EA688D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Plano de Controle da Poluição</w:t>
            </w:r>
          </w:p>
        </w:tc>
      </w:tr>
      <w:tr w:rsidR="00BF1926" w:rsidRPr="00BF1926" w14:paraId="6515B59B"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5AA087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PIO</w:t>
            </w:r>
          </w:p>
        </w:tc>
        <w:tc>
          <w:tcPr>
            <w:tcW w:w="4142" w:type="pct"/>
            <w:tcBorders>
              <w:top w:val="nil"/>
              <w:left w:val="nil"/>
              <w:bottom w:val="single" w:sz="12" w:space="0" w:color="FFFFFF"/>
              <w:right w:val="single" w:sz="12" w:space="0" w:color="FFFFFF"/>
            </w:tcBorders>
            <w:shd w:val="clear" w:color="000000" w:fill="D9D9D9"/>
            <w:vAlign w:val="center"/>
            <w:hideMark/>
          </w:tcPr>
          <w:p w14:paraId="3712BE2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de Informação (em inglês, </w:t>
            </w:r>
            <w:r w:rsidRPr="00BF1926">
              <w:rPr>
                <w:rFonts w:asciiTheme="majorHAnsi" w:hAnsiTheme="majorHAnsi"/>
                <w:i/>
                <w:color w:val="000000"/>
                <w:sz w:val="20"/>
                <w:szCs w:val="20"/>
              </w:rPr>
              <w:t>Public Information Officer</w:t>
            </w:r>
            <w:r w:rsidRPr="00BF1926">
              <w:rPr>
                <w:rFonts w:asciiTheme="majorHAnsi" w:hAnsiTheme="majorHAnsi"/>
                <w:color w:val="000000"/>
                <w:sz w:val="20"/>
                <w:szCs w:val="20"/>
              </w:rPr>
              <w:t>)</w:t>
            </w:r>
          </w:p>
        </w:tc>
      </w:tr>
      <w:tr w:rsidR="00BF1926" w:rsidRPr="00BF1926" w14:paraId="1F775D27"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CE4FA8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PPLC</w:t>
            </w:r>
          </w:p>
        </w:tc>
        <w:tc>
          <w:tcPr>
            <w:tcW w:w="4142" w:type="pct"/>
            <w:tcBorders>
              <w:top w:val="nil"/>
              <w:left w:val="nil"/>
              <w:bottom w:val="single" w:sz="12" w:space="0" w:color="FFFFFF"/>
              <w:right w:val="single" w:sz="12" w:space="0" w:color="FFFFFF"/>
            </w:tcBorders>
            <w:shd w:val="clear" w:color="000000" w:fill="D9D9D9"/>
            <w:vAlign w:val="center"/>
            <w:hideMark/>
          </w:tcPr>
          <w:p w14:paraId="476C43F1"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Projeto</w:t>
            </w:r>
            <w:r w:rsidR="0059026A">
              <w:rPr>
                <w:rFonts w:asciiTheme="majorHAnsi" w:hAnsiTheme="majorHAnsi"/>
                <w:color w:val="000000"/>
                <w:sz w:val="20"/>
                <w:szCs w:val="20"/>
              </w:rPr>
              <w:t xml:space="preserve"> de Proteção e Limpeza de Costa</w:t>
            </w:r>
          </w:p>
        </w:tc>
      </w:tr>
      <w:tr w:rsidR="00BF1926" w:rsidRPr="00BF1926" w14:paraId="7EE59B7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13D6A8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PSC</w:t>
            </w:r>
          </w:p>
        </w:tc>
        <w:tc>
          <w:tcPr>
            <w:tcW w:w="4142" w:type="pct"/>
            <w:tcBorders>
              <w:top w:val="nil"/>
              <w:left w:val="nil"/>
              <w:bottom w:val="single" w:sz="12" w:space="0" w:color="FFFFFF"/>
              <w:right w:val="single" w:sz="12" w:space="0" w:color="FFFFFF"/>
            </w:tcBorders>
            <w:shd w:val="clear" w:color="000000" w:fill="D9D9D9"/>
            <w:vAlign w:val="center"/>
            <w:hideMark/>
          </w:tcPr>
          <w:p w14:paraId="6C2C69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 da Seção de Planejamento (em inglês, </w:t>
            </w:r>
            <w:r w:rsidRPr="00BF1926">
              <w:rPr>
                <w:rFonts w:asciiTheme="majorHAnsi" w:hAnsiTheme="majorHAnsi"/>
                <w:i/>
                <w:color w:val="000000"/>
                <w:sz w:val="20"/>
                <w:szCs w:val="20"/>
              </w:rPr>
              <w:t>Planning Section Chief</w:t>
            </w:r>
            <w:r w:rsidRPr="00BF1926">
              <w:rPr>
                <w:rFonts w:asciiTheme="majorHAnsi" w:hAnsiTheme="majorHAnsi"/>
                <w:color w:val="000000"/>
                <w:sz w:val="20"/>
                <w:szCs w:val="20"/>
              </w:rPr>
              <w:t>)</w:t>
            </w:r>
          </w:p>
        </w:tc>
      </w:tr>
      <w:tr w:rsidR="00BF1926" w:rsidRPr="00BF1926" w14:paraId="3D601833"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498B461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PSV</w:t>
            </w:r>
          </w:p>
        </w:tc>
        <w:tc>
          <w:tcPr>
            <w:tcW w:w="4142" w:type="pct"/>
            <w:tcBorders>
              <w:top w:val="nil"/>
              <w:left w:val="nil"/>
              <w:bottom w:val="single" w:sz="12" w:space="0" w:color="FFFFFF"/>
              <w:right w:val="single" w:sz="12" w:space="0" w:color="FFFFFF"/>
            </w:tcBorders>
            <w:shd w:val="clear" w:color="000000" w:fill="D9D9D9"/>
            <w:vAlign w:val="center"/>
            <w:hideMark/>
          </w:tcPr>
          <w:p w14:paraId="7F0D541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Embarcação de apoio (em inglês, </w:t>
            </w:r>
            <w:r w:rsidRPr="00BF1926">
              <w:rPr>
                <w:rFonts w:asciiTheme="majorHAnsi" w:hAnsiTheme="majorHAnsi"/>
                <w:i/>
                <w:color w:val="000000"/>
                <w:sz w:val="20"/>
                <w:szCs w:val="20"/>
              </w:rPr>
              <w:t>Platform Supply Vessel</w:t>
            </w:r>
            <w:r w:rsidRPr="00BF1926">
              <w:rPr>
                <w:rFonts w:asciiTheme="majorHAnsi" w:hAnsiTheme="majorHAnsi"/>
                <w:color w:val="000000"/>
                <w:sz w:val="20"/>
                <w:szCs w:val="20"/>
              </w:rPr>
              <w:t>)</w:t>
            </w:r>
          </w:p>
        </w:tc>
      </w:tr>
      <w:tr w:rsidR="00BF1926" w:rsidRPr="00BF1926" w14:paraId="36626F7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2A8D438E"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RC&amp;E</w:t>
            </w:r>
          </w:p>
        </w:tc>
        <w:tc>
          <w:tcPr>
            <w:tcW w:w="4142" w:type="pct"/>
            <w:tcBorders>
              <w:top w:val="nil"/>
              <w:left w:val="nil"/>
              <w:bottom w:val="single" w:sz="12" w:space="0" w:color="FFFFFF"/>
              <w:right w:val="single" w:sz="12" w:space="0" w:color="FFFFFF"/>
            </w:tcBorders>
            <w:shd w:val="clear" w:color="000000" w:fill="D9D9D9"/>
            <w:vAlign w:val="center"/>
            <w:hideMark/>
          </w:tcPr>
          <w:p w14:paraId="08656F1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Conformidade aos Regulamentos e Meio Ambiente (em inglês, </w:t>
            </w:r>
            <w:r w:rsidRPr="00BF1926">
              <w:rPr>
                <w:rFonts w:asciiTheme="majorHAnsi" w:hAnsiTheme="majorHAnsi"/>
                <w:i/>
                <w:color w:val="000000"/>
                <w:sz w:val="20"/>
                <w:szCs w:val="20"/>
              </w:rPr>
              <w:t>Regulatory, Compliance &amp; Environment</w:t>
            </w:r>
            <w:r w:rsidRPr="00BF1926">
              <w:rPr>
                <w:rFonts w:asciiTheme="majorHAnsi" w:hAnsiTheme="majorHAnsi"/>
                <w:color w:val="000000"/>
                <w:sz w:val="20"/>
                <w:szCs w:val="20"/>
              </w:rPr>
              <w:t>)</w:t>
            </w:r>
          </w:p>
        </w:tc>
      </w:tr>
      <w:tr w:rsidR="00BF1926" w:rsidRPr="00BF1926" w14:paraId="0E3651A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959DF1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SC</w:t>
            </w:r>
          </w:p>
        </w:tc>
        <w:tc>
          <w:tcPr>
            <w:tcW w:w="4142" w:type="pct"/>
            <w:tcBorders>
              <w:top w:val="nil"/>
              <w:left w:val="nil"/>
              <w:bottom w:val="single" w:sz="12" w:space="0" w:color="FFFFFF"/>
              <w:right w:val="single" w:sz="12" w:space="0" w:color="FFFFFF"/>
            </w:tcBorders>
            <w:shd w:val="clear" w:color="000000" w:fill="D9D9D9"/>
            <w:vAlign w:val="center"/>
            <w:hideMark/>
          </w:tcPr>
          <w:p w14:paraId="07D19463"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Chefes de Seção (em inglês, </w:t>
            </w:r>
            <w:r w:rsidRPr="00BF1926">
              <w:rPr>
                <w:rFonts w:asciiTheme="majorHAnsi" w:hAnsiTheme="majorHAnsi"/>
                <w:i/>
                <w:color w:val="000000"/>
                <w:sz w:val="20"/>
                <w:szCs w:val="20"/>
              </w:rPr>
              <w:t>Section Chief</w:t>
            </w:r>
            <w:r w:rsidRPr="00BF1926">
              <w:rPr>
                <w:rFonts w:asciiTheme="majorHAnsi" w:hAnsiTheme="majorHAnsi"/>
                <w:color w:val="000000"/>
                <w:sz w:val="20"/>
                <w:szCs w:val="20"/>
              </w:rPr>
              <w:t>)</w:t>
            </w:r>
          </w:p>
        </w:tc>
      </w:tr>
      <w:tr w:rsidR="00BF1926" w:rsidRPr="00BF1926" w14:paraId="62919229"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54E6B27B"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SIMOPS</w:t>
            </w:r>
          </w:p>
        </w:tc>
        <w:tc>
          <w:tcPr>
            <w:tcW w:w="4142" w:type="pct"/>
            <w:tcBorders>
              <w:top w:val="nil"/>
              <w:left w:val="nil"/>
              <w:bottom w:val="single" w:sz="12" w:space="0" w:color="FFFFFF"/>
              <w:right w:val="single" w:sz="12" w:space="0" w:color="FFFFFF"/>
            </w:tcBorders>
            <w:shd w:val="clear" w:color="000000" w:fill="D9D9D9"/>
            <w:vAlign w:val="center"/>
            <w:hideMark/>
          </w:tcPr>
          <w:p w14:paraId="3159F17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Operações Simultâneas (em inglês, </w:t>
            </w:r>
            <w:r w:rsidRPr="00BF1926">
              <w:rPr>
                <w:rFonts w:asciiTheme="majorHAnsi" w:hAnsiTheme="majorHAnsi"/>
                <w:i/>
                <w:color w:val="000000"/>
                <w:sz w:val="20"/>
                <w:szCs w:val="20"/>
              </w:rPr>
              <w:t>Simultaneous Operations</w:t>
            </w:r>
            <w:r w:rsidRPr="00BF1926">
              <w:rPr>
                <w:rFonts w:asciiTheme="majorHAnsi" w:hAnsiTheme="majorHAnsi"/>
                <w:color w:val="000000"/>
                <w:sz w:val="20"/>
                <w:szCs w:val="20"/>
              </w:rPr>
              <w:t>)</w:t>
            </w:r>
          </w:p>
        </w:tc>
      </w:tr>
      <w:tr w:rsidR="00BF1926" w:rsidRPr="00BF1926" w14:paraId="624B70EE"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5A11B9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SINPDEC</w:t>
            </w:r>
          </w:p>
        </w:tc>
        <w:tc>
          <w:tcPr>
            <w:tcW w:w="4142" w:type="pct"/>
            <w:tcBorders>
              <w:top w:val="nil"/>
              <w:left w:val="nil"/>
              <w:bottom w:val="single" w:sz="12" w:space="0" w:color="FFFFFF"/>
              <w:right w:val="single" w:sz="12" w:space="0" w:color="FFFFFF"/>
            </w:tcBorders>
            <w:shd w:val="clear" w:color="000000" w:fill="D9D9D9"/>
            <w:vAlign w:val="center"/>
            <w:hideMark/>
          </w:tcPr>
          <w:p w14:paraId="10AD4562"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Sistema Nacional de Proteção e Defesa Civil</w:t>
            </w:r>
          </w:p>
        </w:tc>
      </w:tr>
      <w:tr w:rsidR="00BF1926" w:rsidRPr="00BF1926" w14:paraId="464CF77A"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03383A6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SOFR</w:t>
            </w:r>
          </w:p>
        </w:tc>
        <w:tc>
          <w:tcPr>
            <w:tcW w:w="4142" w:type="pct"/>
            <w:tcBorders>
              <w:top w:val="nil"/>
              <w:left w:val="nil"/>
              <w:bottom w:val="single" w:sz="12" w:space="0" w:color="FFFFFF"/>
              <w:right w:val="single" w:sz="12" w:space="0" w:color="FFFFFF"/>
            </w:tcBorders>
            <w:shd w:val="clear" w:color="000000" w:fill="D9D9D9"/>
            <w:vAlign w:val="center"/>
            <w:hideMark/>
          </w:tcPr>
          <w:p w14:paraId="1F24152C"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Oficial de Segurança (em inglês, </w:t>
            </w:r>
            <w:r w:rsidRPr="00BF1926">
              <w:rPr>
                <w:rFonts w:asciiTheme="majorHAnsi" w:hAnsiTheme="majorHAnsi"/>
                <w:i/>
                <w:color w:val="000000"/>
                <w:sz w:val="20"/>
                <w:szCs w:val="20"/>
              </w:rPr>
              <w:t>Safety Officer</w:t>
            </w:r>
            <w:r w:rsidRPr="00BF1926">
              <w:rPr>
                <w:rFonts w:asciiTheme="majorHAnsi" w:hAnsiTheme="majorHAnsi"/>
                <w:color w:val="000000"/>
                <w:sz w:val="20"/>
                <w:szCs w:val="20"/>
              </w:rPr>
              <w:t>)</w:t>
            </w:r>
          </w:p>
        </w:tc>
      </w:tr>
      <w:tr w:rsidR="00BF1926" w:rsidRPr="00BF1926" w14:paraId="5EEF1425"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1BEE08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SOPEP</w:t>
            </w:r>
          </w:p>
        </w:tc>
        <w:tc>
          <w:tcPr>
            <w:tcW w:w="4142" w:type="pct"/>
            <w:tcBorders>
              <w:top w:val="nil"/>
              <w:left w:val="nil"/>
              <w:bottom w:val="single" w:sz="12" w:space="0" w:color="FFFFFF"/>
              <w:right w:val="single" w:sz="12" w:space="0" w:color="FFFFFF"/>
            </w:tcBorders>
            <w:shd w:val="clear" w:color="000000" w:fill="D9D9D9"/>
            <w:vAlign w:val="center"/>
            <w:hideMark/>
          </w:tcPr>
          <w:p w14:paraId="62B899BF"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Plano de bordo de emergência em caso de poluição por hidrocarbonetos (em inglês, </w:t>
            </w:r>
            <w:r w:rsidRPr="00BF1926">
              <w:rPr>
                <w:rFonts w:asciiTheme="majorHAnsi" w:hAnsiTheme="majorHAnsi"/>
                <w:i/>
                <w:color w:val="000000"/>
                <w:sz w:val="20"/>
                <w:szCs w:val="20"/>
              </w:rPr>
              <w:t>Shipboard Oil Pollution Emergency Plan</w:t>
            </w:r>
            <w:r w:rsidRPr="00BF1926">
              <w:rPr>
                <w:rFonts w:asciiTheme="majorHAnsi" w:hAnsiTheme="majorHAnsi"/>
                <w:color w:val="000000"/>
                <w:sz w:val="20"/>
                <w:szCs w:val="20"/>
              </w:rPr>
              <w:t>)</w:t>
            </w:r>
          </w:p>
        </w:tc>
      </w:tr>
      <w:tr w:rsidR="00BF1926" w:rsidRPr="00BF1926" w14:paraId="6A5092C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4E4AE87"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SSB</w:t>
            </w:r>
          </w:p>
        </w:tc>
        <w:tc>
          <w:tcPr>
            <w:tcW w:w="4142" w:type="pct"/>
            <w:tcBorders>
              <w:top w:val="nil"/>
              <w:left w:val="nil"/>
              <w:bottom w:val="single" w:sz="12" w:space="0" w:color="FFFFFF"/>
              <w:right w:val="single" w:sz="12" w:space="0" w:color="FFFFFF"/>
            </w:tcBorders>
            <w:shd w:val="clear" w:color="000000" w:fill="D9D9D9"/>
            <w:vAlign w:val="center"/>
            <w:hideMark/>
          </w:tcPr>
          <w:p w14:paraId="240837C7" w14:textId="77777777" w:rsidR="00BF1926" w:rsidRPr="00BF1926" w:rsidRDefault="00BF1926" w:rsidP="0059026A">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Sistemas de rádio em Banda Lateral Única (em inglês, </w:t>
            </w:r>
            <w:r w:rsidRPr="00BF1926">
              <w:rPr>
                <w:rFonts w:asciiTheme="majorHAnsi" w:hAnsiTheme="majorHAnsi"/>
                <w:i/>
                <w:color w:val="000000"/>
                <w:sz w:val="20"/>
                <w:szCs w:val="20"/>
              </w:rPr>
              <w:t xml:space="preserve">Single </w:t>
            </w:r>
            <w:r w:rsidR="0059026A">
              <w:rPr>
                <w:rFonts w:asciiTheme="majorHAnsi" w:hAnsiTheme="majorHAnsi"/>
                <w:i/>
                <w:color w:val="000000"/>
                <w:sz w:val="20"/>
                <w:szCs w:val="20"/>
              </w:rPr>
              <w:t>S</w:t>
            </w:r>
            <w:r w:rsidRPr="00BF1926">
              <w:rPr>
                <w:rFonts w:asciiTheme="majorHAnsi" w:hAnsiTheme="majorHAnsi"/>
                <w:i/>
                <w:color w:val="000000"/>
                <w:sz w:val="20"/>
                <w:szCs w:val="20"/>
              </w:rPr>
              <w:t>ide Band</w:t>
            </w:r>
            <w:r w:rsidRPr="00BF1926">
              <w:rPr>
                <w:rFonts w:asciiTheme="majorHAnsi" w:hAnsiTheme="majorHAnsi"/>
                <w:color w:val="000000"/>
                <w:sz w:val="20"/>
                <w:szCs w:val="20"/>
              </w:rPr>
              <w:t xml:space="preserve">) </w:t>
            </w:r>
          </w:p>
        </w:tc>
      </w:tr>
      <w:tr w:rsidR="005942C1" w:rsidRPr="00BF1926" w14:paraId="604FA346"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tcPr>
          <w:p w14:paraId="24D92056" w14:textId="6A379FE0" w:rsidR="005942C1" w:rsidRPr="005942C1" w:rsidRDefault="005942C1" w:rsidP="00FC10A8">
            <w:pPr>
              <w:spacing w:before="100" w:beforeAutospacing="1" w:after="100" w:afterAutospacing="1" w:line="240" w:lineRule="auto"/>
              <w:rPr>
                <w:rFonts w:asciiTheme="majorHAnsi" w:hAnsiTheme="majorHAnsi"/>
                <w:color w:val="000000"/>
                <w:sz w:val="20"/>
                <w:szCs w:val="20"/>
              </w:rPr>
            </w:pPr>
            <w:r w:rsidRPr="005942C1">
              <w:rPr>
                <w:rFonts w:asciiTheme="majorHAnsi" w:hAnsiTheme="majorHAnsi"/>
                <w:color w:val="000000"/>
                <w:sz w:val="20"/>
                <w:szCs w:val="20"/>
              </w:rPr>
              <w:t>SSM</w:t>
            </w:r>
          </w:p>
        </w:tc>
        <w:tc>
          <w:tcPr>
            <w:tcW w:w="4142" w:type="pct"/>
            <w:tcBorders>
              <w:top w:val="nil"/>
              <w:left w:val="nil"/>
              <w:bottom w:val="single" w:sz="12" w:space="0" w:color="FFFFFF"/>
              <w:right w:val="single" w:sz="12" w:space="0" w:color="FFFFFF"/>
            </w:tcBorders>
            <w:shd w:val="clear" w:color="000000" w:fill="D9D9D9"/>
            <w:vAlign w:val="center"/>
          </w:tcPr>
          <w:p w14:paraId="38BA5B5C" w14:textId="2AB2EBD2" w:rsidR="005942C1" w:rsidRPr="005942C1" w:rsidRDefault="005942C1" w:rsidP="00FC10A8">
            <w:pPr>
              <w:spacing w:before="100" w:beforeAutospacing="1" w:after="100" w:afterAutospacing="1" w:line="240" w:lineRule="auto"/>
              <w:rPr>
                <w:rFonts w:asciiTheme="majorHAnsi" w:hAnsiTheme="majorHAnsi"/>
                <w:color w:val="000000"/>
                <w:sz w:val="20"/>
                <w:szCs w:val="20"/>
              </w:rPr>
            </w:pPr>
            <w:r w:rsidRPr="005942C1">
              <w:rPr>
                <w:rFonts w:asciiTheme="majorHAnsi" w:hAnsiTheme="majorHAnsi"/>
                <w:color w:val="000000"/>
                <w:sz w:val="20"/>
                <w:szCs w:val="20"/>
              </w:rPr>
              <w:t>Superintendência de Segurança Operacional e Meio Ambiente / ANP</w:t>
            </w:r>
          </w:p>
        </w:tc>
      </w:tr>
      <w:tr w:rsidR="00BF1926" w:rsidRPr="00BF1926" w14:paraId="3C1CD0B4"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9C69B16"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TOG</w:t>
            </w:r>
          </w:p>
        </w:tc>
        <w:tc>
          <w:tcPr>
            <w:tcW w:w="4142" w:type="pct"/>
            <w:tcBorders>
              <w:top w:val="nil"/>
              <w:left w:val="nil"/>
              <w:bottom w:val="single" w:sz="12" w:space="0" w:color="FFFFFF"/>
              <w:right w:val="single" w:sz="12" w:space="0" w:color="FFFFFF"/>
            </w:tcBorders>
            <w:shd w:val="clear" w:color="000000" w:fill="D9D9D9"/>
            <w:vAlign w:val="center"/>
            <w:hideMark/>
          </w:tcPr>
          <w:p w14:paraId="533890EE" w14:textId="77777777" w:rsidR="00BF1926" w:rsidRPr="00BF1926" w:rsidRDefault="0059026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Teor de óleos e graxas</w:t>
            </w:r>
          </w:p>
        </w:tc>
      </w:tr>
      <w:tr w:rsidR="00BF1926" w:rsidRPr="00BF1926" w14:paraId="01C17F60"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387F65DA"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TRP</w:t>
            </w:r>
          </w:p>
        </w:tc>
        <w:tc>
          <w:tcPr>
            <w:tcW w:w="4142" w:type="pct"/>
            <w:tcBorders>
              <w:top w:val="nil"/>
              <w:left w:val="nil"/>
              <w:bottom w:val="single" w:sz="12" w:space="0" w:color="FFFFFF"/>
              <w:right w:val="single" w:sz="12" w:space="0" w:color="FFFFFF"/>
            </w:tcBorders>
            <w:shd w:val="clear" w:color="000000" w:fill="D9D9D9"/>
            <w:vAlign w:val="center"/>
            <w:hideMark/>
          </w:tcPr>
          <w:p w14:paraId="0A733B95" w14:textId="6E5AC29A" w:rsidR="00BF1926" w:rsidRPr="00BF1926" w:rsidRDefault="00B07A0A" w:rsidP="00FC10A8">
            <w:pPr>
              <w:spacing w:before="100" w:beforeAutospacing="1" w:after="100" w:afterAutospacing="1" w:line="240" w:lineRule="auto"/>
              <w:rPr>
                <w:rFonts w:asciiTheme="majorHAnsi" w:hAnsiTheme="majorHAnsi"/>
                <w:color w:val="000000"/>
                <w:sz w:val="20"/>
                <w:szCs w:val="20"/>
              </w:rPr>
            </w:pPr>
            <w:r>
              <w:rPr>
                <w:rFonts w:asciiTheme="majorHAnsi" w:hAnsiTheme="majorHAnsi"/>
                <w:color w:val="000000"/>
                <w:sz w:val="20"/>
                <w:szCs w:val="20"/>
              </w:rPr>
              <w:t>Plano Tático de R</w:t>
            </w:r>
            <w:r w:rsidR="00BF1926" w:rsidRPr="00BF1926">
              <w:rPr>
                <w:rFonts w:asciiTheme="majorHAnsi" w:hAnsiTheme="majorHAnsi"/>
                <w:color w:val="000000"/>
                <w:sz w:val="20"/>
                <w:szCs w:val="20"/>
              </w:rPr>
              <w:t xml:space="preserve">esposta (em inglês, </w:t>
            </w:r>
            <w:r w:rsidR="00BF1926" w:rsidRPr="00BF1926">
              <w:rPr>
                <w:rFonts w:asciiTheme="majorHAnsi" w:hAnsiTheme="majorHAnsi"/>
                <w:i/>
                <w:color w:val="000000"/>
                <w:sz w:val="20"/>
                <w:szCs w:val="20"/>
              </w:rPr>
              <w:t>Tactical Response Plan</w:t>
            </w:r>
            <w:r w:rsidR="00BF1926" w:rsidRPr="00BF1926">
              <w:rPr>
                <w:rFonts w:asciiTheme="majorHAnsi" w:hAnsiTheme="majorHAnsi"/>
                <w:color w:val="000000"/>
                <w:sz w:val="20"/>
                <w:szCs w:val="20"/>
              </w:rPr>
              <w:t>)</w:t>
            </w:r>
          </w:p>
        </w:tc>
      </w:tr>
      <w:tr w:rsidR="00BF1926" w:rsidRPr="00BF1926" w14:paraId="0B3F636F"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77403AD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TRT</w:t>
            </w:r>
          </w:p>
        </w:tc>
        <w:tc>
          <w:tcPr>
            <w:tcW w:w="4142" w:type="pct"/>
            <w:tcBorders>
              <w:top w:val="nil"/>
              <w:left w:val="nil"/>
              <w:bottom w:val="single" w:sz="12" w:space="0" w:color="FFFFFF"/>
              <w:right w:val="single" w:sz="12" w:space="0" w:color="FFFFFF"/>
            </w:tcBorders>
            <w:shd w:val="clear" w:color="000000" w:fill="D9D9D9"/>
            <w:vAlign w:val="center"/>
            <w:hideMark/>
          </w:tcPr>
          <w:p w14:paraId="761E80C8"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Equipe Tática de Resposta (em inglês, </w:t>
            </w:r>
            <w:r w:rsidRPr="00BF1926">
              <w:rPr>
                <w:rFonts w:asciiTheme="majorHAnsi" w:hAnsiTheme="majorHAnsi"/>
                <w:i/>
                <w:color w:val="000000"/>
                <w:sz w:val="20"/>
                <w:szCs w:val="20"/>
              </w:rPr>
              <w:t>Tactical Response Team</w:t>
            </w:r>
            <w:r w:rsidRPr="00BF1926">
              <w:rPr>
                <w:rFonts w:asciiTheme="majorHAnsi" w:hAnsiTheme="majorHAnsi"/>
                <w:color w:val="000000"/>
                <w:sz w:val="20"/>
                <w:szCs w:val="20"/>
              </w:rPr>
              <w:t>)</w:t>
            </w:r>
          </w:p>
        </w:tc>
      </w:tr>
      <w:tr w:rsidR="00BF1926" w:rsidRPr="00BF1926" w14:paraId="512F47CC" w14:textId="77777777" w:rsidTr="00FC10A8">
        <w:trPr>
          <w:trHeight w:val="330"/>
        </w:trPr>
        <w:tc>
          <w:tcPr>
            <w:tcW w:w="858" w:type="pct"/>
            <w:tcBorders>
              <w:top w:val="nil"/>
              <w:left w:val="single" w:sz="12" w:space="0" w:color="FFFFFF"/>
              <w:bottom w:val="single" w:sz="12" w:space="0" w:color="FFFFFF"/>
              <w:right w:val="single" w:sz="12" w:space="0" w:color="FFFFFF"/>
            </w:tcBorders>
            <w:shd w:val="clear" w:color="000000" w:fill="D9D9D9"/>
            <w:vAlign w:val="center"/>
            <w:hideMark/>
          </w:tcPr>
          <w:p w14:paraId="19D646A9"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VoO</w:t>
            </w:r>
          </w:p>
        </w:tc>
        <w:tc>
          <w:tcPr>
            <w:tcW w:w="4142" w:type="pct"/>
            <w:tcBorders>
              <w:top w:val="nil"/>
              <w:left w:val="nil"/>
              <w:bottom w:val="single" w:sz="12" w:space="0" w:color="FFFFFF"/>
              <w:right w:val="single" w:sz="12" w:space="0" w:color="FFFFFF"/>
            </w:tcBorders>
            <w:shd w:val="clear" w:color="000000" w:fill="D9D9D9"/>
            <w:vAlign w:val="center"/>
            <w:hideMark/>
          </w:tcPr>
          <w:p w14:paraId="4C6170C0" w14:textId="77777777" w:rsidR="00BF1926" w:rsidRPr="00BF1926" w:rsidRDefault="00BF1926" w:rsidP="00FC10A8">
            <w:pPr>
              <w:spacing w:before="100" w:beforeAutospacing="1" w:after="100" w:afterAutospacing="1" w:line="240" w:lineRule="auto"/>
              <w:rPr>
                <w:rFonts w:asciiTheme="majorHAnsi" w:hAnsiTheme="majorHAnsi"/>
                <w:color w:val="000000"/>
                <w:sz w:val="20"/>
                <w:szCs w:val="20"/>
              </w:rPr>
            </w:pPr>
            <w:r w:rsidRPr="00BF1926">
              <w:rPr>
                <w:rFonts w:asciiTheme="majorHAnsi" w:hAnsiTheme="majorHAnsi"/>
                <w:color w:val="000000"/>
                <w:sz w:val="20"/>
                <w:szCs w:val="20"/>
              </w:rPr>
              <w:t xml:space="preserve">Embarcações de oportunidade (em inglês, </w:t>
            </w:r>
            <w:r w:rsidRPr="00BF1926">
              <w:rPr>
                <w:rFonts w:asciiTheme="majorHAnsi" w:hAnsiTheme="majorHAnsi"/>
                <w:i/>
                <w:color w:val="000000"/>
                <w:sz w:val="20"/>
                <w:szCs w:val="20"/>
              </w:rPr>
              <w:t>vessels of opportunity</w:t>
            </w:r>
            <w:r w:rsidRPr="00BF1926">
              <w:rPr>
                <w:rFonts w:asciiTheme="majorHAnsi" w:hAnsiTheme="majorHAnsi"/>
                <w:color w:val="000000"/>
                <w:sz w:val="20"/>
                <w:szCs w:val="20"/>
              </w:rPr>
              <w:t>)</w:t>
            </w:r>
          </w:p>
        </w:tc>
      </w:tr>
    </w:tbl>
    <w:p w14:paraId="1DE232FB" w14:textId="77777777" w:rsidR="00F6044C" w:rsidRPr="004269ED" w:rsidRDefault="005E32C0" w:rsidP="004269ED">
      <w:pPr>
        <w:pStyle w:val="Indices"/>
        <w:rPr>
          <w:rStyle w:val="NegritoVersaleteChar"/>
          <w:b/>
          <w:i w:val="0"/>
          <w:smallCaps/>
          <w:color w:val="auto"/>
        </w:rPr>
      </w:pPr>
      <w:r w:rsidRPr="00F6044C">
        <w:rPr>
          <w:rFonts w:asciiTheme="majorHAnsi" w:hAnsiTheme="majorHAnsi"/>
        </w:rPr>
        <w:br w:type="page"/>
      </w:r>
      <w:r w:rsidR="00F6044C" w:rsidRPr="004269ED">
        <w:rPr>
          <w:rStyle w:val="NegritoVersaleteChar"/>
          <w:b/>
          <w:i w:val="0"/>
          <w:smallCaps/>
          <w:color w:val="auto"/>
        </w:rPr>
        <w:lastRenderedPageBreak/>
        <w:t>Correspondência com os itens da Resolução CONAMA Nº 398/08</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F6044C" w:rsidRPr="00E30CB5" w14:paraId="26028B9A" w14:textId="77777777" w:rsidTr="00E57F9E">
        <w:trPr>
          <w:cantSplit/>
          <w:trHeight w:val="315"/>
          <w:tblHeader/>
        </w:trPr>
        <w:tc>
          <w:tcPr>
            <w:tcW w:w="2500" w:type="pct"/>
            <w:tcBorders>
              <w:top w:val="single" w:sz="18" w:space="0" w:color="FFFFFF"/>
              <w:left w:val="single" w:sz="18" w:space="0" w:color="FFFFFF"/>
              <w:bottom w:val="single" w:sz="18" w:space="0" w:color="FFFFFF"/>
              <w:right w:val="single" w:sz="18" w:space="0" w:color="FFFFFF"/>
            </w:tcBorders>
            <w:shd w:val="clear" w:color="auto" w:fill="1F497D"/>
            <w:noWrap/>
            <w:vAlign w:val="center"/>
          </w:tcPr>
          <w:p w14:paraId="09CA80CF" w14:textId="77777777" w:rsidR="00F6044C" w:rsidRPr="008001F5" w:rsidRDefault="00F6044C" w:rsidP="00E57F9E">
            <w:pPr>
              <w:pStyle w:val="TITULOTAB"/>
              <w:rPr>
                <w:lang w:val="pt-BR"/>
              </w:rPr>
            </w:pPr>
            <w:r w:rsidRPr="008001F5">
              <w:rPr>
                <w:lang w:val="pt-BR"/>
              </w:rPr>
              <w:t>Resolução CONAMA Nº 398/08 – Anexo 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38BC2C76" w14:textId="185403E7" w:rsidR="00F6044C" w:rsidRPr="004269ED" w:rsidRDefault="00F6044C" w:rsidP="00E57F9E">
            <w:pPr>
              <w:pStyle w:val="TITULOTAB"/>
              <w:rPr>
                <w:lang w:val="pt-BR"/>
              </w:rPr>
            </w:pPr>
            <w:r w:rsidRPr="004269ED">
              <w:rPr>
                <w:lang w:val="pt-BR"/>
              </w:rPr>
              <w:t>P</w:t>
            </w:r>
            <w:r w:rsidR="004269ED" w:rsidRPr="004269ED">
              <w:rPr>
                <w:lang w:val="pt-BR"/>
              </w:rPr>
              <w:t xml:space="preserve">lano de </w:t>
            </w:r>
            <w:r w:rsidRPr="004269ED">
              <w:rPr>
                <w:lang w:val="pt-BR"/>
              </w:rPr>
              <w:t>E</w:t>
            </w:r>
            <w:r w:rsidR="004269ED" w:rsidRPr="004269ED">
              <w:rPr>
                <w:lang w:val="pt-BR"/>
              </w:rPr>
              <w:t xml:space="preserve">mergência </w:t>
            </w:r>
            <w:r w:rsidRPr="004269ED">
              <w:rPr>
                <w:lang w:val="pt-BR"/>
              </w:rPr>
              <w:t>I</w:t>
            </w:r>
            <w:r w:rsidR="004269ED" w:rsidRPr="004269ED">
              <w:rPr>
                <w:lang w:val="pt-BR"/>
              </w:rPr>
              <w:t xml:space="preserve">ndividual </w:t>
            </w:r>
            <w:r w:rsidRPr="004269ED">
              <w:rPr>
                <w:lang w:val="pt-BR"/>
              </w:rPr>
              <w:t>FZA-M-59</w:t>
            </w:r>
          </w:p>
        </w:tc>
      </w:tr>
      <w:tr w:rsidR="00F6044C" w:rsidRPr="0027054E" w14:paraId="18830DCB"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AB25987"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1. Identificação da instalação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216DEE" w14:textId="77777777" w:rsidR="00F6044C" w:rsidRPr="004269ED" w:rsidRDefault="004269ED" w:rsidP="00E57F9E">
            <w:pPr>
              <w:pStyle w:val="TableParagraph"/>
              <w:tabs>
                <w:tab w:val="left" w:pos="10490"/>
              </w:tabs>
              <w:spacing w:before="60" w:after="60"/>
              <w:ind w:left="130" w:right="284"/>
              <w:rPr>
                <w:rFonts w:asciiTheme="majorHAnsi" w:hAnsiTheme="majorHAnsi"/>
                <w:sz w:val="20"/>
                <w:szCs w:val="20"/>
                <w:lang w:val="pt-BR"/>
              </w:rPr>
            </w:pPr>
            <w:r w:rsidRPr="004269ED">
              <w:rPr>
                <w:rFonts w:asciiTheme="majorHAnsi" w:hAnsiTheme="majorHAnsi"/>
                <w:sz w:val="20"/>
                <w:szCs w:val="20"/>
                <w:lang w:val="pt-BR"/>
              </w:rPr>
              <w:fldChar w:fldCharType="begin"/>
            </w:r>
            <w:r w:rsidRPr="004269ED">
              <w:rPr>
                <w:rFonts w:asciiTheme="majorHAnsi" w:hAnsiTheme="majorHAnsi"/>
                <w:sz w:val="20"/>
                <w:szCs w:val="20"/>
                <w:lang w:val="pt-BR"/>
              </w:rPr>
              <w:instrText xml:space="preserve"> REF _Ref414612112 \r \h  \* MERGEFORMAT </w:instrText>
            </w:r>
            <w:r w:rsidRPr="004269ED">
              <w:rPr>
                <w:rFonts w:asciiTheme="majorHAnsi" w:hAnsiTheme="majorHAnsi"/>
                <w:sz w:val="20"/>
                <w:szCs w:val="20"/>
                <w:lang w:val="pt-BR"/>
              </w:rPr>
            </w:r>
            <w:r w:rsidRPr="004269ED">
              <w:rPr>
                <w:rFonts w:asciiTheme="majorHAnsi" w:hAnsiTheme="majorHAnsi"/>
                <w:sz w:val="20"/>
                <w:szCs w:val="20"/>
                <w:lang w:val="pt-BR"/>
              </w:rPr>
              <w:fldChar w:fldCharType="separate"/>
            </w:r>
            <w:r w:rsidR="00897470">
              <w:rPr>
                <w:rFonts w:asciiTheme="majorHAnsi" w:hAnsiTheme="majorHAnsi"/>
                <w:sz w:val="20"/>
                <w:szCs w:val="20"/>
                <w:lang w:val="pt-BR"/>
              </w:rPr>
              <w:t>2</w:t>
            </w:r>
            <w:r w:rsidRPr="004269ED">
              <w:rPr>
                <w:rFonts w:asciiTheme="majorHAnsi" w:hAnsiTheme="majorHAnsi"/>
                <w:sz w:val="20"/>
                <w:szCs w:val="20"/>
                <w:lang w:val="pt-BR"/>
              </w:rPr>
              <w:fldChar w:fldCharType="end"/>
            </w:r>
            <w:r w:rsidRPr="004269ED">
              <w:rPr>
                <w:rFonts w:asciiTheme="majorHAnsi" w:hAnsiTheme="majorHAnsi"/>
                <w:sz w:val="20"/>
                <w:szCs w:val="20"/>
                <w:lang w:val="pt-BR"/>
              </w:rPr>
              <w:t xml:space="preserve">. </w:t>
            </w:r>
            <w:r w:rsidRPr="004269ED">
              <w:rPr>
                <w:rFonts w:asciiTheme="majorHAnsi" w:hAnsiTheme="majorHAnsi"/>
                <w:sz w:val="20"/>
                <w:szCs w:val="20"/>
                <w:lang w:val="pt-BR"/>
              </w:rPr>
              <w:fldChar w:fldCharType="begin"/>
            </w:r>
            <w:r w:rsidRPr="004269ED">
              <w:rPr>
                <w:rFonts w:asciiTheme="majorHAnsi" w:hAnsiTheme="majorHAnsi"/>
                <w:sz w:val="20"/>
                <w:szCs w:val="20"/>
                <w:lang w:val="pt-BR"/>
              </w:rPr>
              <w:instrText xml:space="preserve"> REF _Ref414612128 \h  \* MERGEFORMAT </w:instrText>
            </w:r>
            <w:r w:rsidRPr="004269ED">
              <w:rPr>
                <w:rFonts w:asciiTheme="majorHAnsi" w:hAnsiTheme="majorHAnsi"/>
                <w:sz w:val="20"/>
                <w:szCs w:val="20"/>
                <w:lang w:val="pt-BR"/>
              </w:rPr>
            </w:r>
            <w:r w:rsidRPr="004269ED">
              <w:rPr>
                <w:rFonts w:asciiTheme="majorHAnsi" w:hAnsiTheme="majorHAnsi"/>
                <w:sz w:val="20"/>
                <w:szCs w:val="20"/>
                <w:lang w:val="pt-BR"/>
              </w:rPr>
              <w:fldChar w:fldCharType="separate"/>
            </w:r>
            <w:r w:rsidR="00897470" w:rsidRPr="00897470">
              <w:rPr>
                <w:rFonts w:asciiTheme="majorHAnsi" w:hAnsiTheme="majorHAnsi"/>
                <w:sz w:val="20"/>
                <w:szCs w:val="20"/>
                <w:lang w:val="pt-BR"/>
              </w:rPr>
              <w:t>IDENTIFICAÇÃO DA INSTALAÇÃO E CARACTERIZAÇÃO DAS ATIVIDADES</w:t>
            </w:r>
            <w:r w:rsidRPr="004269ED">
              <w:rPr>
                <w:rFonts w:asciiTheme="majorHAnsi" w:hAnsiTheme="majorHAnsi"/>
                <w:sz w:val="20"/>
                <w:szCs w:val="20"/>
                <w:lang w:val="pt-BR"/>
              </w:rPr>
              <w:fldChar w:fldCharType="end"/>
            </w:r>
          </w:p>
        </w:tc>
      </w:tr>
      <w:tr w:rsidR="00F6044C" w:rsidRPr="0027054E" w14:paraId="57631C48" w14:textId="77777777" w:rsidTr="00E57F9E">
        <w:trPr>
          <w:cantSplit/>
          <w:trHeight w:val="456"/>
        </w:trPr>
        <w:tc>
          <w:tcPr>
            <w:tcW w:w="2500" w:type="pct"/>
            <w:tcBorders>
              <w:top w:val="single" w:sz="18" w:space="0" w:color="FFFFFF"/>
              <w:left w:val="single" w:sz="18" w:space="0" w:color="FFFFFF"/>
              <w:right w:val="single" w:sz="18" w:space="0" w:color="FFFFFF"/>
            </w:tcBorders>
            <w:shd w:val="clear" w:color="auto" w:fill="D9D9D9"/>
            <w:vAlign w:val="center"/>
          </w:tcPr>
          <w:p w14:paraId="76B4DF69"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 Cenários acide</w:t>
            </w:r>
            <w:r w:rsidR="004269ED">
              <w:rPr>
                <w:rFonts w:ascii="Cambria" w:hAnsi="Cambria"/>
                <w:sz w:val="20"/>
                <w:szCs w:val="20"/>
                <w:lang w:val="pt-BR"/>
              </w:rPr>
              <w:t>ntais</w:t>
            </w:r>
          </w:p>
        </w:tc>
        <w:tc>
          <w:tcPr>
            <w:tcW w:w="2500" w:type="pct"/>
            <w:tcBorders>
              <w:top w:val="single" w:sz="18" w:space="0" w:color="FFFFFF"/>
              <w:left w:val="single" w:sz="18" w:space="0" w:color="FFFFFF"/>
              <w:right w:val="single" w:sz="18" w:space="0" w:color="FFFFFF"/>
            </w:tcBorders>
            <w:shd w:val="clear" w:color="auto" w:fill="D9D9D9"/>
            <w:vAlign w:val="center"/>
          </w:tcPr>
          <w:p w14:paraId="13EBC7F7" w14:textId="77777777" w:rsidR="00F6044C" w:rsidRPr="004269ED" w:rsidRDefault="004269ED" w:rsidP="00E57F9E">
            <w:pPr>
              <w:pStyle w:val="TableParagraph"/>
              <w:tabs>
                <w:tab w:val="left" w:pos="10490"/>
              </w:tabs>
              <w:spacing w:before="60" w:after="60"/>
              <w:ind w:left="130" w:right="284"/>
              <w:rPr>
                <w:rFonts w:asciiTheme="majorHAnsi" w:hAnsiTheme="majorHAnsi"/>
                <w:sz w:val="20"/>
                <w:szCs w:val="20"/>
                <w:lang w:val="pt-BR"/>
              </w:rPr>
            </w:pPr>
            <w:r w:rsidRPr="004269ED">
              <w:rPr>
                <w:rFonts w:asciiTheme="majorHAnsi" w:hAnsiTheme="majorHAnsi"/>
                <w:sz w:val="20"/>
                <w:szCs w:val="20"/>
                <w:lang w:val="pt-BR"/>
              </w:rPr>
              <w:fldChar w:fldCharType="begin"/>
            </w:r>
            <w:r w:rsidRPr="004269ED">
              <w:rPr>
                <w:rFonts w:asciiTheme="majorHAnsi" w:hAnsiTheme="majorHAnsi"/>
                <w:sz w:val="20"/>
                <w:szCs w:val="20"/>
                <w:lang w:val="pt-BR"/>
              </w:rPr>
              <w:instrText xml:space="preserve"> REF _Ref414525557 \r \h  \* MERGEFORMAT </w:instrText>
            </w:r>
            <w:r w:rsidRPr="004269ED">
              <w:rPr>
                <w:rFonts w:asciiTheme="majorHAnsi" w:hAnsiTheme="majorHAnsi"/>
                <w:sz w:val="20"/>
                <w:szCs w:val="20"/>
                <w:lang w:val="pt-BR"/>
              </w:rPr>
            </w:r>
            <w:r w:rsidRPr="004269ED">
              <w:rPr>
                <w:rFonts w:asciiTheme="majorHAnsi" w:hAnsiTheme="majorHAnsi"/>
                <w:sz w:val="20"/>
                <w:szCs w:val="20"/>
                <w:lang w:val="pt-BR"/>
              </w:rPr>
              <w:fldChar w:fldCharType="separate"/>
            </w:r>
            <w:r w:rsidR="00897470">
              <w:rPr>
                <w:rFonts w:asciiTheme="majorHAnsi" w:hAnsiTheme="majorHAnsi"/>
                <w:sz w:val="20"/>
                <w:szCs w:val="20"/>
                <w:lang w:val="pt-BR"/>
              </w:rPr>
              <w:t>3</w:t>
            </w:r>
            <w:r w:rsidRPr="004269ED">
              <w:rPr>
                <w:rFonts w:asciiTheme="majorHAnsi" w:hAnsiTheme="majorHAnsi"/>
                <w:sz w:val="20"/>
                <w:szCs w:val="20"/>
                <w:lang w:val="pt-BR"/>
              </w:rPr>
              <w:fldChar w:fldCharType="end"/>
            </w:r>
            <w:r w:rsidRPr="004269ED">
              <w:rPr>
                <w:rFonts w:asciiTheme="majorHAnsi" w:hAnsiTheme="majorHAnsi"/>
                <w:sz w:val="20"/>
                <w:szCs w:val="20"/>
                <w:lang w:val="pt-BR"/>
              </w:rPr>
              <w:t xml:space="preserve">. </w:t>
            </w:r>
            <w:r w:rsidRPr="004269ED">
              <w:rPr>
                <w:rFonts w:asciiTheme="majorHAnsi" w:hAnsiTheme="majorHAnsi"/>
                <w:sz w:val="20"/>
                <w:szCs w:val="20"/>
                <w:lang w:val="pt-BR"/>
              </w:rPr>
              <w:fldChar w:fldCharType="begin"/>
            </w:r>
            <w:r w:rsidRPr="004269ED">
              <w:rPr>
                <w:rFonts w:asciiTheme="majorHAnsi" w:hAnsiTheme="majorHAnsi"/>
                <w:sz w:val="20"/>
                <w:szCs w:val="20"/>
                <w:lang w:val="pt-BR"/>
              </w:rPr>
              <w:instrText xml:space="preserve"> REF _Ref414525557 \h  \* MERGEFORMAT </w:instrText>
            </w:r>
            <w:r w:rsidRPr="004269ED">
              <w:rPr>
                <w:rFonts w:asciiTheme="majorHAnsi" w:hAnsiTheme="majorHAnsi"/>
                <w:sz w:val="20"/>
                <w:szCs w:val="20"/>
                <w:lang w:val="pt-BR"/>
              </w:rPr>
            </w:r>
            <w:r w:rsidRPr="004269ED">
              <w:rPr>
                <w:rFonts w:asciiTheme="majorHAnsi" w:hAnsiTheme="majorHAnsi"/>
                <w:sz w:val="20"/>
                <w:szCs w:val="20"/>
                <w:lang w:val="pt-BR"/>
              </w:rPr>
              <w:fldChar w:fldCharType="separate"/>
            </w:r>
            <w:r w:rsidR="00897470" w:rsidRPr="00897470">
              <w:rPr>
                <w:rFonts w:asciiTheme="majorHAnsi" w:hAnsiTheme="majorHAnsi"/>
                <w:sz w:val="20"/>
                <w:szCs w:val="20"/>
                <w:lang w:val="pt-BR"/>
              </w:rPr>
              <w:t>CENÁRIOS ACIDENTAIS</w:t>
            </w:r>
            <w:r w:rsidRPr="004269ED">
              <w:rPr>
                <w:rFonts w:asciiTheme="majorHAnsi" w:hAnsiTheme="majorHAnsi"/>
                <w:sz w:val="20"/>
                <w:szCs w:val="20"/>
                <w:lang w:val="pt-BR"/>
              </w:rPr>
              <w:fldChar w:fldCharType="end"/>
            </w:r>
          </w:p>
        </w:tc>
      </w:tr>
      <w:tr w:rsidR="003C7CAC" w:rsidRPr="00C95909" w14:paraId="21755B71" w14:textId="77777777" w:rsidTr="00E57F9E">
        <w:trPr>
          <w:cantSplit/>
          <w:trHeight w:val="2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1040CFEC" w14:textId="77777777" w:rsidR="003C7CAC" w:rsidRPr="002643F1" w:rsidRDefault="003C7CAC" w:rsidP="00E57F9E">
            <w:pPr>
              <w:pStyle w:val="TableParagraph"/>
              <w:tabs>
                <w:tab w:val="left" w:pos="10490"/>
              </w:tabs>
              <w:spacing w:before="60" w:after="60"/>
              <w:ind w:left="130" w:right="284"/>
              <w:rPr>
                <w:rFonts w:asciiTheme="majorHAnsi" w:hAnsiTheme="majorHAnsi"/>
                <w:sz w:val="20"/>
                <w:szCs w:val="20"/>
                <w:lang w:val="pt-BR"/>
              </w:rPr>
            </w:pPr>
            <w:r w:rsidRPr="0070789E">
              <w:rPr>
                <w:rFonts w:ascii="Cambria" w:hAnsi="Cambria"/>
                <w:sz w:val="20"/>
                <w:szCs w:val="20"/>
                <w:lang w:val="pt-BR"/>
              </w:rPr>
              <w:t>3. Informações e procedimentos para resposta</w:t>
            </w:r>
            <w:r>
              <w:rPr>
                <w:rFonts w:ascii="Cambria" w:hAnsi="Cambria"/>
                <w:sz w:val="20"/>
                <w:szCs w:val="20"/>
                <w:lang w:val="pt-BR"/>
              </w:rPr>
              <w:t>:</w:t>
            </w:r>
          </w:p>
        </w:tc>
      </w:tr>
      <w:tr w:rsidR="00F6044C" w:rsidRPr="00C95909" w14:paraId="59ACDF83"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E41B533"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3.1. Sistemas de alerta de derramamento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9D13361" w14:textId="77777777" w:rsidR="00F6044C" w:rsidRPr="00C8288F" w:rsidRDefault="00C8288F" w:rsidP="00E57F9E">
            <w:pPr>
              <w:pStyle w:val="TableParagraph"/>
              <w:tabs>
                <w:tab w:val="left" w:pos="10490"/>
              </w:tabs>
              <w:spacing w:before="60" w:after="60"/>
              <w:ind w:left="130" w:right="284"/>
              <w:rPr>
                <w:rFonts w:asciiTheme="majorHAnsi" w:hAnsiTheme="majorHAnsi"/>
                <w:sz w:val="20"/>
                <w:szCs w:val="20"/>
                <w:lang w:val="pt-BR"/>
              </w:rPr>
            </w:pPr>
            <w:r w:rsidRPr="00C8288F">
              <w:rPr>
                <w:rFonts w:asciiTheme="majorHAnsi" w:hAnsiTheme="majorHAnsi"/>
                <w:sz w:val="20"/>
                <w:szCs w:val="20"/>
                <w:lang w:val="pt-BR"/>
              </w:rPr>
              <w:fldChar w:fldCharType="begin"/>
            </w:r>
            <w:r w:rsidRPr="00C8288F">
              <w:rPr>
                <w:rFonts w:asciiTheme="majorHAnsi" w:hAnsiTheme="majorHAnsi"/>
                <w:sz w:val="20"/>
                <w:szCs w:val="20"/>
                <w:lang w:val="pt-BR"/>
              </w:rPr>
              <w:instrText xml:space="preserve"> REF _Ref414612432 \r \h  \* MERGEFORMAT </w:instrText>
            </w:r>
            <w:r w:rsidRPr="00C8288F">
              <w:rPr>
                <w:rFonts w:asciiTheme="majorHAnsi" w:hAnsiTheme="majorHAnsi"/>
                <w:sz w:val="20"/>
                <w:szCs w:val="20"/>
                <w:lang w:val="pt-BR"/>
              </w:rPr>
            </w:r>
            <w:r w:rsidRPr="00C8288F">
              <w:rPr>
                <w:rFonts w:asciiTheme="majorHAnsi" w:hAnsiTheme="majorHAnsi"/>
                <w:sz w:val="20"/>
                <w:szCs w:val="20"/>
                <w:lang w:val="pt-BR"/>
              </w:rPr>
              <w:fldChar w:fldCharType="separate"/>
            </w:r>
            <w:r w:rsidR="00897470">
              <w:rPr>
                <w:rFonts w:asciiTheme="majorHAnsi" w:hAnsiTheme="majorHAnsi"/>
                <w:sz w:val="20"/>
                <w:szCs w:val="20"/>
                <w:lang w:val="pt-BR"/>
              </w:rPr>
              <w:t>8.2</w:t>
            </w:r>
            <w:r w:rsidRPr="00C8288F">
              <w:rPr>
                <w:rFonts w:asciiTheme="majorHAnsi" w:hAnsiTheme="majorHAnsi"/>
                <w:sz w:val="20"/>
                <w:szCs w:val="20"/>
                <w:lang w:val="pt-BR"/>
              </w:rPr>
              <w:fldChar w:fldCharType="end"/>
            </w:r>
            <w:r w:rsidRPr="00C8288F">
              <w:rPr>
                <w:rFonts w:asciiTheme="majorHAnsi" w:hAnsiTheme="majorHAnsi"/>
                <w:sz w:val="20"/>
                <w:szCs w:val="20"/>
                <w:lang w:val="pt-BR"/>
              </w:rPr>
              <w:t xml:space="preserve">. </w:t>
            </w:r>
            <w:r w:rsidRPr="00C8288F">
              <w:rPr>
                <w:rFonts w:asciiTheme="majorHAnsi" w:hAnsiTheme="majorHAnsi"/>
                <w:sz w:val="20"/>
                <w:szCs w:val="20"/>
                <w:lang w:val="pt-BR"/>
              </w:rPr>
              <w:fldChar w:fldCharType="begin"/>
            </w:r>
            <w:r w:rsidRPr="00C8288F">
              <w:rPr>
                <w:rFonts w:asciiTheme="majorHAnsi" w:hAnsiTheme="majorHAnsi"/>
                <w:sz w:val="20"/>
                <w:szCs w:val="20"/>
                <w:lang w:val="pt-BR"/>
              </w:rPr>
              <w:instrText xml:space="preserve"> REF _Ref414612440 \h  \* MERGEFORMAT </w:instrText>
            </w:r>
            <w:r w:rsidRPr="00C8288F">
              <w:rPr>
                <w:rFonts w:asciiTheme="majorHAnsi" w:hAnsiTheme="majorHAnsi"/>
                <w:sz w:val="20"/>
                <w:szCs w:val="20"/>
                <w:lang w:val="pt-BR"/>
              </w:rPr>
            </w:r>
            <w:r w:rsidRPr="00C8288F">
              <w:rPr>
                <w:rFonts w:asciiTheme="majorHAnsi" w:hAnsiTheme="majorHAnsi"/>
                <w:sz w:val="20"/>
                <w:szCs w:val="20"/>
                <w:lang w:val="pt-BR"/>
              </w:rPr>
              <w:fldChar w:fldCharType="separate"/>
            </w:r>
            <w:r w:rsidR="00897470" w:rsidRPr="00897470">
              <w:rPr>
                <w:rFonts w:asciiTheme="majorHAnsi" w:hAnsiTheme="majorHAnsi"/>
                <w:sz w:val="20"/>
                <w:szCs w:val="20"/>
                <w:lang w:val="pt-BR"/>
              </w:rPr>
              <w:t>Sistema de Alerta e Procedimento para a Interrupção da Descarga de Óleo</w:t>
            </w:r>
            <w:r w:rsidRPr="00C8288F">
              <w:rPr>
                <w:rFonts w:asciiTheme="majorHAnsi" w:hAnsiTheme="majorHAnsi"/>
                <w:sz w:val="20"/>
                <w:szCs w:val="20"/>
                <w:lang w:val="pt-BR"/>
              </w:rPr>
              <w:fldChar w:fldCharType="end"/>
            </w:r>
          </w:p>
        </w:tc>
      </w:tr>
      <w:tr w:rsidR="00F6044C" w:rsidRPr="0027054E" w14:paraId="3AE14167"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807852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3.2. Comunicação do incidente</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38CC7FF" w14:textId="77777777" w:rsidR="00F6044C" w:rsidRPr="00C8288F" w:rsidRDefault="00C8288F" w:rsidP="00E57F9E">
            <w:pPr>
              <w:pStyle w:val="TableParagraph"/>
              <w:tabs>
                <w:tab w:val="left" w:pos="10490"/>
              </w:tabs>
              <w:spacing w:before="60" w:after="60"/>
              <w:ind w:left="130" w:right="284"/>
              <w:rPr>
                <w:rFonts w:asciiTheme="majorHAnsi" w:hAnsiTheme="majorHAnsi"/>
                <w:sz w:val="20"/>
                <w:szCs w:val="20"/>
                <w:lang w:val="pt-BR"/>
              </w:rPr>
            </w:pPr>
            <w:r w:rsidRPr="00C8288F">
              <w:rPr>
                <w:rFonts w:asciiTheme="majorHAnsi" w:hAnsiTheme="majorHAnsi"/>
                <w:sz w:val="20"/>
                <w:szCs w:val="20"/>
                <w:lang w:val="pt-BR"/>
              </w:rPr>
              <w:fldChar w:fldCharType="begin"/>
            </w:r>
            <w:r w:rsidRPr="00C8288F">
              <w:rPr>
                <w:rFonts w:asciiTheme="majorHAnsi" w:hAnsiTheme="majorHAnsi"/>
                <w:sz w:val="20"/>
                <w:szCs w:val="20"/>
                <w:lang w:val="pt-BR"/>
              </w:rPr>
              <w:instrText xml:space="preserve"> REF _Ref414455983 \r \h  \* MERGEFORMAT </w:instrText>
            </w:r>
            <w:r w:rsidRPr="00C8288F">
              <w:rPr>
                <w:rFonts w:asciiTheme="majorHAnsi" w:hAnsiTheme="majorHAnsi"/>
                <w:sz w:val="20"/>
                <w:szCs w:val="20"/>
                <w:lang w:val="pt-BR"/>
              </w:rPr>
            </w:r>
            <w:r w:rsidRPr="00C8288F">
              <w:rPr>
                <w:rFonts w:asciiTheme="majorHAnsi" w:hAnsiTheme="majorHAnsi"/>
                <w:sz w:val="20"/>
                <w:szCs w:val="20"/>
                <w:lang w:val="pt-BR"/>
              </w:rPr>
              <w:fldChar w:fldCharType="separate"/>
            </w:r>
            <w:r w:rsidR="00897470">
              <w:rPr>
                <w:rFonts w:asciiTheme="majorHAnsi" w:hAnsiTheme="majorHAnsi"/>
                <w:sz w:val="20"/>
                <w:szCs w:val="20"/>
                <w:lang w:val="pt-BR"/>
              </w:rPr>
              <w:t>6</w:t>
            </w:r>
            <w:r w:rsidRPr="00C8288F">
              <w:rPr>
                <w:rFonts w:asciiTheme="majorHAnsi" w:hAnsiTheme="majorHAnsi"/>
                <w:sz w:val="20"/>
                <w:szCs w:val="20"/>
                <w:lang w:val="pt-BR"/>
              </w:rPr>
              <w:fldChar w:fldCharType="end"/>
            </w:r>
            <w:r w:rsidRPr="00C8288F">
              <w:rPr>
                <w:rFonts w:asciiTheme="majorHAnsi" w:hAnsiTheme="majorHAnsi"/>
                <w:sz w:val="20"/>
                <w:szCs w:val="20"/>
                <w:lang w:val="pt-BR"/>
              </w:rPr>
              <w:t xml:space="preserve">. </w:t>
            </w:r>
            <w:r w:rsidRPr="00C8288F">
              <w:rPr>
                <w:rFonts w:asciiTheme="majorHAnsi" w:hAnsiTheme="majorHAnsi"/>
                <w:sz w:val="20"/>
                <w:szCs w:val="20"/>
                <w:lang w:val="pt-BR"/>
              </w:rPr>
              <w:fldChar w:fldCharType="begin"/>
            </w:r>
            <w:r w:rsidRPr="00C8288F">
              <w:rPr>
                <w:rFonts w:asciiTheme="majorHAnsi" w:hAnsiTheme="majorHAnsi"/>
                <w:sz w:val="20"/>
                <w:szCs w:val="20"/>
                <w:lang w:val="pt-BR"/>
              </w:rPr>
              <w:instrText xml:space="preserve"> REF _Ref414455983 \h  \* MERGEFORMAT </w:instrText>
            </w:r>
            <w:r w:rsidRPr="00C8288F">
              <w:rPr>
                <w:rFonts w:asciiTheme="majorHAnsi" w:hAnsiTheme="majorHAnsi"/>
                <w:sz w:val="20"/>
                <w:szCs w:val="20"/>
                <w:lang w:val="pt-BR"/>
              </w:rPr>
            </w:r>
            <w:r w:rsidRPr="00C8288F">
              <w:rPr>
                <w:rFonts w:asciiTheme="majorHAnsi" w:hAnsiTheme="majorHAnsi"/>
                <w:sz w:val="20"/>
                <w:szCs w:val="20"/>
                <w:lang w:val="pt-BR"/>
              </w:rPr>
              <w:fldChar w:fldCharType="separate"/>
            </w:r>
            <w:r w:rsidR="00897470" w:rsidRPr="00897470">
              <w:rPr>
                <w:rFonts w:asciiTheme="majorHAnsi" w:hAnsiTheme="majorHAnsi"/>
                <w:sz w:val="20"/>
                <w:szCs w:val="20"/>
                <w:lang w:val="pt-BR"/>
              </w:rPr>
              <w:t>COMUNICAÇÃO INICIAL E MOBILIZAÇÃO DA EOR</w:t>
            </w:r>
            <w:r w:rsidRPr="00C8288F">
              <w:rPr>
                <w:rFonts w:asciiTheme="majorHAnsi" w:hAnsiTheme="majorHAnsi"/>
                <w:sz w:val="20"/>
                <w:szCs w:val="20"/>
                <w:lang w:val="pt-BR"/>
              </w:rPr>
              <w:fldChar w:fldCharType="end"/>
            </w:r>
          </w:p>
        </w:tc>
      </w:tr>
      <w:tr w:rsidR="00F6044C" w:rsidRPr="00227B77" w14:paraId="095AB367"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96D5F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3.3. Estrutura organizacional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B9C7FB7" w14:textId="77777777" w:rsidR="003C7CAC" w:rsidRDefault="00C8288F" w:rsidP="00E57F9E">
            <w:pPr>
              <w:pStyle w:val="TableParagraph"/>
              <w:tabs>
                <w:tab w:val="left" w:pos="10490"/>
              </w:tabs>
              <w:spacing w:before="60" w:after="60"/>
              <w:ind w:left="130" w:right="284"/>
              <w:rPr>
                <w:rFonts w:asciiTheme="majorHAnsi" w:hAnsiTheme="majorHAnsi"/>
                <w:sz w:val="20"/>
                <w:szCs w:val="20"/>
                <w:lang w:val="pt-BR"/>
              </w:rPr>
            </w:pPr>
            <w:r w:rsidRPr="002643F1">
              <w:rPr>
                <w:rFonts w:asciiTheme="majorHAnsi" w:hAnsiTheme="majorHAnsi"/>
                <w:sz w:val="20"/>
                <w:szCs w:val="20"/>
                <w:lang w:val="pt-BR"/>
              </w:rPr>
              <w:fldChar w:fldCharType="begin"/>
            </w:r>
            <w:r w:rsidRPr="002643F1">
              <w:rPr>
                <w:rFonts w:asciiTheme="majorHAnsi" w:hAnsiTheme="majorHAnsi"/>
                <w:sz w:val="20"/>
                <w:szCs w:val="20"/>
                <w:lang w:val="pt-BR"/>
              </w:rPr>
              <w:instrText xml:space="preserve"> REF _Ref414612477 \r \h  \* MERGEFORMAT </w:instrText>
            </w:r>
            <w:r w:rsidRPr="002643F1">
              <w:rPr>
                <w:rFonts w:asciiTheme="majorHAnsi" w:hAnsiTheme="majorHAnsi"/>
                <w:sz w:val="20"/>
                <w:szCs w:val="20"/>
                <w:lang w:val="pt-BR"/>
              </w:rPr>
            </w:r>
            <w:r w:rsidRPr="002643F1">
              <w:rPr>
                <w:rFonts w:asciiTheme="majorHAnsi" w:hAnsiTheme="majorHAnsi"/>
                <w:sz w:val="20"/>
                <w:szCs w:val="20"/>
                <w:lang w:val="pt-BR"/>
              </w:rPr>
              <w:fldChar w:fldCharType="separate"/>
            </w:r>
            <w:r w:rsidR="00897470">
              <w:rPr>
                <w:rFonts w:asciiTheme="majorHAnsi" w:hAnsiTheme="majorHAnsi"/>
                <w:sz w:val="20"/>
                <w:szCs w:val="20"/>
                <w:lang w:val="pt-BR"/>
              </w:rPr>
              <w:t>5</w:t>
            </w:r>
            <w:r w:rsidRPr="002643F1">
              <w:rPr>
                <w:rFonts w:asciiTheme="majorHAnsi" w:hAnsiTheme="majorHAnsi"/>
                <w:sz w:val="20"/>
                <w:szCs w:val="20"/>
                <w:lang w:val="pt-BR"/>
              </w:rPr>
              <w:fldChar w:fldCharType="end"/>
            </w:r>
            <w:r w:rsidRPr="002643F1">
              <w:rPr>
                <w:rFonts w:asciiTheme="majorHAnsi" w:hAnsiTheme="majorHAnsi"/>
                <w:sz w:val="20"/>
                <w:szCs w:val="20"/>
                <w:lang w:val="pt-BR"/>
              </w:rPr>
              <w:t xml:space="preserve">. </w:t>
            </w:r>
            <w:r w:rsidRPr="002643F1">
              <w:rPr>
                <w:rFonts w:asciiTheme="majorHAnsi" w:hAnsiTheme="majorHAnsi"/>
                <w:sz w:val="20"/>
                <w:szCs w:val="20"/>
                <w:lang w:val="pt-BR"/>
              </w:rPr>
              <w:fldChar w:fldCharType="begin"/>
            </w:r>
            <w:r w:rsidRPr="002643F1">
              <w:rPr>
                <w:rFonts w:asciiTheme="majorHAnsi" w:hAnsiTheme="majorHAnsi"/>
                <w:sz w:val="20"/>
                <w:szCs w:val="20"/>
                <w:lang w:val="pt-BR"/>
              </w:rPr>
              <w:instrText xml:space="preserve"> REF _Ref414612487 \h  \* MERGEFORMAT </w:instrText>
            </w:r>
            <w:r w:rsidRPr="002643F1">
              <w:rPr>
                <w:rFonts w:asciiTheme="majorHAnsi" w:hAnsiTheme="majorHAnsi"/>
                <w:sz w:val="20"/>
                <w:szCs w:val="20"/>
                <w:lang w:val="pt-BR"/>
              </w:rPr>
            </w:r>
            <w:r w:rsidRPr="002643F1">
              <w:rPr>
                <w:rFonts w:asciiTheme="majorHAnsi" w:hAnsiTheme="majorHAnsi"/>
                <w:sz w:val="20"/>
                <w:szCs w:val="20"/>
                <w:lang w:val="pt-BR"/>
              </w:rPr>
              <w:fldChar w:fldCharType="separate"/>
            </w:r>
            <w:r w:rsidR="00897470" w:rsidRPr="00897470">
              <w:rPr>
                <w:rFonts w:asciiTheme="majorHAnsi" w:hAnsiTheme="majorHAnsi"/>
                <w:sz w:val="20"/>
                <w:szCs w:val="20"/>
                <w:lang w:val="pt-BR"/>
              </w:rPr>
              <w:t>ESTRUTURA ORGANIZACIONAL DE RESPOSTA (EOR)</w:t>
            </w:r>
            <w:r w:rsidRPr="002643F1">
              <w:rPr>
                <w:rFonts w:asciiTheme="majorHAnsi" w:hAnsiTheme="majorHAnsi"/>
                <w:sz w:val="20"/>
                <w:szCs w:val="20"/>
                <w:lang w:val="pt-BR"/>
              </w:rPr>
              <w:fldChar w:fldCharType="end"/>
            </w:r>
            <w:r w:rsidRPr="002643F1">
              <w:rPr>
                <w:rFonts w:asciiTheme="majorHAnsi" w:hAnsiTheme="majorHAnsi"/>
                <w:sz w:val="20"/>
                <w:szCs w:val="20"/>
                <w:lang w:val="pt-BR"/>
              </w:rPr>
              <w:t>;</w:t>
            </w:r>
          </w:p>
          <w:p w14:paraId="77BC2EC2" w14:textId="171568AA" w:rsidR="00F6044C" w:rsidRPr="002643F1" w:rsidRDefault="00C8288F" w:rsidP="00CE6488">
            <w:pPr>
              <w:pStyle w:val="TableParagraph"/>
              <w:tabs>
                <w:tab w:val="left" w:pos="10490"/>
              </w:tabs>
              <w:spacing w:before="60" w:after="60"/>
              <w:ind w:left="130" w:right="284"/>
              <w:rPr>
                <w:rFonts w:asciiTheme="majorHAnsi" w:hAnsiTheme="majorHAnsi"/>
                <w:sz w:val="20"/>
                <w:szCs w:val="20"/>
                <w:lang w:val="pt-BR"/>
              </w:rPr>
            </w:pPr>
            <w:r w:rsidRPr="002643F1">
              <w:rPr>
                <w:rFonts w:asciiTheme="majorHAnsi" w:hAnsiTheme="majorHAnsi"/>
                <w:sz w:val="20"/>
                <w:szCs w:val="20"/>
                <w:lang w:val="pt-BR"/>
              </w:rPr>
              <w:t>APÊNDICE B</w:t>
            </w:r>
            <w:r w:rsidR="002643F1" w:rsidRPr="002643F1">
              <w:rPr>
                <w:rFonts w:asciiTheme="majorHAnsi" w:hAnsiTheme="majorHAnsi"/>
                <w:sz w:val="20"/>
                <w:szCs w:val="20"/>
                <w:lang w:val="pt-BR"/>
              </w:rPr>
              <w:t xml:space="preserve"> </w:t>
            </w:r>
            <w:r w:rsidR="002643F1">
              <w:rPr>
                <w:rFonts w:asciiTheme="majorHAnsi" w:hAnsiTheme="majorHAnsi"/>
                <w:sz w:val="20"/>
                <w:szCs w:val="20"/>
                <w:lang w:val="pt-BR"/>
              </w:rPr>
              <w:t>–</w:t>
            </w:r>
            <w:r w:rsidR="002643F1" w:rsidRPr="002643F1">
              <w:rPr>
                <w:rFonts w:asciiTheme="majorHAnsi" w:hAnsiTheme="majorHAnsi"/>
                <w:sz w:val="20"/>
                <w:szCs w:val="20"/>
                <w:lang w:val="pt-BR"/>
              </w:rPr>
              <w:t xml:space="preserve"> </w:t>
            </w:r>
            <w:r w:rsidR="002643F1" w:rsidRPr="002643F1">
              <w:rPr>
                <w:rStyle w:val="NegritoVersaleteChar"/>
                <w:b w:val="0"/>
                <w:i w:val="0"/>
                <w:smallCaps w:val="0"/>
                <w:color w:val="auto"/>
                <w:sz w:val="20"/>
                <w:lang w:val="pt-BR"/>
              </w:rPr>
              <w:t>Lista de Contatos</w:t>
            </w:r>
          </w:p>
        </w:tc>
      </w:tr>
      <w:tr w:rsidR="00F6044C" w:rsidRPr="00C95909" w14:paraId="2FD349FA"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7A131A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3.4. Equipamentos e materiais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DFBFA69" w14:textId="77777777" w:rsidR="003C7CAC" w:rsidRDefault="00C8288F" w:rsidP="00E57F9E">
            <w:pPr>
              <w:pStyle w:val="TableParagraph"/>
              <w:tabs>
                <w:tab w:val="left" w:pos="10490"/>
              </w:tabs>
              <w:spacing w:before="60" w:after="60"/>
              <w:ind w:left="130" w:right="284"/>
              <w:rPr>
                <w:rFonts w:asciiTheme="majorHAnsi" w:hAnsiTheme="majorHAnsi"/>
                <w:sz w:val="20"/>
                <w:szCs w:val="20"/>
                <w:lang w:val="pt-BR"/>
              </w:rPr>
            </w:pPr>
            <w:r w:rsidRPr="002643F1">
              <w:rPr>
                <w:rFonts w:asciiTheme="majorHAnsi" w:hAnsiTheme="majorHAnsi"/>
                <w:sz w:val="20"/>
                <w:szCs w:val="20"/>
                <w:lang w:val="pt-BR"/>
              </w:rPr>
              <w:fldChar w:fldCharType="begin"/>
            </w:r>
            <w:r w:rsidRPr="002643F1">
              <w:rPr>
                <w:rFonts w:asciiTheme="majorHAnsi" w:hAnsiTheme="majorHAnsi"/>
                <w:sz w:val="20"/>
                <w:szCs w:val="20"/>
                <w:lang w:val="pt-BR"/>
              </w:rPr>
              <w:instrText xml:space="preserve"> REF _Ref414612526 \r \h </w:instrText>
            </w:r>
            <w:r w:rsidR="007B3A23" w:rsidRPr="002643F1">
              <w:rPr>
                <w:rFonts w:asciiTheme="majorHAnsi" w:hAnsiTheme="majorHAnsi"/>
                <w:sz w:val="20"/>
                <w:szCs w:val="20"/>
                <w:lang w:val="pt-BR"/>
              </w:rPr>
              <w:instrText xml:space="preserve"> \* MERGEFORMAT </w:instrText>
            </w:r>
            <w:r w:rsidRPr="002643F1">
              <w:rPr>
                <w:rFonts w:asciiTheme="majorHAnsi" w:hAnsiTheme="majorHAnsi"/>
                <w:sz w:val="20"/>
                <w:szCs w:val="20"/>
                <w:lang w:val="pt-BR"/>
              </w:rPr>
            </w:r>
            <w:r w:rsidRPr="002643F1">
              <w:rPr>
                <w:rFonts w:asciiTheme="majorHAnsi" w:hAnsiTheme="majorHAnsi"/>
                <w:sz w:val="20"/>
                <w:szCs w:val="20"/>
                <w:lang w:val="pt-BR"/>
              </w:rPr>
              <w:fldChar w:fldCharType="separate"/>
            </w:r>
            <w:r w:rsidR="00897470">
              <w:rPr>
                <w:rFonts w:asciiTheme="majorHAnsi" w:hAnsiTheme="majorHAnsi"/>
                <w:sz w:val="20"/>
                <w:szCs w:val="20"/>
                <w:lang w:val="pt-BR"/>
              </w:rPr>
              <w:t>8</w:t>
            </w:r>
            <w:r w:rsidRPr="002643F1">
              <w:rPr>
                <w:rFonts w:asciiTheme="majorHAnsi" w:hAnsiTheme="majorHAnsi"/>
                <w:sz w:val="20"/>
                <w:szCs w:val="20"/>
                <w:lang w:val="pt-BR"/>
              </w:rPr>
              <w:fldChar w:fldCharType="end"/>
            </w:r>
            <w:r w:rsidRPr="002643F1">
              <w:rPr>
                <w:rFonts w:asciiTheme="majorHAnsi" w:hAnsiTheme="majorHAnsi"/>
                <w:sz w:val="20"/>
                <w:szCs w:val="20"/>
                <w:lang w:val="pt-BR"/>
              </w:rPr>
              <w:t xml:space="preserve">. </w:t>
            </w:r>
            <w:r w:rsidRPr="002643F1">
              <w:rPr>
                <w:rFonts w:asciiTheme="majorHAnsi" w:hAnsiTheme="majorHAnsi"/>
                <w:sz w:val="20"/>
                <w:szCs w:val="20"/>
                <w:lang w:val="pt-BR"/>
              </w:rPr>
              <w:fldChar w:fldCharType="begin"/>
            </w:r>
            <w:r w:rsidRPr="002643F1">
              <w:rPr>
                <w:rFonts w:asciiTheme="majorHAnsi" w:hAnsiTheme="majorHAnsi"/>
                <w:sz w:val="20"/>
                <w:szCs w:val="20"/>
                <w:lang w:val="pt-BR"/>
              </w:rPr>
              <w:instrText xml:space="preserve"> REF _Ref414612532 \h </w:instrText>
            </w:r>
            <w:r w:rsidR="007B3A23" w:rsidRPr="002643F1">
              <w:rPr>
                <w:rFonts w:asciiTheme="majorHAnsi" w:hAnsiTheme="majorHAnsi"/>
                <w:sz w:val="20"/>
                <w:szCs w:val="20"/>
                <w:lang w:val="pt-BR"/>
              </w:rPr>
              <w:instrText xml:space="preserve"> \* MERGEFORMAT </w:instrText>
            </w:r>
            <w:r w:rsidRPr="002643F1">
              <w:rPr>
                <w:rFonts w:asciiTheme="majorHAnsi" w:hAnsiTheme="majorHAnsi"/>
                <w:sz w:val="20"/>
                <w:szCs w:val="20"/>
                <w:lang w:val="pt-BR"/>
              </w:rPr>
            </w:r>
            <w:r w:rsidRPr="002643F1">
              <w:rPr>
                <w:rFonts w:asciiTheme="majorHAnsi" w:hAnsiTheme="majorHAnsi"/>
                <w:sz w:val="20"/>
                <w:szCs w:val="20"/>
                <w:lang w:val="pt-BR"/>
              </w:rPr>
              <w:fldChar w:fldCharType="separate"/>
            </w:r>
            <w:r w:rsidR="00897470" w:rsidRPr="00897470">
              <w:rPr>
                <w:rFonts w:asciiTheme="majorHAnsi" w:hAnsiTheme="majorHAnsi"/>
                <w:bCs/>
                <w:sz w:val="20"/>
                <w:szCs w:val="20"/>
                <w:lang w:val="pt-BR"/>
              </w:rPr>
              <w:t>PROCEDIMENTOS OPERACIONAIS DE RESPOSTA</w:t>
            </w:r>
            <w:r w:rsidRPr="002643F1">
              <w:rPr>
                <w:rFonts w:asciiTheme="majorHAnsi" w:hAnsiTheme="majorHAnsi"/>
                <w:sz w:val="20"/>
                <w:szCs w:val="20"/>
                <w:lang w:val="pt-BR"/>
              </w:rPr>
              <w:fldChar w:fldCharType="end"/>
            </w:r>
            <w:r w:rsidRPr="002643F1">
              <w:rPr>
                <w:rFonts w:asciiTheme="majorHAnsi" w:hAnsiTheme="majorHAnsi"/>
                <w:sz w:val="20"/>
                <w:szCs w:val="20"/>
                <w:lang w:val="pt-BR"/>
              </w:rPr>
              <w:t>; e</w:t>
            </w:r>
          </w:p>
          <w:p w14:paraId="46C28774" w14:textId="2B7A81F8" w:rsidR="00F6044C" w:rsidRPr="002643F1" w:rsidRDefault="00C8288F" w:rsidP="00CE6488">
            <w:pPr>
              <w:pStyle w:val="TableParagraph"/>
              <w:tabs>
                <w:tab w:val="left" w:pos="10490"/>
              </w:tabs>
              <w:spacing w:before="60" w:after="60"/>
              <w:ind w:left="130" w:right="284"/>
              <w:rPr>
                <w:rFonts w:asciiTheme="majorHAnsi" w:hAnsiTheme="majorHAnsi"/>
                <w:sz w:val="20"/>
                <w:szCs w:val="20"/>
                <w:lang w:val="pt-BR"/>
              </w:rPr>
            </w:pPr>
            <w:r w:rsidRPr="002643F1">
              <w:rPr>
                <w:rFonts w:asciiTheme="majorHAnsi" w:hAnsiTheme="majorHAnsi"/>
                <w:sz w:val="20"/>
                <w:szCs w:val="20"/>
                <w:lang w:val="pt-BR"/>
              </w:rPr>
              <w:t xml:space="preserve">APÊNDICE </w:t>
            </w:r>
            <w:r w:rsidR="00CE6488">
              <w:rPr>
                <w:rFonts w:asciiTheme="majorHAnsi" w:hAnsiTheme="majorHAnsi"/>
                <w:sz w:val="20"/>
                <w:szCs w:val="20"/>
                <w:lang w:val="pt-BR"/>
              </w:rPr>
              <w:t>F</w:t>
            </w:r>
            <w:r w:rsidR="002643F1" w:rsidRPr="002643F1">
              <w:rPr>
                <w:rFonts w:asciiTheme="majorHAnsi" w:hAnsiTheme="majorHAnsi"/>
                <w:sz w:val="20"/>
                <w:szCs w:val="20"/>
                <w:lang w:val="pt-BR"/>
              </w:rPr>
              <w:t xml:space="preserve"> </w:t>
            </w:r>
            <w:r w:rsidR="002643F1">
              <w:rPr>
                <w:rFonts w:asciiTheme="majorHAnsi" w:hAnsiTheme="majorHAnsi"/>
                <w:sz w:val="20"/>
                <w:szCs w:val="20"/>
                <w:lang w:val="pt-BR"/>
              </w:rPr>
              <w:t>–</w:t>
            </w:r>
            <w:r w:rsidR="002643F1" w:rsidRPr="002643F1">
              <w:rPr>
                <w:rFonts w:asciiTheme="majorHAnsi" w:hAnsiTheme="majorHAnsi"/>
                <w:sz w:val="20"/>
                <w:szCs w:val="20"/>
                <w:lang w:val="pt-BR"/>
              </w:rPr>
              <w:t xml:space="preserve"> </w:t>
            </w:r>
            <w:r w:rsidR="002643F1" w:rsidRPr="002643F1">
              <w:rPr>
                <w:rStyle w:val="NegritoVersaleteChar"/>
                <w:b w:val="0"/>
                <w:i w:val="0"/>
                <w:smallCaps w:val="0"/>
                <w:color w:val="auto"/>
                <w:sz w:val="20"/>
                <w:lang w:val="pt-BR"/>
              </w:rPr>
              <w:t>Inventário dos Recursos de Resposta</w:t>
            </w:r>
          </w:p>
        </w:tc>
      </w:tr>
      <w:tr w:rsidR="00F6044C" w:rsidRPr="0027054E" w14:paraId="1D8F3E9E"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7C9D7AE"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 Procedimentos operacionais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5642292"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_Ref414612561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_Ref414612568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bCs/>
                <w:sz w:val="20"/>
                <w:szCs w:val="20"/>
                <w:lang w:val="pt-BR"/>
              </w:rPr>
              <w:t>PROCEDIMENTOS OPERACIONAIS DE RESPOSTA</w:t>
            </w:r>
            <w:r w:rsidRPr="007B3A23">
              <w:rPr>
                <w:rFonts w:asciiTheme="majorHAnsi" w:hAnsiTheme="majorHAnsi"/>
                <w:sz w:val="20"/>
                <w:szCs w:val="20"/>
                <w:lang w:val="pt-BR"/>
              </w:rPr>
              <w:fldChar w:fldCharType="end"/>
            </w:r>
          </w:p>
        </w:tc>
      </w:tr>
      <w:tr w:rsidR="00F6044C" w:rsidRPr="00C95909" w14:paraId="20C5ECF0"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B61E561"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 Procedimentos para interrupção da descarga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A973A3" w14:textId="77777777" w:rsidR="00F6044C" w:rsidRPr="007B3A23" w:rsidRDefault="00C8288F" w:rsidP="00E57F9E">
            <w:pPr>
              <w:pStyle w:val="TableParagraph"/>
              <w:tabs>
                <w:tab w:val="left" w:pos="10490"/>
              </w:tabs>
              <w:spacing w:before="60" w:after="60"/>
              <w:ind w:left="130" w:right="-51"/>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_Ref414612584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8.2</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_Ref414612875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Sistema de Alerta e Procedimento para a Interrupção da Descarga de Óleo</w:t>
            </w:r>
            <w:r w:rsidRPr="007B3A23">
              <w:rPr>
                <w:rFonts w:asciiTheme="majorHAnsi" w:hAnsiTheme="majorHAnsi"/>
                <w:sz w:val="20"/>
                <w:szCs w:val="20"/>
                <w:lang w:val="pt-BR"/>
              </w:rPr>
              <w:fldChar w:fldCharType="end"/>
            </w:r>
          </w:p>
        </w:tc>
      </w:tr>
      <w:tr w:rsidR="00F6044C" w:rsidRPr="00C95909" w14:paraId="40CDF840"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41F79E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3.5.2. Procedimentos para contenção do derramamento de óleo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6951832"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_Ref414612593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8.4</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_Ref414612885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Contenção e Recolhimento de Óleo Derramado</w:t>
            </w:r>
            <w:r w:rsidRPr="007B3A23">
              <w:rPr>
                <w:rFonts w:asciiTheme="majorHAnsi" w:hAnsiTheme="majorHAnsi"/>
                <w:sz w:val="20"/>
                <w:szCs w:val="20"/>
                <w:lang w:val="pt-BR"/>
              </w:rPr>
              <w:fldChar w:fldCharType="end"/>
            </w:r>
          </w:p>
        </w:tc>
      </w:tr>
      <w:tr w:rsidR="00F6044C" w:rsidRPr="00C95909" w14:paraId="3E080358"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8B99108"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3.5.3. Procedimentos para proteção de áreas vulneráveis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1FDBB52"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_Ref414612607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8.8</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_Ref414612894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a Proteção de Áreas Vulneráveis e Limpeza de Áreas Atingidas</w:t>
            </w:r>
            <w:r w:rsidRPr="007B3A23">
              <w:rPr>
                <w:rFonts w:asciiTheme="majorHAnsi" w:hAnsiTheme="majorHAnsi"/>
                <w:sz w:val="20"/>
                <w:szCs w:val="20"/>
                <w:lang w:val="pt-BR"/>
              </w:rPr>
              <w:fldChar w:fldCharType="end"/>
            </w:r>
          </w:p>
        </w:tc>
      </w:tr>
      <w:tr w:rsidR="00F6044C" w:rsidRPr="00C95909" w14:paraId="20C6776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475168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3.5.4.Procedimentos para monitoramento da mancha de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AEEA897"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_Ref414544194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8.3</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_Ref414544194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Avaliação e Monitoramento da Mancha de Óleo</w:t>
            </w:r>
            <w:r w:rsidRPr="007B3A23">
              <w:rPr>
                <w:rFonts w:asciiTheme="majorHAnsi" w:hAnsiTheme="majorHAnsi"/>
                <w:sz w:val="20"/>
                <w:szCs w:val="20"/>
                <w:lang w:val="pt-BR"/>
              </w:rPr>
              <w:fldChar w:fldCharType="end"/>
            </w:r>
          </w:p>
        </w:tc>
      </w:tr>
      <w:tr w:rsidR="00F6044C" w:rsidRPr="00C95909" w14:paraId="2EDB8A9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8DEABD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3.5.5. Procedimentos para recolhimento do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1741F25"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_Ref414612625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8.4</w:t>
            </w:r>
            <w:r w:rsidRPr="007B3A23">
              <w:rPr>
                <w:rFonts w:asciiTheme="majorHAnsi" w:hAnsiTheme="majorHAnsi"/>
                <w:sz w:val="20"/>
                <w:szCs w:val="20"/>
                <w:lang w:val="pt-BR"/>
              </w:rPr>
              <w:fldChar w:fldCharType="end"/>
            </w:r>
            <w:r w:rsidRPr="007B3A23">
              <w:rPr>
                <w:rFonts w:asciiTheme="majorHAnsi" w:hAnsiTheme="majorHAnsi"/>
                <w:sz w:val="20"/>
                <w:szCs w:val="20"/>
                <w:lang w:val="pt-BR"/>
              </w:rPr>
              <w:t>.</w:t>
            </w:r>
            <w:r w:rsidR="003C7CAC">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_Ref414612911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Contenção e Recolhimento de Óleo Derramado</w:t>
            </w:r>
            <w:r w:rsidRPr="007B3A23">
              <w:rPr>
                <w:rFonts w:asciiTheme="majorHAnsi" w:hAnsiTheme="majorHAnsi"/>
                <w:sz w:val="20"/>
                <w:szCs w:val="20"/>
                <w:lang w:val="pt-BR"/>
              </w:rPr>
              <w:fldChar w:fldCharType="end"/>
            </w:r>
          </w:p>
        </w:tc>
      </w:tr>
      <w:tr w:rsidR="00F6044C" w:rsidRPr="00C95909" w14:paraId="6E90835B"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61570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3.5.6. Procedimentos para dispersão mecânica e química do óleo derramado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C5508B4" w14:textId="77777777" w:rsidR="003C7CAC"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_Ref414612635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8.5</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_Ref414612919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Dispersão Mecânica</w:t>
            </w:r>
            <w:r w:rsidRPr="007B3A23">
              <w:rPr>
                <w:rFonts w:asciiTheme="majorHAnsi" w:hAnsiTheme="majorHAnsi"/>
                <w:sz w:val="20"/>
                <w:szCs w:val="20"/>
                <w:lang w:val="pt-BR"/>
              </w:rPr>
              <w:fldChar w:fldCharType="end"/>
            </w:r>
            <w:r w:rsidRPr="007B3A23">
              <w:rPr>
                <w:rFonts w:asciiTheme="majorHAnsi" w:hAnsiTheme="majorHAnsi"/>
                <w:sz w:val="20"/>
                <w:szCs w:val="20"/>
                <w:lang w:val="pt-BR"/>
              </w:rPr>
              <w:t>; e</w:t>
            </w:r>
          </w:p>
          <w:p w14:paraId="553BB4B6"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_Ref414612643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8.6</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_Ref414612927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Dispersão Química</w:t>
            </w:r>
            <w:r w:rsidRPr="007B3A23">
              <w:rPr>
                <w:rFonts w:asciiTheme="majorHAnsi" w:hAnsiTheme="majorHAnsi"/>
                <w:sz w:val="20"/>
                <w:szCs w:val="20"/>
                <w:lang w:val="pt-BR"/>
              </w:rPr>
              <w:fldChar w:fldCharType="end"/>
            </w:r>
          </w:p>
        </w:tc>
      </w:tr>
      <w:tr w:rsidR="00F6044C" w:rsidRPr="00C95909" w14:paraId="0AA9758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90C20B6"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3.5.7. Procedimentos para limpeza das áreas atingidas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14FBA44"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_Ref414612651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8.8</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_Ref414612936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a Proteção de Áreas Vulneráveis e Limpeza de Áreas Atingidas</w:t>
            </w:r>
            <w:r w:rsidRPr="007B3A23">
              <w:rPr>
                <w:rFonts w:asciiTheme="majorHAnsi" w:hAnsiTheme="majorHAnsi"/>
                <w:sz w:val="20"/>
                <w:szCs w:val="20"/>
                <w:lang w:val="pt-BR"/>
              </w:rPr>
              <w:fldChar w:fldCharType="end"/>
            </w:r>
          </w:p>
        </w:tc>
      </w:tr>
      <w:tr w:rsidR="00F6044C" w:rsidRPr="00C95909" w14:paraId="620BA8A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20DB58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3.5.8. Procedimentos para coleta e disposição dos resíduos gerados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2FA93FB" w14:textId="037B8263" w:rsidR="00F6044C" w:rsidRPr="007C1F64" w:rsidRDefault="007C1F64" w:rsidP="00E57F9E">
            <w:pPr>
              <w:pStyle w:val="TableParagraph"/>
              <w:tabs>
                <w:tab w:val="left" w:pos="10490"/>
              </w:tabs>
              <w:spacing w:before="60" w:after="60"/>
              <w:ind w:left="130" w:right="284"/>
              <w:rPr>
                <w:rFonts w:ascii="Cambria" w:hAnsi="Cambria"/>
                <w:sz w:val="20"/>
                <w:szCs w:val="20"/>
                <w:lang w:val="pt-BR"/>
              </w:rPr>
            </w:pPr>
            <w:r w:rsidRPr="007C1F64">
              <w:rPr>
                <w:rFonts w:ascii="Cambria" w:hAnsi="Cambria"/>
                <w:sz w:val="20"/>
                <w:szCs w:val="20"/>
                <w:lang w:val="pt-BR"/>
              </w:rPr>
              <w:fldChar w:fldCharType="begin"/>
            </w:r>
            <w:r w:rsidRPr="007C1F64">
              <w:rPr>
                <w:rFonts w:ascii="Cambria" w:hAnsi="Cambria"/>
                <w:sz w:val="20"/>
                <w:szCs w:val="20"/>
                <w:lang w:val="pt-BR"/>
              </w:rPr>
              <w:instrText xml:space="preserve"> REF _Ref415472108 \r \h  \* MERGEFORMAT </w:instrText>
            </w:r>
            <w:r w:rsidRPr="007C1F64">
              <w:rPr>
                <w:rFonts w:ascii="Cambria" w:hAnsi="Cambria"/>
                <w:sz w:val="20"/>
                <w:szCs w:val="20"/>
                <w:lang w:val="pt-BR"/>
              </w:rPr>
            </w:r>
            <w:r w:rsidRPr="007C1F64">
              <w:rPr>
                <w:rFonts w:ascii="Cambria" w:hAnsi="Cambria"/>
                <w:sz w:val="20"/>
                <w:szCs w:val="20"/>
                <w:lang w:val="pt-BR"/>
              </w:rPr>
              <w:fldChar w:fldCharType="separate"/>
            </w:r>
            <w:r w:rsidR="00897470">
              <w:rPr>
                <w:rFonts w:ascii="Cambria" w:hAnsi="Cambria"/>
                <w:sz w:val="20"/>
                <w:szCs w:val="20"/>
                <w:lang w:val="pt-BR"/>
              </w:rPr>
              <w:t>8.10</w:t>
            </w:r>
            <w:r w:rsidRPr="007C1F64">
              <w:rPr>
                <w:rFonts w:ascii="Cambria" w:hAnsi="Cambria"/>
                <w:sz w:val="20"/>
                <w:szCs w:val="20"/>
                <w:lang w:val="pt-BR"/>
              </w:rPr>
              <w:fldChar w:fldCharType="end"/>
            </w:r>
            <w:r w:rsidRPr="007C1F64">
              <w:rPr>
                <w:rFonts w:ascii="Cambria" w:hAnsi="Cambria"/>
                <w:sz w:val="20"/>
                <w:szCs w:val="20"/>
                <w:lang w:val="pt-BR"/>
              </w:rPr>
              <w:t xml:space="preserve">. </w:t>
            </w:r>
            <w:r w:rsidRPr="007C1F64">
              <w:rPr>
                <w:rFonts w:ascii="Cambria" w:hAnsi="Cambria"/>
                <w:sz w:val="20"/>
                <w:szCs w:val="20"/>
                <w:lang w:val="pt-BR"/>
              </w:rPr>
              <w:fldChar w:fldCharType="begin"/>
            </w:r>
            <w:r w:rsidRPr="007C1F64">
              <w:rPr>
                <w:rFonts w:ascii="Cambria" w:hAnsi="Cambria"/>
                <w:sz w:val="20"/>
                <w:szCs w:val="20"/>
                <w:lang w:val="pt-BR"/>
              </w:rPr>
              <w:instrText xml:space="preserve"> REF _Ref415472126 \h  \* MERGEFORMAT </w:instrText>
            </w:r>
            <w:r w:rsidRPr="007C1F64">
              <w:rPr>
                <w:rFonts w:ascii="Cambria" w:hAnsi="Cambria"/>
                <w:sz w:val="20"/>
                <w:szCs w:val="20"/>
                <w:lang w:val="pt-BR"/>
              </w:rPr>
            </w:r>
            <w:r w:rsidRPr="007C1F64">
              <w:rPr>
                <w:rFonts w:ascii="Cambria" w:hAnsi="Cambria"/>
                <w:sz w:val="20"/>
                <w:szCs w:val="20"/>
                <w:lang w:val="pt-BR"/>
              </w:rPr>
              <w:fldChar w:fldCharType="separate"/>
            </w:r>
            <w:r w:rsidR="00897470" w:rsidRPr="00897470">
              <w:rPr>
                <w:rFonts w:ascii="Cambria" w:hAnsi="Cambria"/>
                <w:sz w:val="20"/>
                <w:szCs w:val="20"/>
                <w:lang w:val="pt-BR"/>
              </w:rPr>
              <w:t>Procedimento para Coleta e Destinação Final dos Resíduos Gerados</w:t>
            </w:r>
            <w:r w:rsidRPr="007C1F64">
              <w:rPr>
                <w:rFonts w:ascii="Cambria" w:hAnsi="Cambria"/>
                <w:sz w:val="20"/>
                <w:szCs w:val="20"/>
                <w:lang w:val="pt-BR"/>
              </w:rPr>
              <w:fldChar w:fldCharType="end"/>
            </w:r>
          </w:p>
        </w:tc>
      </w:tr>
      <w:tr w:rsidR="00F6044C" w:rsidRPr="00C95909" w14:paraId="2402A9A6"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52B9EE"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3.5.9. Procedimentos para deslocamento dos recursos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4B3E270" w14:textId="77777777" w:rsidR="00F6044C" w:rsidRPr="007B3A23" w:rsidRDefault="00C8288F" w:rsidP="00E57F9E">
            <w:pPr>
              <w:pStyle w:val="TableParagraph"/>
              <w:tabs>
                <w:tab w:val="left" w:pos="10490"/>
              </w:tabs>
              <w:spacing w:before="60" w:after="60"/>
              <w:ind w:left="130" w:right="-51"/>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_Ref414612668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7.3</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_Ref414612954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 para Gestão dos Recursos de Resposta</w:t>
            </w:r>
            <w:r w:rsidRPr="007B3A23">
              <w:rPr>
                <w:rFonts w:asciiTheme="majorHAnsi" w:hAnsiTheme="majorHAnsi"/>
                <w:sz w:val="20"/>
                <w:szCs w:val="20"/>
                <w:lang w:val="pt-BR"/>
              </w:rPr>
              <w:fldChar w:fldCharType="end"/>
            </w:r>
          </w:p>
        </w:tc>
      </w:tr>
      <w:tr w:rsidR="00F6044C" w:rsidRPr="00C95909" w14:paraId="167688EE"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32F94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3.5.10. Procedimentos para obtenção e atualização de informações relevantes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F93016C" w14:textId="77777777" w:rsidR="00F6044C" w:rsidRPr="00E04B11" w:rsidRDefault="00C8288F" w:rsidP="00E57F9E">
            <w:pPr>
              <w:pStyle w:val="TableParagraph"/>
              <w:tabs>
                <w:tab w:val="left" w:pos="10490"/>
              </w:tabs>
              <w:spacing w:before="60" w:after="60"/>
              <w:ind w:left="130" w:right="284"/>
              <w:rPr>
                <w:rFonts w:asciiTheme="majorHAnsi" w:hAnsiTheme="majorHAnsi"/>
                <w:sz w:val="20"/>
                <w:szCs w:val="20"/>
                <w:lang w:val="pt-BR"/>
              </w:rPr>
            </w:pPr>
            <w:r w:rsidRPr="00E04B11">
              <w:rPr>
                <w:rFonts w:asciiTheme="majorHAnsi" w:hAnsiTheme="majorHAnsi"/>
                <w:sz w:val="20"/>
                <w:szCs w:val="20"/>
                <w:lang w:val="pt-BR"/>
              </w:rPr>
              <w:fldChar w:fldCharType="begin"/>
            </w:r>
            <w:r w:rsidRPr="00E04B11">
              <w:rPr>
                <w:rFonts w:asciiTheme="majorHAnsi" w:hAnsiTheme="majorHAnsi"/>
                <w:sz w:val="20"/>
                <w:szCs w:val="20"/>
                <w:lang w:val="pt-BR"/>
              </w:rPr>
              <w:instrText xml:space="preserve"> REF _Ref414612675 \r \h </w:instrText>
            </w:r>
            <w:r w:rsidR="007B3A23" w:rsidRPr="00E04B11">
              <w:rPr>
                <w:rFonts w:asciiTheme="majorHAnsi" w:hAnsiTheme="majorHAnsi"/>
                <w:sz w:val="20"/>
                <w:szCs w:val="20"/>
                <w:lang w:val="pt-BR"/>
              </w:rPr>
              <w:instrText xml:space="preserve"> \* MERGEFORMAT </w:instrText>
            </w:r>
            <w:r w:rsidRPr="00E04B11">
              <w:rPr>
                <w:rFonts w:asciiTheme="majorHAnsi" w:hAnsiTheme="majorHAnsi"/>
                <w:sz w:val="20"/>
                <w:szCs w:val="20"/>
                <w:lang w:val="pt-BR"/>
              </w:rPr>
            </w:r>
            <w:r w:rsidRPr="00E04B11">
              <w:rPr>
                <w:rFonts w:asciiTheme="majorHAnsi" w:hAnsiTheme="majorHAnsi"/>
                <w:sz w:val="20"/>
                <w:szCs w:val="20"/>
                <w:lang w:val="pt-BR"/>
              </w:rPr>
              <w:fldChar w:fldCharType="separate"/>
            </w:r>
            <w:r w:rsidR="00897470">
              <w:rPr>
                <w:rFonts w:asciiTheme="majorHAnsi" w:hAnsiTheme="majorHAnsi"/>
                <w:sz w:val="20"/>
                <w:szCs w:val="20"/>
                <w:lang w:val="pt-BR"/>
              </w:rPr>
              <w:t>7.1</w:t>
            </w:r>
            <w:r w:rsidRPr="00E04B11">
              <w:rPr>
                <w:rFonts w:asciiTheme="majorHAnsi" w:hAnsiTheme="majorHAnsi"/>
                <w:sz w:val="20"/>
                <w:szCs w:val="20"/>
                <w:lang w:val="pt-BR"/>
              </w:rPr>
              <w:fldChar w:fldCharType="end"/>
            </w:r>
            <w:r w:rsidRPr="00E04B11">
              <w:rPr>
                <w:rFonts w:asciiTheme="majorHAnsi" w:hAnsiTheme="majorHAnsi"/>
                <w:sz w:val="20"/>
                <w:szCs w:val="20"/>
                <w:lang w:val="pt-BR"/>
              </w:rPr>
              <w:t xml:space="preserve">. </w:t>
            </w:r>
            <w:r w:rsidRPr="00E04B11">
              <w:rPr>
                <w:rFonts w:asciiTheme="majorHAnsi" w:hAnsiTheme="majorHAnsi"/>
                <w:sz w:val="20"/>
                <w:szCs w:val="20"/>
                <w:lang w:val="pt-BR"/>
              </w:rPr>
              <w:fldChar w:fldCharType="begin"/>
            </w:r>
            <w:r w:rsidRPr="00E04B11">
              <w:rPr>
                <w:rFonts w:asciiTheme="majorHAnsi" w:hAnsiTheme="majorHAnsi"/>
                <w:sz w:val="20"/>
                <w:szCs w:val="20"/>
                <w:lang w:val="pt-BR"/>
              </w:rPr>
              <w:instrText xml:space="preserve"> REF _Ref414612959 \h </w:instrText>
            </w:r>
            <w:r w:rsidR="007B3A23" w:rsidRPr="00E04B11">
              <w:rPr>
                <w:rFonts w:asciiTheme="majorHAnsi" w:hAnsiTheme="majorHAnsi"/>
                <w:sz w:val="20"/>
                <w:szCs w:val="20"/>
                <w:lang w:val="pt-BR"/>
              </w:rPr>
              <w:instrText xml:space="preserve"> \* MERGEFORMAT </w:instrText>
            </w:r>
            <w:r w:rsidRPr="00E04B11">
              <w:rPr>
                <w:rFonts w:asciiTheme="majorHAnsi" w:hAnsiTheme="majorHAnsi"/>
                <w:sz w:val="20"/>
                <w:szCs w:val="20"/>
                <w:lang w:val="pt-BR"/>
              </w:rPr>
            </w:r>
            <w:r w:rsidRPr="00E04B11">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Gestão da Informação</w:t>
            </w:r>
            <w:r w:rsidRPr="00E04B11">
              <w:rPr>
                <w:rFonts w:asciiTheme="majorHAnsi" w:hAnsiTheme="majorHAnsi"/>
                <w:sz w:val="20"/>
                <w:szCs w:val="20"/>
                <w:lang w:val="pt-BR"/>
              </w:rPr>
              <w:fldChar w:fldCharType="end"/>
            </w:r>
            <w:r w:rsidR="00E04B11">
              <w:rPr>
                <w:rFonts w:asciiTheme="majorHAnsi" w:hAnsiTheme="majorHAnsi"/>
                <w:sz w:val="20"/>
                <w:szCs w:val="20"/>
                <w:lang w:val="pt-BR"/>
              </w:rPr>
              <w:t>;</w:t>
            </w:r>
          </w:p>
          <w:p w14:paraId="25AA6F24" w14:textId="39ECBD02" w:rsidR="00E04B11" w:rsidRPr="00E04B11" w:rsidRDefault="002D2F32" w:rsidP="00CE6488">
            <w:pPr>
              <w:pStyle w:val="TableParagraph"/>
              <w:tabs>
                <w:tab w:val="left" w:pos="10490"/>
              </w:tabs>
              <w:spacing w:before="60" w:after="60"/>
              <w:ind w:left="130" w:right="284"/>
              <w:rPr>
                <w:rFonts w:asciiTheme="majorHAnsi" w:hAnsiTheme="majorHAnsi"/>
                <w:sz w:val="20"/>
                <w:szCs w:val="20"/>
                <w:lang w:val="pt-BR"/>
              </w:rPr>
            </w:pPr>
            <w:r w:rsidRPr="00E04B11">
              <w:rPr>
                <w:rStyle w:val="NegritoVersaleteChar"/>
                <w:b w:val="0"/>
                <w:i w:val="0"/>
                <w:smallCaps w:val="0"/>
                <w:color w:val="auto"/>
                <w:sz w:val="20"/>
                <w:lang w:val="pt-BR"/>
              </w:rPr>
              <w:t>APÊNDICE</w:t>
            </w:r>
            <w:r w:rsidR="00E04B11" w:rsidRPr="00E04B11">
              <w:rPr>
                <w:rStyle w:val="NegritoVersaleteChar"/>
                <w:b w:val="0"/>
                <w:i w:val="0"/>
                <w:smallCaps w:val="0"/>
                <w:color w:val="auto"/>
                <w:sz w:val="20"/>
                <w:lang w:val="pt-BR"/>
              </w:rPr>
              <w:t xml:space="preserve"> </w:t>
            </w:r>
            <w:r w:rsidR="00CE6488">
              <w:rPr>
                <w:rStyle w:val="NegritoVersaleteChar"/>
                <w:b w:val="0"/>
                <w:i w:val="0"/>
                <w:smallCaps w:val="0"/>
                <w:color w:val="auto"/>
                <w:sz w:val="20"/>
                <w:lang w:val="pt-BR"/>
              </w:rPr>
              <w:t>D</w:t>
            </w:r>
            <w:r w:rsidR="00E04B11" w:rsidRPr="00E04B11">
              <w:rPr>
                <w:rStyle w:val="NegritoVersaleteChar"/>
                <w:b w:val="0"/>
                <w:i w:val="0"/>
                <w:smallCaps w:val="0"/>
                <w:color w:val="auto"/>
                <w:sz w:val="20"/>
                <w:lang w:val="pt-BR"/>
              </w:rPr>
              <w:t xml:space="preserve"> – Formulários e Relatórios de Apoio à Gestão</w:t>
            </w:r>
          </w:p>
        </w:tc>
      </w:tr>
      <w:tr w:rsidR="00F6044C" w:rsidRPr="00C95909" w14:paraId="4B520846"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C6FC590"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lastRenderedPageBreak/>
              <w:t>3.5.11. Procedimentos para registro das ações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6FAFA82" w14:textId="77777777" w:rsidR="00F6044C"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_Ref414612684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7.1</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_Ref414612964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Gestão da Informação</w:t>
            </w:r>
            <w:r w:rsidRPr="007B3A23">
              <w:rPr>
                <w:rFonts w:asciiTheme="majorHAnsi" w:hAnsiTheme="majorHAnsi"/>
                <w:sz w:val="20"/>
                <w:szCs w:val="20"/>
                <w:lang w:val="pt-BR"/>
              </w:rPr>
              <w:fldChar w:fldCharType="end"/>
            </w:r>
            <w:r w:rsidR="00E04B11">
              <w:rPr>
                <w:rFonts w:asciiTheme="majorHAnsi" w:hAnsiTheme="majorHAnsi"/>
                <w:sz w:val="20"/>
                <w:szCs w:val="20"/>
                <w:lang w:val="pt-BR"/>
              </w:rPr>
              <w:t>;</w:t>
            </w:r>
          </w:p>
          <w:p w14:paraId="256914DC" w14:textId="28051EB4" w:rsidR="00E04B11" w:rsidRPr="007B3A23" w:rsidRDefault="002D2F32" w:rsidP="00CE6488">
            <w:pPr>
              <w:pStyle w:val="TableParagraph"/>
              <w:tabs>
                <w:tab w:val="left" w:pos="10490"/>
              </w:tabs>
              <w:spacing w:before="60" w:after="60"/>
              <w:ind w:left="130" w:right="284"/>
              <w:rPr>
                <w:rFonts w:asciiTheme="majorHAnsi" w:hAnsiTheme="majorHAnsi"/>
                <w:sz w:val="20"/>
                <w:szCs w:val="20"/>
                <w:lang w:val="pt-BR"/>
              </w:rPr>
            </w:pPr>
            <w:r w:rsidRPr="00E04B11">
              <w:rPr>
                <w:rStyle w:val="NegritoVersaleteChar"/>
                <w:b w:val="0"/>
                <w:i w:val="0"/>
                <w:smallCaps w:val="0"/>
                <w:color w:val="auto"/>
                <w:sz w:val="20"/>
                <w:lang w:val="pt-BR"/>
              </w:rPr>
              <w:t>APÊNDICE</w:t>
            </w:r>
            <w:r w:rsidR="00E04B11" w:rsidRPr="00E04B11">
              <w:rPr>
                <w:rStyle w:val="NegritoVersaleteChar"/>
                <w:b w:val="0"/>
                <w:i w:val="0"/>
                <w:smallCaps w:val="0"/>
                <w:color w:val="auto"/>
                <w:sz w:val="20"/>
                <w:lang w:val="pt-BR"/>
              </w:rPr>
              <w:t xml:space="preserve"> </w:t>
            </w:r>
            <w:r w:rsidR="00CE6488">
              <w:rPr>
                <w:rStyle w:val="NegritoVersaleteChar"/>
                <w:b w:val="0"/>
                <w:i w:val="0"/>
                <w:smallCaps w:val="0"/>
                <w:color w:val="auto"/>
                <w:sz w:val="20"/>
                <w:lang w:val="pt-BR"/>
              </w:rPr>
              <w:t>D</w:t>
            </w:r>
            <w:r w:rsidR="00E04B11" w:rsidRPr="00E04B11">
              <w:rPr>
                <w:rStyle w:val="NegritoVersaleteChar"/>
                <w:b w:val="0"/>
                <w:i w:val="0"/>
                <w:smallCaps w:val="0"/>
                <w:color w:val="auto"/>
                <w:sz w:val="20"/>
                <w:lang w:val="pt-BR"/>
              </w:rPr>
              <w:t xml:space="preserve"> – Formulários e Relatórios de Apoio à Gestão</w:t>
            </w:r>
          </w:p>
        </w:tc>
      </w:tr>
      <w:tr w:rsidR="00F6044C" w:rsidRPr="00C95909" w14:paraId="31D89BE9"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51442CB"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3.5.12. Procedimentos para proteção das populações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55325AA"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_Ref414612700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8.7</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_Ref414612974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Proteção das Populações</w:t>
            </w:r>
            <w:r w:rsidRPr="007B3A23">
              <w:rPr>
                <w:rFonts w:asciiTheme="majorHAnsi" w:hAnsiTheme="majorHAnsi"/>
                <w:sz w:val="20"/>
                <w:szCs w:val="20"/>
                <w:lang w:val="pt-BR"/>
              </w:rPr>
              <w:fldChar w:fldCharType="end"/>
            </w:r>
          </w:p>
        </w:tc>
      </w:tr>
      <w:tr w:rsidR="00F6044C" w:rsidRPr="00C95909" w14:paraId="603D7C7C"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DE2197A"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3.5.13 Procedimentos para proteção da fauna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5F8435F" w14:textId="7FADE4ED"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_Ref414612706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8.9</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_Ref414612979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Procedimentos para a Proteção à Fauna</w:t>
            </w:r>
            <w:r w:rsidRPr="007B3A23">
              <w:rPr>
                <w:rFonts w:asciiTheme="majorHAnsi" w:hAnsiTheme="majorHAnsi"/>
                <w:sz w:val="20"/>
                <w:szCs w:val="20"/>
                <w:lang w:val="pt-BR"/>
              </w:rPr>
              <w:fldChar w:fldCharType="end"/>
            </w:r>
          </w:p>
        </w:tc>
      </w:tr>
      <w:tr w:rsidR="00F6044C" w:rsidRPr="00E30CB5" w14:paraId="2833F752"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1DD8D3F"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4. Encerramento das operações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B806874"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_Ref414455058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10</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_Ref414455058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bCs/>
                <w:sz w:val="20"/>
                <w:szCs w:val="20"/>
                <w:lang w:val="pt-BR"/>
              </w:rPr>
              <w:t>ENCERRAMENTO DAS AÇÕES DE RESPOSTA</w:t>
            </w:r>
            <w:r w:rsidRPr="007B3A23">
              <w:rPr>
                <w:rFonts w:asciiTheme="majorHAnsi" w:hAnsiTheme="majorHAnsi"/>
                <w:sz w:val="20"/>
                <w:szCs w:val="20"/>
                <w:lang w:val="pt-BR"/>
              </w:rPr>
              <w:fldChar w:fldCharType="end"/>
            </w:r>
          </w:p>
        </w:tc>
      </w:tr>
      <w:tr w:rsidR="00F6044C" w:rsidRPr="00C95909" w14:paraId="20CD753D"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CA3BBB6" w14:textId="77777777" w:rsidR="00F6044C" w:rsidRPr="0070789E" w:rsidRDefault="00F6044C" w:rsidP="00E57F9E">
            <w:pPr>
              <w:pStyle w:val="TableParagraph"/>
              <w:tabs>
                <w:tab w:val="left" w:pos="10490"/>
              </w:tabs>
              <w:spacing w:before="60" w:after="60"/>
              <w:ind w:left="130" w:right="-25"/>
              <w:rPr>
                <w:rFonts w:ascii="Cambria" w:hAnsi="Cambria"/>
                <w:sz w:val="20"/>
                <w:szCs w:val="20"/>
                <w:lang w:val="pt-BR"/>
              </w:rPr>
            </w:pPr>
            <w:r w:rsidRPr="0070789E">
              <w:rPr>
                <w:rFonts w:ascii="Cambria" w:hAnsi="Cambria"/>
                <w:sz w:val="20"/>
                <w:szCs w:val="20"/>
                <w:lang w:val="pt-BR"/>
              </w:rPr>
              <w:t>5. Mapas, cartas náuticas, plantas, desenhos e fotografias</w:t>
            </w:r>
          </w:p>
        </w:tc>
        <w:tc>
          <w:tcPr>
            <w:tcW w:w="2500" w:type="pct"/>
            <w:tcBorders>
              <w:top w:val="single" w:sz="18" w:space="0" w:color="FFFFFF"/>
              <w:left w:val="single" w:sz="18" w:space="0" w:color="FFFFFF"/>
              <w:right w:val="single" w:sz="18" w:space="0" w:color="FFFFFF"/>
            </w:tcBorders>
            <w:shd w:val="clear" w:color="auto" w:fill="D9D9D9"/>
            <w:vAlign w:val="center"/>
          </w:tcPr>
          <w:p w14:paraId="6065146D" w14:textId="2E05F887" w:rsidR="00F6044C" w:rsidRPr="003C7CAC" w:rsidRDefault="00C8288F" w:rsidP="00E57F9E">
            <w:pPr>
              <w:pStyle w:val="TableParagraph"/>
              <w:tabs>
                <w:tab w:val="left" w:pos="10490"/>
              </w:tabs>
              <w:spacing w:before="60" w:after="60"/>
              <w:ind w:left="130" w:right="284"/>
              <w:rPr>
                <w:rFonts w:asciiTheme="majorHAnsi" w:hAnsiTheme="majorHAnsi"/>
                <w:lang w:val="pt-BR"/>
              </w:rPr>
            </w:pPr>
            <w:r w:rsidRPr="003C7CAC">
              <w:rPr>
                <w:rFonts w:asciiTheme="majorHAnsi" w:hAnsiTheme="majorHAnsi"/>
                <w:sz w:val="20"/>
                <w:szCs w:val="20"/>
                <w:lang w:val="pt-BR"/>
              </w:rPr>
              <w:t>ANEXO A</w:t>
            </w:r>
            <w:r w:rsidR="003C7CAC" w:rsidRPr="003C7CAC">
              <w:rPr>
                <w:rFonts w:asciiTheme="majorHAnsi" w:hAnsiTheme="majorHAnsi"/>
                <w:sz w:val="20"/>
                <w:szCs w:val="20"/>
                <w:lang w:val="pt-BR"/>
              </w:rPr>
              <w:t xml:space="preserve"> </w:t>
            </w:r>
            <w:r w:rsidR="003C7CAC">
              <w:rPr>
                <w:rFonts w:asciiTheme="majorHAnsi" w:hAnsiTheme="majorHAnsi"/>
                <w:sz w:val="20"/>
                <w:szCs w:val="20"/>
                <w:lang w:val="pt-BR"/>
              </w:rPr>
              <w:t>–</w:t>
            </w:r>
            <w:r w:rsidR="003C7CAC" w:rsidRPr="003C7CAC">
              <w:rPr>
                <w:rFonts w:asciiTheme="majorHAnsi" w:hAnsiTheme="majorHAnsi"/>
                <w:sz w:val="20"/>
                <w:szCs w:val="20"/>
                <w:lang w:val="pt-BR"/>
              </w:rPr>
              <w:t xml:space="preserve"> </w:t>
            </w:r>
            <w:r w:rsidR="003C7CAC" w:rsidRPr="003C7CAC">
              <w:rPr>
                <w:rStyle w:val="NegritoVersaleteChar"/>
                <w:b w:val="0"/>
                <w:i w:val="0"/>
                <w:smallCaps w:val="0"/>
                <w:color w:val="auto"/>
                <w:sz w:val="20"/>
                <w:lang w:val="pt-BR"/>
              </w:rPr>
              <w:t xml:space="preserve">Características da Unidade </w:t>
            </w:r>
            <w:r w:rsidR="00EE16FF">
              <w:rPr>
                <w:rStyle w:val="NegritoVersaleteChar"/>
                <w:b w:val="0"/>
                <w:i w:val="0"/>
                <w:smallCaps w:val="0"/>
                <w:color w:val="auto"/>
                <w:sz w:val="20"/>
                <w:lang w:val="pt-BR"/>
              </w:rPr>
              <w:t>de Perfuração</w:t>
            </w:r>
            <w:r w:rsidR="003C7CAC" w:rsidRPr="003C7CAC">
              <w:rPr>
                <w:rStyle w:val="NegritoVersaleteChar"/>
                <w:b w:val="0"/>
                <w:i w:val="0"/>
                <w:smallCaps w:val="0"/>
                <w:color w:val="auto"/>
                <w:sz w:val="20"/>
                <w:lang w:val="pt-BR"/>
              </w:rPr>
              <w:t xml:space="preserve"> e Embarcações de Apoio e Dedicada</w:t>
            </w:r>
          </w:p>
        </w:tc>
      </w:tr>
      <w:tr w:rsidR="00F6044C" w:rsidRPr="00E30CB5" w14:paraId="10D051E5" w14:textId="77777777" w:rsidTr="00E57F9E">
        <w:trPr>
          <w:cantSplit/>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5175E42"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6. Anexos</w:t>
            </w:r>
          </w:p>
        </w:tc>
        <w:tc>
          <w:tcPr>
            <w:tcW w:w="2500" w:type="pct"/>
            <w:tcBorders>
              <w:left w:val="single" w:sz="18" w:space="0" w:color="FFFFFF"/>
              <w:bottom w:val="single" w:sz="18" w:space="0" w:color="FFFFFF"/>
              <w:right w:val="single" w:sz="18" w:space="0" w:color="FFFFFF"/>
            </w:tcBorders>
            <w:shd w:val="clear" w:color="auto" w:fill="D9D9D9"/>
            <w:vAlign w:val="center"/>
          </w:tcPr>
          <w:p w14:paraId="6C87CD2F" w14:textId="6BB27359" w:rsidR="003C7CAC" w:rsidRPr="003C7CAC" w:rsidRDefault="003C7CAC" w:rsidP="00E57F9E">
            <w:pPr>
              <w:pStyle w:val="TableParagraph"/>
              <w:tabs>
                <w:tab w:val="left" w:pos="10490"/>
              </w:tabs>
              <w:spacing w:before="60" w:after="60"/>
              <w:ind w:left="130" w:right="284"/>
              <w:rPr>
                <w:rFonts w:asciiTheme="majorHAnsi" w:hAnsiTheme="majorHAnsi"/>
                <w:sz w:val="20"/>
                <w:szCs w:val="20"/>
                <w:lang w:val="pt-BR"/>
              </w:rPr>
            </w:pPr>
            <w:r w:rsidRPr="003C7CAC">
              <w:rPr>
                <w:rFonts w:asciiTheme="majorHAnsi" w:hAnsiTheme="majorHAnsi"/>
                <w:sz w:val="20"/>
                <w:szCs w:val="20"/>
                <w:lang w:val="pt-BR"/>
              </w:rPr>
              <w:t>ANEXO</w:t>
            </w:r>
            <w:r w:rsidR="00C8288F" w:rsidRPr="003C7CAC">
              <w:rPr>
                <w:rFonts w:asciiTheme="majorHAnsi" w:hAnsiTheme="majorHAnsi"/>
                <w:sz w:val="20"/>
                <w:szCs w:val="20"/>
                <w:lang w:val="pt-BR"/>
              </w:rPr>
              <w:t xml:space="preserve"> A</w:t>
            </w:r>
            <w:r w:rsidRPr="003C7CAC">
              <w:rPr>
                <w:rFonts w:asciiTheme="majorHAnsi" w:hAnsiTheme="majorHAnsi"/>
                <w:sz w:val="20"/>
                <w:szCs w:val="20"/>
                <w:lang w:val="pt-BR"/>
              </w:rPr>
              <w:t xml:space="preserve"> – </w:t>
            </w:r>
            <w:r w:rsidR="00EE16FF" w:rsidRPr="003C7CAC">
              <w:rPr>
                <w:rStyle w:val="NegritoVersaleteChar"/>
                <w:b w:val="0"/>
                <w:i w:val="0"/>
                <w:smallCaps w:val="0"/>
                <w:color w:val="auto"/>
                <w:sz w:val="20"/>
                <w:lang w:val="pt-BR"/>
              </w:rPr>
              <w:t xml:space="preserve">Características da Unidade </w:t>
            </w:r>
            <w:r w:rsidR="00EE16FF">
              <w:rPr>
                <w:rStyle w:val="NegritoVersaleteChar"/>
                <w:b w:val="0"/>
                <w:i w:val="0"/>
                <w:smallCaps w:val="0"/>
                <w:color w:val="auto"/>
                <w:sz w:val="20"/>
                <w:lang w:val="pt-BR"/>
              </w:rPr>
              <w:t>de Perfuração</w:t>
            </w:r>
            <w:r w:rsidR="00EE16FF" w:rsidRPr="003C7CAC">
              <w:rPr>
                <w:rStyle w:val="NegritoVersaleteChar"/>
                <w:b w:val="0"/>
                <w:i w:val="0"/>
                <w:smallCaps w:val="0"/>
                <w:color w:val="auto"/>
                <w:sz w:val="20"/>
                <w:lang w:val="pt-BR"/>
              </w:rPr>
              <w:t xml:space="preserve"> e Embarcações de Apoio e Dedicada</w:t>
            </w:r>
            <w:r w:rsidRPr="003C7CAC">
              <w:rPr>
                <w:rFonts w:asciiTheme="majorHAnsi" w:hAnsiTheme="majorHAnsi"/>
                <w:sz w:val="20"/>
                <w:szCs w:val="20"/>
                <w:lang w:val="pt-BR"/>
              </w:rPr>
              <w:t>;</w:t>
            </w:r>
          </w:p>
          <w:p w14:paraId="30D781A8" w14:textId="64302AA4" w:rsidR="003C7CAC" w:rsidRPr="003C7CAC" w:rsidRDefault="003C7CAC" w:rsidP="00E57F9E">
            <w:pPr>
              <w:pStyle w:val="TableParagraph"/>
              <w:tabs>
                <w:tab w:val="left" w:pos="10490"/>
              </w:tabs>
              <w:spacing w:before="60" w:after="60"/>
              <w:ind w:left="130" w:right="284"/>
              <w:rPr>
                <w:rStyle w:val="NegritoVersaleteChar"/>
                <w:b w:val="0"/>
                <w:i w:val="0"/>
                <w:smallCaps w:val="0"/>
                <w:color w:val="auto"/>
                <w:sz w:val="20"/>
                <w:lang w:val="pt-BR"/>
              </w:rPr>
            </w:pPr>
            <w:r w:rsidRPr="003C7CAC">
              <w:rPr>
                <w:rFonts w:asciiTheme="majorHAnsi" w:hAnsiTheme="majorHAnsi"/>
                <w:sz w:val="20"/>
                <w:szCs w:val="20"/>
                <w:lang w:val="pt-BR"/>
              </w:rPr>
              <w:t xml:space="preserve">ANEXO </w:t>
            </w:r>
            <w:r w:rsidR="00C8288F" w:rsidRPr="003C7CAC">
              <w:rPr>
                <w:rFonts w:asciiTheme="majorHAnsi" w:hAnsiTheme="majorHAnsi"/>
                <w:sz w:val="20"/>
                <w:szCs w:val="20"/>
                <w:lang w:val="pt-BR"/>
              </w:rPr>
              <w:t>B</w:t>
            </w:r>
            <w:r w:rsidRPr="003C7CAC">
              <w:rPr>
                <w:rFonts w:asciiTheme="majorHAnsi" w:hAnsiTheme="majorHAnsi"/>
                <w:sz w:val="20"/>
                <w:szCs w:val="20"/>
                <w:lang w:val="pt-BR"/>
              </w:rPr>
              <w:t xml:space="preserve"> </w:t>
            </w:r>
            <w:r>
              <w:rPr>
                <w:rFonts w:asciiTheme="majorHAnsi" w:hAnsiTheme="majorHAnsi"/>
                <w:sz w:val="20"/>
                <w:szCs w:val="20"/>
                <w:lang w:val="pt-BR"/>
              </w:rPr>
              <w:t>–</w:t>
            </w:r>
            <w:r w:rsidRPr="003C7CAC">
              <w:rPr>
                <w:rFonts w:asciiTheme="majorHAnsi" w:hAnsiTheme="majorHAnsi"/>
                <w:sz w:val="20"/>
                <w:szCs w:val="20"/>
                <w:lang w:val="pt-BR"/>
              </w:rPr>
              <w:t xml:space="preserve"> </w:t>
            </w:r>
            <w:r w:rsidRPr="003C7CAC">
              <w:rPr>
                <w:rStyle w:val="NegritoVersaleteChar"/>
                <w:b w:val="0"/>
                <w:i w:val="0"/>
                <w:smallCaps w:val="0"/>
                <w:color w:val="auto"/>
                <w:sz w:val="20"/>
                <w:lang w:val="pt-BR"/>
              </w:rPr>
              <w:t>Modelagem de Dispersão de Óleo</w:t>
            </w:r>
            <w:r w:rsidR="00460D2A">
              <w:rPr>
                <w:rStyle w:val="NegritoVersaleteChar"/>
                <w:b w:val="0"/>
                <w:i w:val="0"/>
                <w:smallCaps w:val="0"/>
                <w:color w:val="auto"/>
                <w:sz w:val="20"/>
                <w:lang w:val="pt-BR"/>
              </w:rPr>
              <w:t xml:space="preserve"> (referência ao EIA)</w:t>
            </w:r>
            <w:r w:rsidRPr="003C7CAC">
              <w:rPr>
                <w:rStyle w:val="NegritoVersaleteChar"/>
                <w:b w:val="0"/>
                <w:i w:val="0"/>
                <w:smallCaps w:val="0"/>
                <w:color w:val="auto"/>
                <w:sz w:val="20"/>
                <w:lang w:val="pt-BR"/>
              </w:rPr>
              <w:t>;</w:t>
            </w:r>
            <w:r w:rsidR="00EC7CA4">
              <w:rPr>
                <w:rStyle w:val="NegritoVersaleteChar"/>
                <w:b w:val="0"/>
                <w:i w:val="0"/>
                <w:smallCaps w:val="0"/>
                <w:color w:val="auto"/>
                <w:sz w:val="20"/>
                <w:lang w:val="pt-BR"/>
              </w:rPr>
              <w:t xml:space="preserve"> e</w:t>
            </w:r>
          </w:p>
          <w:p w14:paraId="4C0C5972" w14:textId="26E0C78C" w:rsidR="00F6044C" w:rsidRPr="003C7CAC" w:rsidRDefault="003C7CAC" w:rsidP="00E57F9E">
            <w:pPr>
              <w:pStyle w:val="TableParagraph"/>
              <w:tabs>
                <w:tab w:val="left" w:pos="10490"/>
              </w:tabs>
              <w:spacing w:before="60" w:after="60"/>
              <w:ind w:left="130" w:right="284"/>
              <w:rPr>
                <w:rFonts w:asciiTheme="majorHAnsi" w:hAnsiTheme="majorHAnsi"/>
                <w:sz w:val="20"/>
                <w:szCs w:val="20"/>
                <w:lang w:val="pt-BR"/>
              </w:rPr>
            </w:pPr>
            <w:r w:rsidRPr="003C7CAC">
              <w:rPr>
                <w:rFonts w:asciiTheme="majorHAnsi" w:hAnsiTheme="majorHAnsi"/>
                <w:sz w:val="20"/>
                <w:szCs w:val="20"/>
                <w:lang w:val="pt-BR"/>
              </w:rPr>
              <w:t>ANEXO</w:t>
            </w:r>
            <w:r w:rsidR="00C8288F" w:rsidRPr="003C7CAC">
              <w:rPr>
                <w:rFonts w:asciiTheme="majorHAnsi" w:hAnsiTheme="majorHAnsi"/>
                <w:sz w:val="20"/>
                <w:szCs w:val="20"/>
                <w:lang w:val="pt-BR"/>
              </w:rPr>
              <w:t xml:space="preserve"> C</w:t>
            </w:r>
            <w:r w:rsidRPr="003C7CAC">
              <w:rPr>
                <w:rFonts w:asciiTheme="majorHAnsi" w:hAnsiTheme="majorHAnsi"/>
                <w:sz w:val="20"/>
                <w:szCs w:val="20"/>
                <w:lang w:val="pt-BR"/>
              </w:rPr>
              <w:t xml:space="preserve"> </w:t>
            </w:r>
            <w:r w:rsidRPr="003C7CAC">
              <w:rPr>
                <w:rStyle w:val="NegritoVersaleteChar"/>
                <w:b w:val="0"/>
                <w:i w:val="0"/>
                <w:smallCaps w:val="0"/>
                <w:color w:val="auto"/>
                <w:sz w:val="20"/>
                <w:lang w:val="pt-BR"/>
              </w:rPr>
              <w:t xml:space="preserve">– Análise </w:t>
            </w:r>
            <w:r w:rsidR="00EC7CA4">
              <w:rPr>
                <w:rStyle w:val="NegritoVersaleteChar"/>
                <w:b w:val="0"/>
                <w:i w:val="0"/>
                <w:smallCaps w:val="0"/>
                <w:color w:val="auto"/>
                <w:sz w:val="20"/>
                <w:lang w:val="pt-BR"/>
              </w:rPr>
              <w:t xml:space="preserve">e Mapa </w:t>
            </w:r>
            <w:r w:rsidRPr="003C7CAC">
              <w:rPr>
                <w:rStyle w:val="NegritoVersaleteChar"/>
                <w:b w:val="0"/>
                <w:i w:val="0"/>
                <w:smallCaps w:val="0"/>
                <w:color w:val="auto"/>
                <w:sz w:val="20"/>
                <w:lang w:val="pt-BR"/>
              </w:rPr>
              <w:t>de Vulnerabilidade</w:t>
            </w:r>
            <w:r w:rsidR="00EC7CA4">
              <w:rPr>
                <w:rFonts w:asciiTheme="majorHAnsi" w:hAnsiTheme="majorHAnsi"/>
                <w:sz w:val="20"/>
                <w:szCs w:val="20"/>
                <w:lang w:val="pt-BR"/>
              </w:rPr>
              <w:t>;</w:t>
            </w:r>
          </w:p>
        </w:tc>
      </w:tr>
    </w:tbl>
    <w:p w14:paraId="22E26BC0" w14:textId="77777777" w:rsidR="00322277" w:rsidRDefault="00322277" w:rsidP="00E04B11">
      <w:pPr>
        <w:pStyle w:val="tier1Itext"/>
      </w:pP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322277" w:rsidRPr="00E30CB5" w14:paraId="1CCB4BED"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634C6902" w14:textId="77777777" w:rsidR="00322277" w:rsidRPr="008001F5" w:rsidRDefault="00322277" w:rsidP="00E57F9E">
            <w:pPr>
              <w:pStyle w:val="TITULOTAB"/>
              <w:rPr>
                <w:lang w:val="pt-BR"/>
              </w:rPr>
            </w:pPr>
            <w:r w:rsidRPr="008001F5">
              <w:rPr>
                <w:lang w:val="pt-BR"/>
              </w:rPr>
              <w:t>Resolução CONAMA Nº 398/08 – Anexo II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05655DC7" w14:textId="6A2677AD" w:rsidR="00322277" w:rsidRPr="004269ED" w:rsidRDefault="00322277" w:rsidP="00E57F9E">
            <w:pPr>
              <w:pStyle w:val="TITULOTAB"/>
              <w:rPr>
                <w:lang w:val="pt-BR"/>
              </w:rPr>
            </w:pPr>
            <w:r w:rsidRPr="004269ED">
              <w:rPr>
                <w:lang w:val="pt-BR"/>
              </w:rPr>
              <w:t>Plano de Emergência Individual FZA-M-59</w:t>
            </w:r>
          </w:p>
        </w:tc>
      </w:tr>
      <w:tr w:rsidR="00F6044C" w:rsidRPr="00E30CB5" w14:paraId="66BAC5BE"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E2C7227"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1. Introdução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A241EB4"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_Ref414612756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1</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_Ref414612993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rPr>
              <w:t>INTRODUÇÃO</w:t>
            </w:r>
            <w:r w:rsidRPr="007B3A23">
              <w:rPr>
                <w:rFonts w:asciiTheme="majorHAnsi" w:hAnsiTheme="majorHAnsi"/>
                <w:sz w:val="20"/>
                <w:szCs w:val="20"/>
                <w:lang w:val="pt-BR"/>
              </w:rPr>
              <w:fldChar w:fldCharType="end"/>
            </w:r>
          </w:p>
        </w:tc>
      </w:tr>
      <w:tr w:rsidR="00322277" w:rsidRPr="00C95909" w14:paraId="23249EF1" w14:textId="77777777" w:rsidTr="00E57F9E">
        <w:trPr>
          <w:trHeight w:val="34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2640E883" w14:textId="77777777" w:rsidR="00322277" w:rsidRPr="00322277" w:rsidRDefault="00322277" w:rsidP="00E57F9E">
            <w:pPr>
              <w:pStyle w:val="TableParagraph"/>
              <w:tabs>
                <w:tab w:val="left" w:pos="10490"/>
              </w:tabs>
              <w:spacing w:before="60" w:after="60"/>
              <w:ind w:left="130"/>
              <w:rPr>
                <w:rFonts w:asciiTheme="majorHAnsi" w:hAnsiTheme="majorHAnsi"/>
                <w:sz w:val="20"/>
                <w:szCs w:val="20"/>
                <w:lang w:val="pt-BR"/>
              </w:rPr>
            </w:pPr>
            <w:r w:rsidRPr="0070789E">
              <w:rPr>
                <w:rFonts w:ascii="Cambria" w:hAnsi="Cambria"/>
                <w:sz w:val="20"/>
                <w:szCs w:val="20"/>
                <w:lang w:val="pt-BR"/>
              </w:rPr>
              <w:t>2. Identificação e avaliação dos riscos</w:t>
            </w:r>
            <w:r>
              <w:rPr>
                <w:rFonts w:ascii="Cambria" w:hAnsi="Cambria"/>
                <w:sz w:val="20"/>
                <w:szCs w:val="20"/>
                <w:lang w:val="pt-BR"/>
              </w:rPr>
              <w:t>:</w:t>
            </w:r>
          </w:p>
        </w:tc>
      </w:tr>
      <w:tr w:rsidR="00F6044C" w:rsidRPr="00C95909" w14:paraId="34106A01"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EF2439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2.1. Identificação dos riscos por fonte</w:t>
            </w:r>
          </w:p>
        </w:tc>
        <w:tc>
          <w:tcPr>
            <w:tcW w:w="2500" w:type="pct"/>
            <w:tcBorders>
              <w:left w:val="single" w:sz="18" w:space="0" w:color="FFFFFF"/>
              <w:bottom w:val="single" w:sz="18" w:space="0" w:color="FFFFFF"/>
              <w:right w:val="single" w:sz="18" w:space="0" w:color="FFFFFF"/>
            </w:tcBorders>
            <w:shd w:val="clear" w:color="auto" w:fill="D9D9D9"/>
            <w:vAlign w:val="center"/>
          </w:tcPr>
          <w:p w14:paraId="3F18C37D" w14:textId="77777777" w:rsidR="00F6044C" w:rsidRPr="00322277" w:rsidRDefault="007B3A23" w:rsidP="00E57F9E">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APÊNDICE A</w:t>
            </w:r>
            <w:r w:rsidR="00322277" w:rsidRPr="00322277">
              <w:rPr>
                <w:rStyle w:val="NegritoVersaleteChar"/>
                <w:b w:val="0"/>
                <w:i w:val="0"/>
                <w:smallCaps w:val="0"/>
                <w:color w:val="auto"/>
                <w:sz w:val="20"/>
                <w:lang w:val="pt-BR"/>
              </w:rPr>
              <w:t xml:space="preserve"> – Identificação dos Riscos por Fonte</w:t>
            </w:r>
          </w:p>
        </w:tc>
      </w:tr>
      <w:tr w:rsidR="00F6044C" w:rsidRPr="00E30CB5" w14:paraId="04DFF2D9"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BF68CC"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 Hipóteses acidentais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246267"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_Ref414525557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3</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_Ref414525557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CENÁRIOS ACIDENTAIS</w:t>
            </w:r>
            <w:r w:rsidRPr="007B3A23">
              <w:rPr>
                <w:rFonts w:asciiTheme="majorHAnsi" w:hAnsiTheme="majorHAnsi"/>
                <w:sz w:val="20"/>
                <w:szCs w:val="20"/>
                <w:lang w:val="pt-BR"/>
              </w:rPr>
              <w:fldChar w:fldCharType="end"/>
            </w:r>
          </w:p>
        </w:tc>
      </w:tr>
      <w:tr w:rsidR="00F6044C" w:rsidRPr="0027054E" w14:paraId="5BC5CFF4"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E7411D3"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2.2.1. Descarga de pior caso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5DC9ED2" w14:textId="77777777" w:rsidR="00F6044C" w:rsidRPr="007B3A23" w:rsidRDefault="00C8288F" w:rsidP="00E57F9E">
            <w:pPr>
              <w:pStyle w:val="TableParagraph"/>
              <w:tabs>
                <w:tab w:val="left" w:pos="10490"/>
              </w:tabs>
              <w:spacing w:before="60" w:after="60"/>
              <w:ind w:left="130" w:right="284"/>
              <w:rPr>
                <w:rFonts w:asciiTheme="majorHAnsi" w:hAnsiTheme="majorHAnsi"/>
                <w:sz w:val="20"/>
                <w:szCs w:val="20"/>
                <w:lang w:val="pt-BR"/>
              </w:rPr>
            </w:pP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_Ref414525557 \r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Pr>
                <w:rFonts w:asciiTheme="majorHAnsi" w:hAnsiTheme="majorHAnsi"/>
                <w:sz w:val="20"/>
                <w:szCs w:val="20"/>
                <w:lang w:val="pt-BR"/>
              </w:rPr>
              <w:t>3</w:t>
            </w:r>
            <w:r w:rsidRPr="007B3A23">
              <w:rPr>
                <w:rFonts w:asciiTheme="majorHAnsi" w:hAnsiTheme="majorHAnsi"/>
                <w:sz w:val="20"/>
                <w:szCs w:val="20"/>
                <w:lang w:val="pt-BR"/>
              </w:rPr>
              <w:fldChar w:fldCharType="end"/>
            </w:r>
            <w:r w:rsidRPr="007B3A23">
              <w:rPr>
                <w:rFonts w:asciiTheme="majorHAnsi" w:hAnsiTheme="majorHAnsi"/>
                <w:sz w:val="20"/>
                <w:szCs w:val="20"/>
                <w:lang w:val="pt-BR"/>
              </w:rPr>
              <w:t xml:space="preserve">. </w:t>
            </w:r>
            <w:r w:rsidRPr="007B3A23">
              <w:rPr>
                <w:rFonts w:asciiTheme="majorHAnsi" w:hAnsiTheme="majorHAnsi"/>
                <w:sz w:val="20"/>
                <w:szCs w:val="20"/>
                <w:lang w:val="pt-BR"/>
              </w:rPr>
              <w:fldChar w:fldCharType="begin"/>
            </w:r>
            <w:r w:rsidRPr="007B3A23">
              <w:rPr>
                <w:rFonts w:asciiTheme="majorHAnsi" w:hAnsiTheme="majorHAnsi"/>
                <w:sz w:val="20"/>
                <w:szCs w:val="20"/>
                <w:lang w:val="pt-BR"/>
              </w:rPr>
              <w:instrText xml:space="preserve"> REF _Ref414525557 \h </w:instrText>
            </w:r>
            <w:r w:rsidR="007B3A23" w:rsidRPr="007B3A23">
              <w:rPr>
                <w:rFonts w:asciiTheme="majorHAnsi" w:hAnsiTheme="majorHAnsi"/>
                <w:sz w:val="20"/>
                <w:szCs w:val="20"/>
                <w:lang w:val="pt-BR"/>
              </w:rPr>
              <w:instrText xml:space="preserve"> \* MERGEFORMAT </w:instrText>
            </w:r>
            <w:r w:rsidRPr="007B3A23">
              <w:rPr>
                <w:rFonts w:asciiTheme="majorHAnsi" w:hAnsiTheme="majorHAnsi"/>
                <w:sz w:val="20"/>
                <w:szCs w:val="20"/>
                <w:lang w:val="pt-BR"/>
              </w:rPr>
            </w:r>
            <w:r w:rsidRPr="007B3A23">
              <w:rPr>
                <w:rFonts w:asciiTheme="majorHAnsi" w:hAnsiTheme="majorHAnsi"/>
                <w:sz w:val="20"/>
                <w:szCs w:val="20"/>
                <w:lang w:val="pt-BR"/>
              </w:rPr>
              <w:fldChar w:fldCharType="separate"/>
            </w:r>
            <w:r w:rsidR="00897470" w:rsidRPr="00897470">
              <w:rPr>
                <w:rFonts w:asciiTheme="majorHAnsi" w:hAnsiTheme="majorHAnsi"/>
                <w:sz w:val="20"/>
                <w:szCs w:val="20"/>
                <w:lang w:val="pt-BR"/>
              </w:rPr>
              <w:t>CENÁRIOS ACIDENTAIS</w:t>
            </w:r>
            <w:r w:rsidRPr="007B3A23">
              <w:rPr>
                <w:rFonts w:asciiTheme="majorHAnsi" w:hAnsiTheme="majorHAnsi"/>
                <w:sz w:val="20"/>
                <w:szCs w:val="20"/>
                <w:lang w:val="pt-BR"/>
              </w:rPr>
              <w:fldChar w:fldCharType="end"/>
            </w:r>
          </w:p>
        </w:tc>
      </w:tr>
      <w:tr w:rsidR="00F6044C" w:rsidRPr="00E30CB5" w14:paraId="02406FFC"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EC7B289"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 Análise de vulnerabilidade</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E190503" w14:textId="77777777" w:rsidR="00322277" w:rsidRPr="00322277" w:rsidRDefault="00C8288F" w:rsidP="00E57F9E">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_Ref414544801 \r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Pr>
                <w:rFonts w:asciiTheme="majorHAnsi" w:hAnsiTheme="majorHAnsi"/>
                <w:sz w:val="20"/>
                <w:szCs w:val="20"/>
                <w:lang w:val="pt-BR"/>
              </w:rPr>
              <w:t>4</w:t>
            </w:r>
            <w:r w:rsidRPr="00322277">
              <w:rPr>
                <w:rFonts w:asciiTheme="majorHAnsi" w:hAnsiTheme="majorHAnsi"/>
                <w:sz w:val="20"/>
                <w:szCs w:val="20"/>
                <w:lang w:val="pt-BR"/>
              </w:rPr>
              <w:fldChar w:fldCharType="end"/>
            </w:r>
            <w:r w:rsidRPr="00322277">
              <w:rPr>
                <w:rFonts w:asciiTheme="majorHAnsi" w:hAnsiTheme="majorHAnsi"/>
                <w:sz w:val="20"/>
                <w:szCs w:val="20"/>
                <w:lang w:val="pt-BR"/>
              </w:rPr>
              <w:t xml:space="preserve">. </w:t>
            </w: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_Ref414544801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sidRPr="00897470">
              <w:rPr>
                <w:rFonts w:asciiTheme="majorHAnsi" w:hAnsiTheme="majorHAnsi"/>
                <w:sz w:val="20"/>
                <w:szCs w:val="20"/>
                <w:lang w:val="pt-BR"/>
              </w:rPr>
              <w:t>ANÁLISE DE VULNERABILIDADE</w:t>
            </w:r>
            <w:r w:rsidRPr="00322277">
              <w:rPr>
                <w:rFonts w:asciiTheme="majorHAnsi" w:hAnsiTheme="majorHAnsi"/>
                <w:sz w:val="20"/>
                <w:szCs w:val="20"/>
                <w:lang w:val="pt-BR"/>
              </w:rPr>
              <w:fldChar w:fldCharType="end"/>
            </w:r>
            <w:r w:rsidR="007B3A23" w:rsidRPr="00322277">
              <w:rPr>
                <w:rFonts w:asciiTheme="majorHAnsi" w:hAnsiTheme="majorHAnsi"/>
                <w:sz w:val="20"/>
                <w:szCs w:val="20"/>
                <w:lang w:val="pt-BR"/>
              </w:rPr>
              <w:t>; e</w:t>
            </w:r>
          </w:p>
          <w:p w14:paraId="00E23CBB" w14:textId="119AF914" w:rsidR="00F6044C" w:rsidRPr="00322277" w:rsidRDefault="00322277" w:rsidP="00E57F9E">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ANEXO</w:t>
            </w:r>
            <w:r w:rsidR="007B3A23" w:rsidRPr="00322277">
              <w:rPr>
                <w:rFonts w:asciiTheme="majorHAnsi" w:hAnsiTheme="majorHAnsi"/>
                <w:sz w:val="20"/>
                <w:szCs w:val="20"/>
                <w:lang w:val="pt-BR"/>
              </w:rPr>
              <w:t xml:space="preserve"> C</w:t>
            </w:r>
            <w:r w:rsidRPr="00322277">
              <w:rPr>
                <w:rStyle w:val="NegritoVersaleteChar"/>
                <w:b w:val="0"/>
                <w:i w:val="0"/>
                <w:smallCaps w:val="0"/>
                <w:color w:val="auto"/>
                <w:sz w:val="20"/>
                <w:lang w:val="pt-BR"/>
              </w:rPr>
              <w:t xml:space="preserve"> – </w:t>
            </w:r>
            <w:r w:rsidR="002D2F32" w:rsidRPr="003C7CAC">
              <w:rPr>
                <w:rStyle w:val="NegritoVersaleteChar"/>
                <w:b w:val="0"/>
                <w:i w:val="0"/>
                <w:smallCaps w:val="0"/>
                <w:color w:val="auto"/>
                <w:sz w:val="20"/>
                <w:lang w:val="pt-BR"/>
              </w:rPr>
              <w:t xml:space="preserve">Análise </w:t>
            </w:r>
            <w:r w:rsidR="002D2F32">
              <w:rPr>
                <w:rStyle w:val="NegritoVersaleteChar"/>
                <w:b w:val="0"/>
                <w:i w:val="0"/>
                <w:smallCaps w:val="0"/>
                <w:color w:val="auto"/>
                <w:sz w:val="20"/>
                <w:lang w:val="pt-BR"/>
              </w:rPr>
              <w:t xml:space="preserve">e Mapa </w:t>
            </w:r>
            <w:r w:rsidR="002D2F32" w:rsidRPr="003C7CAC">
              <w:rPr>
                <w:rStyle w:val="NegritoVersaleteChar"/>
                <w:b w:val="0"/>
                <w:i w:val="0"/>
                <w:smallCaps w:val="0"/>
                <w:color w:val="auto"/>
                <w:sz w:val="20"/>
                <w:lang w:val="pt-BR"/>
              </w:rPr>
              <w:t>de Vulnerabilidade</w:t>
            </w:r>
          </w:p>
        </w:tc>
      </w:tr>
      <w:tr w:rsidR="00F6044C" w:rsidRPr="00C95909" w14:paraId="7DAC69D7"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D14C3CD"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4. Treinamento de pessoal e exercícios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0A89016" w14:textId="73E22271" w:rsidR="00F6044C" w:rsidRPr="00322277" w:rsidRDefault="007B3A23" w:rsidP="00CE6488">
            <w:pPr>
              <w:pStyle w:val="TableParagraph"/>
              <w:tabs>
                <w:tab w:val="left" w:pos="10490"/>
              </w:tabs>
              <w:spacing w:before="60" w:after="60"/>
              <w:ind w:left="130"/>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C</w:t>
            </w:r>
            <w:r w:rsidR="00322277" w:rsidRPr="00322277">
              <w:rPr>
                <w:rStyle w:val="NegritoVersaleteChar"/>
                <w:b w:val="0"/>
                <w:i w:val="0"/>
                <w:smallCaps w:val="0"/>
                <w:color w:val="auto"/>
                <w:sz w:val="20"/>
                <w:lang w:val="pt-BR"/>
              </w:rPr>
              <w:t xml:space="preserve"> – Treinamentos e Simulados</w:t>
            </w:r>
          </w:p>
        </w:tc>
      </w:tr>
      <w:tr w:rsidR="00F6044C" w:rsidRPr="00E30CB5" w14:paraId="117C901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A6552BE" w14:textId="77777777" w:rsidR="00F6044C" w:rsidRPr="00E04B11" w:rsidRDefault="00F6044C" w:rsidP="00E57F9E">
            <w:pPr>
              <w:pStyle w:val="TableParagraph"/>
              <w:tabs>
                <w:tab w:val="left" w:pos="10490"/>
              </w:tabs>
              <w:spacing w:before="60" w:after="60"/>
              <w:ind w:left="130" w:right="284"/>
              <w:rPr>
                <w:rFonts w:ascii="Cambria" w:hAnsi="Cambria"/>
                <w:sz w:val="20"/>
                <w:szCs w:val="20"/>
                <w:lang w:val="pt-BR"/>
              </w:rPr>
            </w:pPr>
            <w:r w:rsidRPr="00E04B11">
              <w:rPr>
                <w:rFonts w:ascii="Cambria" w:hAnsi="Cambria"/>
                <w:sz w:val="20"/>
                <w:szCs w:val="20"/>
                <w:lang w:val="pt-BR"/>
              </w:rPr>
              <w:t>5. Referências bibliográficas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C2423C1" w14:textId="77777777" w:rsidR="00F6044C" w:rsidRPr="00E04B11" w:rsidRDefault="00C8288F" w:rsidP="00E57F9E">
            <w:pPr>
              <w:pStyle w:val="TableParagraph"/>
              <w:tabs>
                <w:tab w:val="left" w:pos="10490"/>
              </w:tabs>
              <w:spacing w:before="60" w:after="60"/>
              <w:ind w:left="130" w:right="284"/>
              <w:rPr>
                <w:rFonts w:asciiTheme="majorHAnsi" w:hAnsiTheme="majorHAnsi"/>
                <w:sz w:val="20"/>
                <w:szCs w:val="20"/>
                <w:lang w:val="pt-BR"/>
              </w:rPr>
            </w:pPr>
            <w:r w:rsidRPr="00E04B11">
              <w:rPr>
                <w:rFonts w:asciiTheme="majorHAnsi" w:hAnsiTheme="majorHAnsi"/>
                <w:sz w:val="20"/>
                <w:szCs w:val="20"/>
                <w:lang w:val="pt-BR"/>
              </w:rPr>
              <w:fldChar w:fldCharType="begin"/>
            </w:r>
            <w:r w:rsidRPr="00E04B11">
              <w:rPr>
                <w:rFonts w:asciiTheme="majorHAnsi" w:hAnsiTheme="majorHAnsi"/>
                <w:sz w:val="20"/>
                <w:szCs w:val="20"/>
                <w:lang w:val="pt-BR"/>
              </w:rPr>
              <w:instrText xml:space="preserve"> REF _Ref414612808 \r \h </w:instrText>
            </w:r>
            <w:r w:rsidR="007B3A23" w:rsidRPr="00E04B11">
              <w:rPr>
                <w:rFonts w:asciiTheme="majorHAnsi" w:hAnsiTheme="majorHAnsi"/>
                <w:sz w:val="20"/>
                <w:szCs w:val="20"/>
                <w:lang w:val="pt-BR"/>
              </w:rPr>
              <w:instrText xml:space="preserve"> \* MERGEFORMAT </w:instrText>
            </w:r>
            <w:r w:rsidRPr="00E04B11">
              <w:rPr>
                <w:rFonts w:asciiTheme="majorHAnsi" w:hAnsiTheme="majorHAnsi"/>
                <w:sz w:val="20"/>
                <w:szCs w:val="20"/>
                <w:lang w:val="pt-BR"/>
              </w:rPr>
            </w:r>
            <w:r w:rsidRPr="00E04B11">
              <w:rPr>
                <w:rFonts w:asciiTheme="majorHAnsi" w:hAnsiTheme="majorHAnsi"/>
                <w:sz w:val="20"/>
                <w:szCs w:val="20"/>
                <w:lang w:val="pt-BR"/>
              </w:rPr>
              <w:fldChar w:fldCharType="separate"/>
            </w:r>
            <w:r w:rsidR="00897470">
              <w:rPr>
                <w:rFonts w:asciiTheme="majorHAnsi" w:hAnsiTheme="majorHAnsi"/>
                <w:sz w:val="20"/>
                <w:szCs w:val="20"/>
                <w:lang w:val="pt-BR"/>
              </w:rPr>
              <w:t>13</w:t>
            </w:r>
            <w:r w:rsidRPr="00E04B11">
              <w:rPr>
                <w:rFonts w:asciiTheme="majorHAnsi" w:hAnsiTheme="majorHAnsi"/>
                <w:sz w:val="20"/>
                <w:szCs w:val="20"/>
                <w:lang w:val="pt-BR"/>
              </w:rPr>
              <w:fldChar w:fldCharType="end"/>
            </w:r>
            <w:r w:rsidRPr="00E04B11">
              <w:rPr>
                <w:rFonts w:asciiTheme="majorHAnsi" w:hAnsiTheme="majorHAnsi"/>
                <w:sz w:val="20"/>
                <w:szCs w:val="20"/>
                <w:lang w:val="pt-BR"/>
              </w:rPr>
              <w:t xml:space="preserve">. </w:t>
            </w:r>
            <w:r w:rsidRPr="00E04B11">
              <w:rPr>
                <w:rFonts w:asciiTheme="majorHAnsi" w:hAnsiTheme="majorHAnsi"/>
                <w:sz w:val="20"/>
                <w:szCs w:val="20"/>
                <w:lang w:val="pt-BR"/>
              </w:rPr>
              <w:fldChar w:fldCharType="begin"/>
            </w:r>
            <w:r w:rsidRPr="00E04B11">
              <w:rPr>
                <w:rFonts w:asciiTheme="majorHAnsi" w:hAnsiTheme="majorHAnsi"/>
                <w:sz w:val="20"/>
                <w:szCs w:val="20"/>
                <w:lang w:val="pt-BR"/>
              </w:rPr>
              <w:instrText xml:space="preserve"> REF _Ref414613019 \h </w:instrText>
            </w:r>
            <w:r w:rsidR="007B3A23" w:rsidRPr="00E04B11">
              <w:rPr>
                <w:rFonts w:asciiTheme="majorHAnsi" w:hAnsiTheme="majorHAnsi"/>
                <w:sz w:val="20"/>
                <w:szCs w:val="20"/>
                <w:lang w:val="pt-BR"/>
              </w:rPr>
              <w:instrText xml:space="preserve"> \* MERGEFORMAT </w:instrText>
            </w:r>
            <w:r w:rsidRPr="00E04B11">
              <w:rPr>
                <w:rFonts w:asciiTheme="majorHAnsi" w:hAnsiTheme="majorHAnsi"/>
                <w:sz w:val="20"/>
                <w:szCs w:val="20"/>
                <w:lang w:val="pt-BR"/>
              </w:rPr>
            </w:r>
            <w:r w:rsidRPr="00E04B11">
              <w:rPr>
                <w:rFonts w:asciiTheme="majorHAnsi" w:hAnsiTheme="majorHAnsi"/>
                <w:sz w:val="20"/>
                <w:szCs w:val="20"/>
                <w:lang w:val="pt-BR"/>
              </w:rPr>
              <w:fldChar w:fldCharType="separate"/>
            </w:r>
            <w:r w:rsidR="00897470" w:rsidRPr="00897470">
              <w:rPr>
                <w:rFonts w:asciiTheme="majorHAnsi" w:hAnsiTheme="majorHAnsi"/>
                <w:bCs/>
                <w:sz w:val="20"/>
                <w:szCs w:val="20"/>
                <w:lang w:val="pt-BR"/>
              </w:rPr>
              <w:t>REFERÊNCIAS BIBLIOGRÁFICAS</w:t>
            </w:r>
            <w:r w:rsidRPr="00E04B11">
              <w:rPr>
                <w:rFonts w:asciiTheme="majorHAnsi" w:hAnsiTheme="majorHAnsi"/>
                <w:sz w:val="20"/>
                <w:szCs w:val="20"/>
                <w:lang w:val="pt-BR"/>
              </w:rPr>
              <w:fldChar w:fldCharType="end"/>
            </w:r>
          </w:p>
        </w:tc>
      </w:tr>
      <w:tr w:rsidR="00F6044C" w:rsidRPr="00C95909" w14:paraId="01E70402"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2AF6D7B" w14:textId="77777777" w:rsidR="00F6044C" w:rsidRPr="0070789E" w:rsidRDefault="00F6044C" w:rsidP="00E57F9E">
            <w:pPr>
              <w:pStyle w:val="TableParagraph"/>
              <w:tabs>
                <w:tab w:val="left" w:pos="2268"/>
                <w:tab w:val="left" w:pos="10490"/>
              </w:tabs>
              <w:spacing w:before="60" w:after="60"/>
              <w:ind w:left="130" w:right="-25"/>
              <w:rPr>
                <w:rFonts w:ascii="Cambria" w:hAnsi="Cambria"/>
                <w:sz w:val="20"/>
                <w:szCs w:val="20"/>
                <w:lang w:val="pt-BR"/>
              </w:rPr>
            </w:pPr>
            <w:r w:rsidRPr="0070789E">
              <w:rPr>
                <w:rFonts w:ascii="Cambria" w:hAnsi="Cambria"/>
                <w:sz w:val="20"/>
                <w:szCs w:val="20"/>
                <w:lang w:val="pt-BR"/>
              </w:rPr>
              <w:t>6. Responsáveis técnicos pela elaboração do PEI</w:t>
            </w:r>
          </w:p>
        </w:tc>
        <w:tc>
          <w:tcPr>
            <w:tcW w:w="2500" w:type="pct"/>
            <w:tcBorders>
              <w:top w:val="single" w:sz="18" w:space="0" w:color="FFFFFF"/>
              <w:left w:val="single" w:sz="18" w:space="0" w:color="FFFFFF"/>
              <w:right w:val="single" w:sz="18" w:space="0" w:color="FFFFFF"/>
            </w:tcBorders>
            <w:shd w:val="clear" w:color="auto" w:fill="D9D9D9"/>
            <w:vAlign w:val="center"/>
          </w:tcPr>
          <w:p w14:paraId="4F080650" w14:textId="77777777" w:rsidR="00F6044C" w:rsidRPr="00322277" w:rsidRDefault="00C8288F" w:rsidP="00E57F9E">
            <w:pPr>
              <w:pStyle w:val="TableParagraph"/>
              <w:tabs>
                <w:tab w:val="left" w:pos="10490"/>
              </w:tabs>
              <w:spacing w:before="60" w:after="60"/>
              <w:ind w:left="130"/>
              <w:rPr>
                <w:rFonts w:asciiTheme="majorHAnsi" w:hAnsiTheme="majorHAnsi"/>
                <w:sz w:val="20"/>
                <w:szCs w:val="20"/>
                <w:lang w:val="pt-BR"/>
              </w:rPr>
            </w:pP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_Ref414612816 \r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Pr>
                <w:rFonts w:asciiTheme="majorHAnsi" w:hAnsiTheme="majorHAnsi"/>
                <w:sz w:val="20"/>
                <w:szCs w:val="20"/>
                <w:lang w:val="pt-BR"/>
              </w:rPr>
              <w:t>11</w:t>
            </w:r>
            <w:r w:rsidRPr="00322277">
              <w:rPr>
                <w:rFonts w:asciiTheme="majorHAnsi" w:hAnsiTheme="majorHAnsi"/>
                <w:sz w:val="20"/>
                <w:szCs w:val="20"/>
                <w:lang w:val="pt-BR"/>
              </w:rPr>
              <w:fldChar w:fldCharType="end"/>
            </w:r>
            <w:r w:rsidRPr="00322277">
              <w:rPr>
                <w:rFonts w:asciiTheme="majorHAnsi" w:hAnsiTheme="majorHAnsi"/>
                <w:sz w:val="20"/>
                <w:szCs w:val="20"/>
                <w:lang w:val="pt-BR"/>
              </w:rPr>
              <w:t xml:space="preserve">. </w:t>
            </w: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_Ref414613023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sidRPr="00897470">
              <w:rPr>
                <w:rFonts w:asciiTheme="majorHAnsi" w:hAnsiTheme="majorHAnsi"/>
                <w:bCs/>
                <w:sz w:val="20"/>
                <w:szCs w:val="20"/>
                <w:lang w:val="pt-BR"/>
              </w:rPr>
              <w:t>RESPONSÁVEIS TÉCNICOS PELA ELABORAÇÃO DO PEI</w:t>
            </w:r>
            <w:r w:rsidRPr="00322277">
              <w:rPr>
                <w:rFonts w:asciiTheme="majorHAnsi" w:hAnsiTheme="majorHAnsi"/>
                <w:sz w:val="20"/>
                <w:szCs w:val="20"/>
                <w:lang w:val="pt-BR"/>
              </w:rPr>
              <w:fldChar w:fldCharType="end"/>
            </w:r>
          </w:p>
        </w:tc>
      </w:tr>
      <w:tr w:rsidR="00F6044C" w:rsidRPr="00C95909" w14:paraId="125620AF"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6916525"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7. Responsáveis pela execução do PEI</w:t>
            </w:r>
          </w:p>
        </w:tc>
        <w:tc>
          <w:tcPr>
            <w:tcW w:w="2500" w:type="pct"/>
            <w:tcBorders>
              <w:left w:val="single" w:sz="18" w:space="0" w:color="FFFFFF"/>
              <w:bottom w:val="single" w:sz="18" w:space="0" w:color="FFFFFF"/>
              <w:right w:val="single" w:sz="18" w:space="0" w:color="FFFFFF"/>
            </w:tcBorders>
            <w:shd w:val="clear" w:color="auto" w:fill="D9D9D9"/>
            <w:vAlign w:val="center"/>
          </w:tcPr>
          <w:p w14:paraId="62E1FA8F" w14:textId="77777777" w:rsidR="00F6044C" w:rsidRPr="00322277" w:rsidRDefault="00C8288F" w:rsidP="00E57F9E">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_Ref414612820 \r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Pr>
                <w:rFonts w:asciiTheme="majorHAnsi" w:hAnsiTheme="majorHAnsi"/>
                <w:sz w:val="20"/>
                <w:szCs w:val="20"/>
                <w:lang w:val="pt-BR"/>
              </w:rPr>
              <w:t>12</w:t>
            </w:r>
            <w:r w:rsidRPr="00322277">
              <w:rPr>
                <w:rFonts w:asciiTheme="majorHAnsi" w:hAnsiTheme="majorHAnsi"/>
                <w:sz w:val="20"/>
                <w:szCs w:val="20"/>
                <w:lang w:val="pt-BR"/>
              </w:rPr>
              <w:fldChar w:fldCharType="end"/>
            </w:r>
            <w:r w:rsidRPr="00322277">
              <w:rPr>
                <w:rFonts w:asciiTheme="majorHAnsi" w:hAnsiTheme="majorHAnsi"/>
                <w:sz w:val="20"/>
                <w:szCs w:val="20"/>
                <w:lang w:val="pt-BR"/>
              </w:rPr>
              <w:t xml:space="preserve">. </w:t>
            </w:r>
            <w:r w:rsidRPr="00322277">
              <w:rPr>
                <w:rFonts w:asciiTheme="majorHAnsi" w:hAnsiTheme="majorHAnsi"/>
                <w:sz w:val="20"/>
                <w:szCs w:val="20"/>
                <w:lang w:val="pt-BR"/>
              </w:rPr>
              <w:fldChar w:fldCharType="begin"/>
            </w:r>
            <w:r w:rsidRPr="00322277">
              <w:rPr>
                <w:rFonts w:asciiTheme="majorHAnsi" w:hAnsiTheme="majorHAnsi"/>
                <w:sz w:val="20"/>
                <w:szCs w:val="20"/>
                <w:lang w:val="pt-BR"/>
              </w:rPr>
              <w:instrText xml:space="preserve"> REF _Ref414613028 \h </w:instrText>
            </w:r>
            <w:r w:rsidR="007B3A23" w:rsidRPr="00322277">
              <w:rPr>
                <w:rFonts w:asciiTheme="majorHAnsi" w:hAnsiTheme="majorHAnsi"/>
                <w:sz w:val="20"/>
                <w:szCs w:val="20"/>
                <w:lang w:val="pt-BR"/>
              </w:rPr>
              <w:instrText xml:space="preserve"> \* MERGEFORMAT </w:instrText>
            </w:r>
            <w:r w:rsidRPr="00322277">
              <w:rPr>
                <w:rFonts w:asciiTheme="majorHAnsi" w:hAnsiTheme="majorHAnsi"/>
                <w:sz w:val="20"/>
                <w:szCs w:val="20"/>
                <w:lang w:val="pt-BR"/>
              </w:rPr>
            </w:r>
            <w:r w:rsidRPr="00322277">
              <w:rPr>
                <w:rFonts w:asciiTheme="majorHAnsi" w:hAnsiTheme="majorHAnsi"/>
                <w:sz w:val="20"/>
                <w:szCs w:val="20"/>
                <w:lang w:val="pt-BR"/>
              </w:rPr>
              <w:fldChar w:fldCharType="separate"/>
            </w:r>
            <w:r w:rsidR="00897470" w:rsidRPr="00897470">
              <w:rPr>
                <w:rFonts w:asciiTheme="majorHAnsi" w:hAnsiTheme="majorHAnsi"/>
                <w:bCs/>
                <w:sz w:val="20"/>
                <w:szCs w:val="20"/>
                <w:lang w:val="pt-BR"/>
              </w:rPr>
              <w:t>RESPONSÁVEIS TÉCNICOS PELA EXECUÇÃO DO PEI</w:t>
            </w:r>
            <w:r w:rsidRPr="00322277">
              <w:rPr>
                <w:rFonts w:asciiTheme="majorHAnsi" w:hAnsiTheme="majorHAnsi"/>
                <w:sz w:val="20"/>
                <w:szCs w:val="20"/>
                <w:lang w:val="pt-BR"/>
              </w:rPr>
              <w:fldChar w:fldCharType="end"/>
            </w:r>
          </w:p>
        </w:tc>
      </w:tr>
    </w:tbl>
    <w:p w14:paraId="0D30A029" w14:textId="77777777" w:rsidR="00322277" w:rsidRDefault="00322277" w:rsidP="00E04B11">
      <w:pPr>
        <w:pStyle w:val="tier1Itext"/>
      </w:pPr>
      <w:r>
        <w:br w:type="page"/>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512"/>
        <w:gridCol w:w="4512"/>
      </w:tblGrid>
      <w:tr w:rsidR="00322277" w:rsidRPr="00E30CB5" w14:paraId="2D0D089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1D7CFC6B" w14:textId="77777777" w:rsidR="00322277" w:rsidRPr="008001F5" w:rsidRDefault="00322277" w:rsidP="00E57F9E">
            <w:pPr>
              <w:pStyle w:val="TITULOTAB"/>
              <w:rPr>
                <w:lang w:val="pt-BR"/>
              </w:rPr>
            </w:pPr>
            <w:r w:rsidRPr="008001F5">
              <w:rPr>
                <w:lang w:val="pt-BR"/>
              </w:rPr>
              <w:lastRenderedPageBreak/>
              <w:t>Resolução CONAMA Nº 398/08 – Anexo III</w:t>
            </w:r>
          </w:p>
        </w:tc>
        <w:tc>
          <w:tcPr>
            <w:tcW w:w="2500" w:type="pct"/>
            <w:tcBorders>
              <w:top w:val="single" w:sz="18" w:space="0" w:color="FFFFFF"/>
              <w:left w:val="single" w:sz="18" w:space="0" w:color="FFFFFF"/>
              <w:bottom w:val="single" w:sz="18" w:space="0" w:color="FFFFFF"/>
              <w:right w:val="single" w:sz="18" w:space="0" w:color="FFFFFF"/>
            </w:tcBorders>
            <w:shd w:val="clear" w:color="auto" w:fill="1F497D"/>
            <w:vAlign w:val="center"/>
          </w:tcPr>
          <w:p w14:paraId="5EEC5F33" w14:textId="60CA21FB" w:rsidR="00322277" w:rsidRPr="004269ED" w:rsidRDefault="00322277" w:rsidP="00E57F9E">
            <w:pPr>
              <w:pStyle w:val="TITULOTAB"/>
              <w:rPr>
                <w:lang w:val="pt-BR"/>
              </w:rPr>
            </w:pPr>
            <w:r w:rsidRPr="004269ED">
              <w:rPr>
                <w:lang w:val="pt-BR"/>
              </w:rPr>
              <w:t>Plano de Emergência Individual FZA-M-59</w:t>
            </w:r>
          </w:p>
        </w:tc>
      </w:tr>
      <w:tr w:rsidR="00F6044C" w:rsidRPr="00C95909" w14:paraId="2597C5E7"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80E3867" w14:textId="77777777" w:rsidR="00F6044C" w:rsidRPr="0070789E" w:rsidRDefault="00F6044C"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1. Dimensionamento da capacidade de resposta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496BB30" w14:textId="3516E8C7" w:rsidR="00F6044C" w:rsidRPr="00322277" w:rsidRDefault="007B3A23"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00322277" w:rsidRPr="00322277">
              <w:rPr>
                <w:rStyle w:val="NegritoVersaleteChar"/>
                <w:b w:val="0"/>
                <w:i w:val="0"/>
                <w:smallCaps w:val="0"/>
                <w:color w:val="auto"/>
                <w:sz w:val="20"/>
                <w:lang w:val="pt-BR"/>
              </w:rPr>
              <w:t xml:space="preserve"> – Dimensionamento da Capacidade de Resposta</w:t>
            </w:r>
          </w:p>
        </w:tc>
      </w:tr>
      <w:tr w:rsidR="00322277" w:rsidRPr="0027054E" w14:paraId="11A4580D" w14:textId="77777777" w:rsidTr="00E57F9E">
        <w:trPr>
          <w:trHeight w:val="20"/>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D9D9D9"/>
            <w:vAlign w:val="center"/>
          </w:tcPr>
          <w:p w14:paraId="4A9001DD" w14:textId="77777777" w:rsidR="00322277" w:rsidRPr="00322277" w:rsidRDefault="00322277" w:rsidP="00E57F9E">
            <w:pPr>
              <w:pStyle w:val="TableParagraph"/>
              <w:tabs>
                <w:tab w:val="left" w:pos="10490"/>
              </w:tabs>
              <w:spacing w:before="60" w:after="60"/>
              <w:ind w:left="130" w:right="284"/>
              <w:rPr>
                <w:rFonts w:asciiTheme="majorHAnsi" w:hAnsiTheme="majorHAnsi"/>
                <w:sz w:val="20"/>
                <w:szCs w:val="20"/>
                <w:lang w:val="pt-BR"/>
              </w:rPr>
            </w:pPr>
            <w:r w:rsidRPr="0070789E">
              <w:rPr>
                <w:rFonts w:ascii="Cambria" w:hAnsi="Cambria"/>
                <w:sz w:val="20"/>
                <w:szCs w:val="20"/>
                <w:lang w:val="pt-BR"/>
              </w:rPr>
              <w:t>2. Capacidade de resposta</w:t>
            </w:r>
            <w:r>
              <w:rPr>
                <w:rFonts w:ascii="Cambria" w:hAnsi="Cambria"/>
                <w:sz w:val="20"/>
                <w:szCs w:val="20"/>
                <w:lang w:val="pt-BR"/>
              </w:rPr>
              <w:t>:</w:t>
            </w:r>
          </w:p>
        </w:tc>
      </w:tr>
      <w:tr w:rsidR="00322277" w:rsidRPr="00E30CB5" w14:paraId="3AE41D22"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8D29940"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2.1. Barreiras de contenção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24E24BB" w14:textId="7C1453E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52190849"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C3E7D4A"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2.2. Recolhedores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45954D9" w14:textId="7536C4D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3D294EC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55FB13D"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2.3. Dispersantes químicos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31F2708" w14:textId="72145CE4"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1679B895"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4BEE45A"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2.4. Dispersão mecânica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A4B5145" w14:textId="38C5C7BA"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66421950"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56AAF0E9"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2.5. Armazenamento temporário</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76E9111A" w14:textId="132AB1FC"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E30CB5" w14:paraId="40632AE4"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10D21078"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2.6. Absorventes</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5CE8F7A" w14:textId="1CA3304F"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r w:rsidR="00322277" w:rsidRPr="0027054E" w14:paraId="19E28835" w14:textId="77777777" w:rsidTr="00E57F9E">
        <w:trPr>
          <w:trHeight w:val="20"/>
        </w:trPr>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37713210" w14:textId="77777777" w:rsidR="00322277" w:rsidRPr="0070789E" w:rsidRDefault="00322277" w:rsidP="00E57F9E">
            <w:pPr>
              <w:pStyle w:val="TableParagraph"/>
              <w:tabs>
                <w:tab w:val="left" w:pos="10490"/>
              </w:tabs>
              <w:spacing w:before="60" w:after="60"/>
              <w:ind w:left="130" w:right="284"/>
              <w:rPr>
                <w:rFonts w:ascii="Cambria" w:hAnsi="Cambria"/>
                <w:sz w:val="20"/>
                <w:szCs w:val="20"/>
                <w:lang w:val="pt-BR"/>
              </w:rPr>
            </w:pPr>
            <w:r w:rsidRPr="0070789E">
              <w:rPr>
                <w:rFonts w:ascii="Cambria" w:hAnsi="Cambria"/>
                <w:sz w:val="20"/>
                <w:szCs w:val="20"/>
                <w:lang w:val="pt-BR"/>
              </w:rPr>
              <w:t>3. Recursos materiais para plataforma</w:t>
            </w:r>
          </w:p>
        </w:tc>
        <w:tc>
          <w:tcPr>
            <w:tcW w:w="2500"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C9A635C" w14:textId="5EA87AE8" w:rsidR="00322277" w:rsidRPr="00322277" w:rsidRDefault="00322277" w:rsidP="00CE6488">
            <w:pPr>
              <w:pStyle w:val="TableParagraph"/>
              <w:tabs>
                <w:tab w:val="left" w:pos="10490"/>
              </w:tabs>
              <w:spacing w:before="60" w:after="60"/>
              <w:ind w:left="130" w:right="284"/>
              <w:rPr>
                <w:rFonts w:asciiTheme="majorHAnsi" w:hAnsiTheme="majorHAnsi"/>
                <w:sz w:val="20"/>
                <w:szCs w:val="20"/>
                <w:lang w:val="pt-BR"/>
              </w:rPr>
            </w:pPr>
            <w:r w:rsidRPr="00322277">
              <w:rPr>
                <w:rFonts w:asciiTheme="majorHAnsi" w:hAnsiTheme="majorHAnsi"/>
                <w:sz w:val="20"/>
                <w:szCs w:val="20"/>
                <w:lang w:val="pt-BR"/>
              </w:rPr>
              <w:t xml:space="preserve">APÊNDICE </w:t>
            </w:r>
            <w:r w:rsidR="00CE6488">
              <w:rPr>
                <w:rFonts w:asciiTheme="majorHAnsi" w:hAnsiTheme="majorHAnsi"/>
                <w:sz w:val="20"/>
                <w:szCs w:val="20"/>
                <w:lang w:val="pt-BR"/>
              </w:rPr>
              <w:t>E</w:t>
            </w:r>
            <w:r w:rsidRPr="00322277">
              <w:rPr>
                <w:rStyle w:val="NegritoVersaleteChar"/>
                <w:b w:val="0"/>
                <w:i w:val="0"/>
                <w:smallCaps w:val="0"/>
                <w:color w:val="auto"/>
                <w:sz w:val="20"/>
                <w:lang w:val="pt-BR"/>
              </w:rPr>
              <w:t xml:space="preserve"> – Dimensionamento da Capacidade de Resposta</w:t>
            </w:r>
          </w:p>
        </w:tc>
      </w:tr>
    </w:tbl>
    <w:p w14:paraId="22900D2E" w14:textId="77777777" w:rsidR="005E32C0" w:rsidRPr="00322277" w:rsidRDefault="005E32C0" w:rsidP="00150CAE">
      <w:pPr>
        <w:pStyle w:val="tier1Itext"/>
      </w:pPr>
    </w:p>
    <w:p w14:paraId="0B5672D5" w14:textId="77777777" w:rsidR="00150CAE" w:rsidRDefault="00150CAE" w:rsidP="00150CAE">
      <w:pPr>
        <w:pStyle w:val="tier1Itext"/>
        <w:sectPr w:rsidR="00150CAE" w:rsidSect="00656D39">
          <w:headerReference w:type="default" r:id="rId16"/>
          <w:footerReference w:type="default" r:id="rId17"/>
          <w:pgSz w:w="11906" w:h="16840" w:code="9"/>
          <w:pgMar w:top="1418" w:right="1418" w:bottom="1418" w:left="1418" w:header="170" w:footer="0" w:gutter="0"/>
          <w:pgNumType w:fmt="lowerRoman" w:start="1"/>
          <w:cols w:space="708"/>
          <w:docGrid w:linePitch="360"/>
        </w:sectPr>
      </w:pPr>
      <w:bookmarkStart w:id="2" w:name="_Toc391298539"/>
      <w:bookmarkStart w:id="3" w:name="_Toc391299266"/>
      <w:bookmarkStart w:id="4" w:name="_Toc391298540"/>
      <w:bookmarkStart w:id="5" w:name="_Toc391299267"/>
      <w:bookmarkStart w:id="6" w:name="_Toc391298541"/>
      <w:bookmarkStart w:id="7" w:name="_Toc391299268"/>
      <w:bookmarkStart w:id="8" w:name="_Toc391298546"/>
      <w:bookmarkStart w:id="9" w:name="_Toc391299273"/>
      <w:bookmarkStart w:id="10" w:name="_Toc391298547"/>
      <w:bookmarkStart w:id="11" w:name="_Toc391299274"/>
      <w:bookmarkStart w:id="12" w:name="_Toc391298548"/>
      <w:bookmarkStart w:id="13" w:name="_Toc391299275"/>
      <w:bookmarkStart w:id="14" w:name="_Toc391298549"/>
      <w:bookmarkStart w:id="15" w:name="_Toc391299276"/>
      <w:bookmarkStart w:id="16" w:name="_Toc400041385"/>
      <w:bookmarkStart w:id="17" w:name="_Toc330559647"/>
      <w:bookmarkEnd w:id="2"/>
      <w:bookmarkEnd w:id="3"/>
      <w:bookmarkEnd w:id="4"/>
      <w:bookmarkEnd w:id="5"/>
      <w:bookmarkEnd w:id="6"/>
      <w:bookmarkEnd w:id="7"/>
      <w:bookmarkEnd w:id="8"/>
      <w:bookmarkEnd w:id="9"/>
      <w:bookmarkEnd w:id="10"/>
      <w:bookmarkEnd w:id="11"/>
      <w:bookmarkEnd w:id="12"/>
      <w:bookmarkEnd w:id="13"/>
      <w:bookmarkEnd w:id="14"/>
      <w:bookmarkEnd w:id="15"/>
    </w:p>
    <w:p w14:paraId="0E80160C" w14:textId="77777777" w:rsidR="0039465D" w:rsidRPr="00CE6488" w:rsidRDefault="00C070E1" w:rsidP="00C3335E">
      <w:pPr>
        <w:pStyle w:val="Heading1"/>
      </w:pPr>
      <w:bookmarkStart w:id="18" w:name="_Ref414612756"/>
      <w:bookmarkStart w:id="19" w:name="_Ref414612993"/>
      <w:bookmarkStart w:id="20" w:name="_Toc523833874"/>
      <w:r w:rsidRPr="00CE6488">
        <w:lastRenderedPageBreak/>
        <w:t>INTROD</w:t>
      </w:r>
      <w:bookmarkEnd w:id="16"/>
      <w:r w:rsidR="000F3DA6" w:rsidRPr="00CE6488">
        <w:t>UÇÃO</w:t>
      </w:r>
      <w:bookmarkEnd w:id="18"/>
      <w:bookmarkEnd w:id="19"/>
      <w:bookmarkEnd w:id="20"/>
    </w:p>
    <w:p w14:paraId="62DA7478" w14:textId="533BBCA1" w:rsidR="00707CE1" w:rsidRPr="00EE0E12" w:rsidRDefault="00707CE1" w:rsidP="00723A97">
      <w:pPr>
        <w:pStyle w:val="tier1Itext"/>
      </w:pPr>
      <w:r w:rsidRPr="00EE0E12">
        <w:t>O presente documento constitui o Plano de Emergência Individual para incidentes de poluição por óleo</w:t>
      </w:r>
      <w:r w:rsidRPr="00EE0E12">
        <w:rPr>
          <w:b/>
        </w:rPr>
        <w:t xml:space="preserve"> </w:t>
      </w:r>
      <w:r w:rsidRPr="00EE0E12">
        <w:t xml:space="preserve">no mar, eventualmente originados durante a atividade </w:t>
      </w:r>
      <w:r w:rsidR="0049107D">
        <w:t xml:space="preserve">da unidade de perfuração ENSCO DS-9 na </w:t>
      </w:r>
      <w:r w:rsidRPr="00EE0E12">
        <w:t>perfuração marítima exploratória da BP Energy do Brasil Ltda. no Bloco FZA-M-59, situado no setor SFZA-AP1 da Bacia de Foz do Amazonas (FZA) (</w:t>
      </w:r>
      <w:r w:rsidRPr="00EE0E12">
        <w:rPr>
          <w:b/>
        </w:rPr>
        <w:fldChar w:fldCharType="begin"/>
      </w:r>
      <w:r w:rsidRPr="00EE0E12">
        <w:rPr>
          <w:b/>
        </w:rPr>
        <w:instrText xml:space="preserve"> REF _Ref408493338 \h  \* MERGEFORMAT </w:instrText>
      </w:r>
      <w:r w:rsidRPr="00EE0E12">
        <w:rPr>
          <w:b/>
        </w:rPr>
      </w:r>
      <w:r w:rsidRPr="00EE0E12">
        <w:rPr>
          <w:b/>
        </w:rPr>
        <w:fldChar w:fldCharType="separate"/>
      </w:r>
      <w:r w:rsidR="00897470" w:rsidRPr="00897470">
        <w:rPr>
          <w:b/>
        </w:rPr>
        <w:t xml:space="preserve">Figura </w:t>
      </w:r>
      <w:r w:rsidR="00897470" w:rsidRPr="00897470">
        <w:rPr>
          <w:b/>
          <w:noProof/>
        </w:rPr>
        <w:t>1</w:t>
      </w:r>
      <w:r w:rsidRPr="00EE0E12">
        <w:rPr>
          <w:b/>
        </w:rPr>
        <w:fldChar w:fldCharType="end"/>
      </w:r>
      <w:r w:rsidRPr="00B22B6F">
        <w:t>)</w:t>
      </w:r>
      <w:r w:rsidRPr="00EE0E12">
        <w:t>.</w:t>
      </w:r>
    </w:p>
    <w:p w14:paraId="71B2FC94" w14:textId="77777777" w:rsidR="00707CE1" w:rsidRPr="00EE0E12" w:rsidRDefault="00946134" w:rsidP="00946134">
      <w:pPr>
        <w:pStyle w:val="tier1Itext"/>
        <w:spacing w:before="0" w:after="0" w:line="240" w:lineRule="auto"/>
      </w:pPr>
      <w:r>
        <w:rPr>
          <w:noProof/>
          <w:lang w:val="en-US"/>
        </w:rPr>
        <w:drawing>
          <wp:inline distT="0" distB="0" distL="0" distR="0" wp14:anchorId="4E8D5A98" wp14:editId="3D056130">
            <wp:extent cx="5754900" cy="4072131"/>
            <wp:effectExtent l="0" t="0" r="0" b="508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atricia.meg\AppData\Roaming\Skype\pat.meg\media_messaging\media_cache\^BC295634264D935D9866D8C2319BA6D470254811FF7BB9FF7B^pimgpsh_fullsize_distr.jp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5754900" cy="4072131"/>
                    </a:xfrm>
                    <a:prstGeom prst="rect">
                      <a:avLst/>
                    </a:prstGeom>
                    <a:noFill/>
                    <a:ln>
                      <a:noFill/>
                    </a:ln>
                  </pic:spPr>
                </pic:pic>
              </a:graphicData>
            </a:graphic>
          </wp:inline>
        </w:drawing>
      </w:r>
    </w:p>
    <w:p w14:paraId="7A90A390" w14:textId="2480C699" w:rsidR="00707CE1" w:rsidRPr="003252AA" w:rsidRDefault="00707CE1" w:rsidP="007C0F9B">
      <w:pPr>
        <w:pStyle w:val="Caption"/>
        <w:spacing w:before="0" w:line="240" w:lineRule="auto"/>
      </w:pPr>
      <w:bookmarkStart w:id="21" w:name="_Ref408493338"/>
      <w:bookmarkStart w:id="22" w:name="_Toc409019694"/>
      <w:bookmarkStart w:id="23" w:name="_Toc413412283"/>
      <w:bookmarkStart w:id="24" w:name="_Toc413663928"/>
      <w:bookmarkStart w:id="25" w:name="_Toc523833966"/>
      <w:r w:rsidRPr="003252AA">
        <w:t xml:space="preserve">Figura </w:t>
      </w:r>
      <w:fldSimple w:instr=" SEQ Figura \* ARABIC ">
        <w:r w:rsidR="00897470">
          <w:rPr>
            <w:noProof/>
          </w:rPr>
          <w:t>1</w:t>
        </w:r>
      </w:fldSimple>
      <w:bookmarkEnd w:id="21"/>
      <w:r w:rsidRPr="003252AA">
        <w:t>: Bloco FZA-M-59, Bacia da Foz do Rio Amazonas (FZA)</w:t>
      </w:r>
      <w:bookmarkEnd w:id="22"/>
      <w:r w:rsidR="007C0F9B" w:rsidRPr="003252AA">
        <w:t xml:space="preserve"> (</w:t>
      </w:r>
      <w:r w:rsidR="00B86422">
        <w:t>Fonte: Witt|O’Brien’s</w:t>
      </w:r>
      <w:r w:rsidR="007C0F9B" w:rsidRPr="003252AA">
        <w:t>)</w:t>
      </w:r>
      <w:r w:rsidRPr="003252AA">
        <w:t>.</w:t>
      </w:r>
      <w:bookmarkEnd w:id="23"/>
      <w:bookmarkEnd w:id="24"/>
      <w:bookmarkEnd w:id="25"/>
    </w:p>
    <w:p w14:paraId="19DFB770" w14:textId="42DC0368" w:rsidR="00707CE1" w:rsidRPr="00EE0E12" w:rsidRDefault="00707CE1" w:rsidP="007C0F9B">
      <w:pPr>
        <w:pStyle w:val="tier1Itext"/>
        <w:spacing w:before="360"/>
      </w:pPr>
      <w:r w:rsidRPr="00EE0E12">
        <w:t>Em conformidade com a Resolução CONAMA n° 398, de 11 de junho de 2008, este Plano define as atribuições e responsabilidades dos membros da Estrutura Organizacional de Resposta (EOR) à emergência</w:t>
      </w:r>
      <w:r w:rsidR="00B07A0A">
        <w:t>s</w:t>
      </w:r>
      <w:r w:rsidRPr="00EE0E12">
        <w:t xml:space="preserve"> da BP</w:t>
      </w:r>
      <w:r w:rsidR="00BA4A90">
        <w:t xml:space="preserve"> Energy do Brasil (BP Energy)</w:t>
      </w:r>
      <w:r w:rsidRPr="00EE0E12">
        <w:t xml:space="preserve">; </w:t>
      </w:r>
      <w:r w:rsidR="0049107D">
        <w:t xml:space="preserve">apresenta as funções exercidas pelo membros da ENSCO a bordo da DS-9; </w:t>
      </w:r>
      <w:r w:rsidRPr="00EE0E12">
        <w:t xml:space="preserve">lista os recursos </w:t>
      </w:r>
      <w:r w:rsidR="00B07A0A">
        <w:t xml:space="preserve">humanos e </w:t>
      </w:r>
      <w:r w:rsidRPr="00EE0E12">
        <w:t xml:space="preserve">materiais previstos para a implementação das ações de resposta; e descreve os procedimentos de gerenciamento e de resposta tática </w:t>
      </w:r>
      <w:r w:rsidR="0049107D">
        <w:t>a</w:t>
      </w:r>
      <w:r w:rsidRPr="00EE0E12">
        <w:t xml:space="preserve"> emergência</w:t>
      </w:r>
      <w:r w:rsidR="0049107D">
        <w:t>s com vazamento de óleo</w:t>
      </w:r>
      <w:r w:rsidRPr="00EE0E12">
        <w:t>.</w:t>
      </w:r>
    </w:p>
    <w:p w14:paraId="368CFB5C" w14:textId="50634E69" w:rsidR="00707CE1" w:rsidRPr="00EE0E12" w:rsidRDefault="00707CE1" w:rsidP="00723A97">
      <w:pPr>
        <w:pStyle w:val="tier1Itext"/>
      </w:pPr>
      <w:r w:rsidRPr="00EE0E12">
        <w:t xml:space="preserve">Cabe salientar que as ações previstas neste Plano foram planejadas para atendimento aos cenários acidentais inerentes às operações da unidade </w:t>
      </w:r>
      <w:r w:rsidR="00BA4A90" w:rsidRPr="00C45C9A">
        <w:t>de perfuração</w:t>
      </w:r>
      <w:r w:rsidRPr="00EE0E12">
        <w:t>, e para aqueles envolvendo as embarcações que suportarão as atividades de perfuração</w:t>
      </w:r>
      <w:r w:rsidR="0049107D">
        <w:t xml:space="preserve">, quando em operação junto a esta unidade,  </w:t>
      </w:r>
      <w:r w:rsidRPr="00EE0E12">
        <w:t xml:space="preserve">quando resultarem em </w:t>
      </w:r>
      <w:r w:rsidR="0049107D">
        <w:t xml:space="preserve">eventos de </w:t>
      </w:r>
      <w:r w:rsidRPr="00EE0E12">
        <w:t>poluição por óleo no mar.</w:t>
      </w:r>
    </w:p>
    <w:p w14:paraId="5993D0B0" w14:textId="72DE0FE4" w:rsidR="00707CE1" w:rsidRPr="00EE0E12" w:rsidRDefault="00707CE1" w:rsidP="00723A97">
      <w:pPr>
        <w:pStyle w:val="tier1Itext"/>
      </w:pPr>
      <w:r w:rsidRPr="00EE0E12">
        <w:lastRenderedPageBreak/>
        <w:t xml:space="preserve">Este PEI não é aplicável, portanto, aos incidentes com derramamento de óleo restrito às instalações da unidade </w:t>
      </w:r>
      <w:r w:rsidR="00BA4A90">
        <w:t>de perfuração</w:t>
      </w:r>
      <w:r w:rsidR="00BA4A90" w:rsidRPr="00EE0E12">
        <w:t xml:space="preserve"> </w:t>
      </w:r>
      <w:r w:rsidRPr="00EE0E12">
        <w:t xml:space="preserve">e dos barcos de apoio, cujas respostas </w:t>
      </w:r>
      <w:r w:rsidR="00DC73C0">
        <w:t>estão</w:t>
      </w:r>
      <w:r w:rsidRPr="00EE0E12">
        <w:t xml:space="preserve"> contempladas nos </w:t>
      </w:r>
      <w:r w:rsidRPr="00EE0E12">
        <w:rPr>
          <w:i/>
        </w:rPr>
        <w:t xml:space="preserve">Shipboard Oil Pollution Emergency Plans </w:t>
      </w:r>
      <w:r w:rsidRPr="00EE0E12">
        <w:t>(SOPEPs) dessas instalações.</w:t>
      </w:r>
    </w:p>
    <w:p w14:paraId="16B9C8BB" w14:textId="2FADCB27" w:rsidR="00707CE1" w:rsidRDefault="00707CE1" w:rsidP="00723A97">
      <w:pPr>
        <w:pStyle w:val="tier1Itext"/>
      </w:pPr>
      <w:r w:rsidRPr="00EE0E12">
        <w:t>Da mesma forma, também não estão contempladas as respostas aos incidentes ocorridos na instalação terrestre a ser utilizada como base de apoio logístico. Tais incidentes serão combatidos no âmbito do Plano de Emergência Individual d</w:t>
      </w:r>
      <w:r w:rsidR="00BA4A90">
        <w:t>est</w:t>
      </w:r>
      <w:r w:rsidRPr="00EE0E12">
        <w:t>a unidade.</w:t>
      </w:r>
    </w:p>
    <w:p w14:paraId="39577248" w14:textId="77777777" w:rsidR="00DC73C0" w:rsidRPr="00EE0E12" w:rsidRDefault="00DC73C0" w:rsidP="00723A97">
      <w:pPr>
        <w:pStyle w:val="tier1Itext"/>
      </w:pPr>
    </w:p>
    <w:p w14:paraId="70566AC6" w14:textId="77777777" w:rsidR="000F3DA6" w:rsidRPr="00CE6488" w:rsidRDefault="000F3DA6" w:rsidP="00C3335E">
      <w:pPr>
        <w:pStyle w:val="Heading1"/>
        <w:rPr>
          <w:lang w:val="pt-BR"/>
        </w:rPr>
      </w:pPr>
      <w:bookmarkStart w:id="26" w:name="_Ref414611892"/>
      <w:bookmarkStart w:id="27" w:name="_Ref414611898"/>
      <w:bookmarkStart w:id="28" w:name="_Ref414611906"/>
      <w:bookmarkStart w:id="29" w:name="_Ref414611934"/>
      <w:bookmarkStart w:id="30" w:name="_Ref414612112"/>
      <w:bookmarkStart w:id="31" w:name="_Ref414612128"/>
      <w:bookmarkStart w:id="32" w:name="_Toc523833875"/>
      <w:r w:rsidRPr="00CE6488">
        <w:rPr>
          <w:lang w:val="pt-BR"/>
        </w:rPr>
        <w:t>IDENTIFICAÇÃO DA INSTALAÇÃO E CARACTERIZAÇÃO DAS ATIVIDADES</w:t>
      </w:r>
      <w:bookmarkEnd w:id="26"/>
      <w:bookmarkEnd w:id="27"/>
      <w:bookmarkEnd w:id="28"/>
      <w:bookmarkEnd w:id="29"/>
      <w:bookmarkEnd w:id="30"/>
      <w:bookmarkEnd w:id="31"/>
      <w:bookmarkEnd w:id="32"/>
    </w:p>
    <w:p w14:paraId="3E4B1AA7" w14:textId="605B470A" w:rsidR="00707CE1" w:rsidRPr="005A6D9E" w:rsidRDefault="00707CE1" w:rsidP="00723A97">
      <w:pPr>
        <w:pStyle w:val="tier1Itext"/>
      </w:pPr>
      <w:r w:rsidRPr="00EE0E12">
        <w:t>Durante a 11ª Rodada de Licitações da Agência Nacional do Petróleo, Gás e Biocombustíveis (ANP), realizada em 2013, a BP Energy</w:t>
      </w:r>
      <w:r w:rsidRPr="00B43B3F">
        <w:t xml:space="preserve"> obteve</w:t>
      </w:r>
      <w:r w:rsidRPr="00EE0E12">
        <w:t xml:space="preserve"> a concessão do Bloco FZA-M-59, em parceira com a Petróleo Brasileiro S.A.</w:t>
      </w:r>
      <w:r w:rsidR="005A6D9E">
        <w:t xml:space="preserve"> (Petrobras).</w:t>
      </w:r>
      <w:r w:rsidRPr="00EE0E12">
        <w:t xml:space="preserve"> Com 70% de participação no ativo, a BP Energy atuará como empresa operadora durante a atividade de perfuração marítima de poços no Bloco. Neste contexto, e em atendimento à Resolução CONAMA n° 398/2008, a </w:t>
      </w:r>
      <w:r w:rsidRPr="00EE0E12">
        <w:rPr>
          <w:b/>
        </w:rPr>
        <w:fldChar w:fldCharType="begin"/>
      </w:r>
      <w:r w:rsidRPr="00EE0E12">
        <w:rPr>
          <w:b/>
        </w:rPr>
        <w:instrText xml:space="preserve"> REF _Ref412568101 \h  \* MERGEFORMAT </w:instrText>
      </w:r>
      <w:r w:rsidRPr="00EE0E12">
        <w:rPr>
          <w:b/>
        </w:rPr>
      </w:r>
      <w:r w:rsidRPr="00EE0E12">
        <w:rPr>
          <w:b/>
        </w:rPr>
        <w:fldChar w:fldCharType="separate"/>
      </w:r>
      <w:r w:rsidR="00897470" w:rsidRPr="00897470">
        <w:rPr>
          <w:b/>
          <w:szCs w:val="22"/>
        </w:rPr>
        <w:t xml:space="preserve">Tabela </w:t>
      </w:r>
      <w:r w:rsidR="00897470" w:rsidRPr="00897470">
        <w:rPr>
          <w:b/>
          <w:noProof/>
          <w:szCs w:val="22"/>
        </w:rPr>
        <w:t>1</w:t>
      </w:r>
      <w:r w:rsidRPr="00EE0E12">
        <w:rPr>
          <w:b/>
        </w:rPr>
        <w:fldChar w:fldCharType="end"/>
      </w:r>
      <w:r w:rsidRPr="00EE0E12">
        <w:t xml:space="preserve"> e a </w:t>
      </w:r>
      <w:r w:rsidR="00C45C9A" w:rsidRPr="0085528A">
        <w:rPr>
          <w:b/>
        </w:rPr>
        <w:fldChar w:fldCharType="begin"/>
      </w:r>
      <w:r w:rsidR="00C45C9A" w:rsidRPr="0085528A">
        <w:rPr>
          <w:b/>
        </w:rPr>
        <w:instrText xml:space="preserve"> REF _Ref415057542 \h  \* MERGEFORMAT </w:instrText>
      </w:r>
      <w:r w:rsidR="00C45C9A" w:rsidRPr="0085528A">
        <w:rPr>
          <w:b/>
        </w:rPr>
      </w:r>
      <w:r w:rsidR="00C45C9A" w:rsidRPr="0085528A">
        <w:rPr>
          <w:b/>
        </w:rPr>
        <w:fldChar w:fldCharType="separate"/>
      </w:r>
      <w:r w:rsidR="00897470" w:rsidRPr="00897470">
        <w:rPr>
          <w:b/>
        </w:rPr>
        <w:t xml:space="preserve">Tabela </w:t>
      </w:r>
      <w:r w:rsidR="00897470" w:rsidRPr="00897470">
        <w:rPr>
          <w:b/>
          <w:noProof/>
        </w:rPr>
        <w:t>2</w:t>
      </w:r>
      <w:r w:rsidR="00C45C9A" w:rsidRPr="0085528A">
        <w:rPr>
          <w:b/>
        </w:rPr>
        <w:fldChar w:fldCharType="end"/>
      </w:r>
      <w:r w:rsidR="0085528A">
        <w:t xml:space="preserve"> </w:t>
      </w:r>
      <w:r w:rsidRPr="00EE0E12">
        <w:t>apresentam respectivamente os dados cadastrais da BP Energy</w:t>
      </w:r>
      <w:r w:rsidR="004C0B64">
        <w:t>,</w:t>
      </w:r>
      <w:r w:rsidRPr="00EE0E12">
        <w:t xml:space="preserve"> </w:t>
      </w:r>
      <w:r w:rsidR="004C414F">
        <w:t xml:space="preserve">e os dados </w:t>
      </w:r>
      <w:r w:rsidRPr="00EE0E12">
        <w:t>do seu Representante Legal</w:t>
      </w:r>
      <w:r w:rsidR="00194801">
        <w:rPr>
          <w:rStyle w:val="FootnoteReference"/>
        </w:rPr>
        <w:footnoteReference w:id="2"/>
      </w:r>
      <w:r w:rsidR="00194801">
        <w:t xml:space="preserve"> </w:t>
      </w:r>
      <w:r w:rsidRPr="00EE0E12">
        <w:t xml:space="preserve">e do Responsável Técnico. O Coordenador das Ações de Resposta é representado por uma posição específica no Sistema de Gerenciamento de Incidentes da BP Energy, o Comandante do Incidente (IC </w:t>
      </w:r>
      <w:r w:rsidR="004C0B64">
        <w:t>–</w:t>
      </w:r>
      <w:r w:rsidRPr="00EE0E12">
        <w:t xml:space="preserve"> </w:t>
      </w:r>
      <w:r w:rsidRPr="00EE0E12">
        <w:rPr>
          <w:i/>
        </w:rPr>
        <w:t>Incident Commander</w:t>
      </w:r>
      <w:r w:rsidRPr="00EE0E12">
        <w:t>)</w:t>
      </w:r>
      <w:r w:rsidR="004C0B64">
        <w:t>,</w:t>
      </w:r>
      <w:r w:rsidRPr="00EE0E12">
        <w:t xml:space="preserve"> no momento da ocorrência de um vazamento, dentre as pessoas de seu corpo técnico, treinadas e capacitadas para </w:t>
      </w:r>
      <w:r w:rsidR="00DC73C0">
        <w:t>exercerem</w:t>
      </w:r>
      <w:r w:rsidR="004C0B64" w:rsidRPr="00EE0E12">
        <w:t xml:space="preserve"> </w:t>
      </w:r>
      <w:r w:rsidRPr="00EE0E12">
        <w:t>esta posição.</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4236"/>
        <w:gridCol w:w="4788"/>
      </w:tblGrid>
      <w:tr w:rsidR="00707CE1" w:rsidRPr="002C2D05" w14:paraId="55C833DE" w14:textId="77777777" w:rsidTr="008766E9">
        <w:trPr>
          <w:trHeight w:val="340"/>
          <w:tblHeader/>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auto"/>
            <w:noWrap/>
            <w:vAlign w:val="bottom"/>
            <w:hideMark/>
          </w:tcPr>
          <w:p w14:paraId="624A41B9" w14:textId="77777777" w:rsidR="00707CE1" w:rsidRPr="00EE0E12" w:rsidRDefault="00707CE1" w:rsidP="008766E9">
            <w:pPr>
              <w:pStyle w:val="Caption"/>
              <w:spacing w:before="0" w:after="0" w:line="240" w:lineRule="auto"/>
              <w:jc w:val="left"/>
              <w:rPr>
                <w:rFonts w:cs="Calibri"/>
                <w:color w:val="FFFFFF"/>
              </w:rPr>
            </w:pPr>
            <w:bookmarkStart w:id="33" w:name="_Ref412568101"/>
            <w:bookmarkStart w:id="34" w:name="_Toc412642138"/>
            <w:bookmarkStart w:id="35" w:name="_Toc523834033"/>
            <w:r w:rsidRPr="00EE0E12">
              <w:t xml:space="preserve">Tabela </w:t>
            </w:r>
            <w:fldSimple w:instr=" SEQ Tabela \* ARABIC ">
              <w:r w:rsidR="00897470">
                <w:rPr>
                  <w:noProof/>
                </w:rPr>
                <w:t>1</w:t>
              </w:r>
            </w:fldSimple>
            <w:bookmarkEnd w:id="33"/>
            <w:r w:rsidRPr="00EE0E12">
              <w:t>: Informações da empresa operadora.</w:t>
            </w:r>
            <w:bookmarkEnd w:id="34"/>
            <w:bookmarkEnd w:id="35"/>
          </w:p>
        </w:tc>
      </w:tr>
      <w:tr w:rsidR="00707CE1" w:rsidRPr="002C2D05" w14:paraId="3AB7862D" w14:textId="77777777" w:rsidTr="00BB5D3B">
        <w:trPr>
          <w:trHeight w:val="283"/>
        </w:trPr>
        <w:tc>
          <w:tcPr>
            <w:tcW w:w="2347" w:type="pct"/>
            <w:tcBorders>
              <w:top w:val="single" w:sz="18" w:space="0" w:color="FFFFFF"/>
              <w:left w:val="single" w:sz="18" w:space="0" w:color="FFFFFF"/>
              <w:right w:val="single" w:sz="18" w:space="0" w:color="FFFFFF"/>
            </w:tcBorders>
            <w:shd w:val="clear" w:color="auto" w:fill="1F497D"/>
            <w:vAlign w:val="center"/>
          </w:tcPr>
          <w:p w14:paraId="7C7AA76F"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Nome:</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08763AB9" w14:textId="77777777" w:rsidR="00707CE1" w:rsidRPr="00EE0E12" w:rsidRDefault="00707CE1" w:rsidP="00BB5D3B">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BP Energy do Brasil Ltda.</w:t>
            </w:r>
          </w:p>
        </w:tc>
      </w:tr>
      <w:tr w:rsidR="00707CE1" w:rsidRPr="00F828F9" w14:paraId="3EC7C14C" w14:textId="77777777" w:rsidTr="00BB5D3B">
        <w:trPr>
          <w:trHeight w:val="20"/>
        </w:trPr>
        <w:tc>
          <w:tcPr>
            <w:tcW w:w="2347" w:type="pct"/>
            <w:tcBorders>
              <w:top w:val="single" w:sz="18" w:space="0" w:color="FFFFFF"/>
              <w:left w:val="single" w:sz="18" w:space="0" w:color="FFFFFF"/>
              <w:right w:val="single" w:sz="18" w:space="0" w:color="FFFFFF"/>
            </w:tcBorders>
            <w:shd w:val="clear" w:color="auto" w:fill="1F497D"/>
            <w:vAlign w:val="center"/>
            <w:hideMark/>
          </w:tcPr>
          <w:p w14:paraId="2DA34451"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Endereço:</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B809457" w14:textId="26D34F1C" w:rsidR="00707CE1" w:rsidRPr="00EE0E12" w:rsidRDefault="00707CE1" w:rsidP="00DC73C0">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 xml:space="preserve">Condomínio Mario Henrique Simonsen - Avenida das Américas, 3434, Bloco </w:t>
            </w:r>
            <w:r w:rsidR="00DC73C0">
              <w:rPr>
                <w:rFonts w:asciiTheme="majorHAnsi" w:hAnsiTheme="majorHAnsi"/>
                <w:sz w:val="20"/>
                <w:szCs w:val="20"/>
                <w:lang w:val="pt-BR"/>
              </w:rPr>
              <w:t>7</w:t>
            </w:r>
            <w:r w:rsidRPr="00EE0E12">
              <w:rPr>
                <w:rFonts w:asciiTheme="majorHAnsi" w:hAnsiTheme="majorHAnsi"/>
                <w:sz w:val="20"/>
                <w:szCs w:val="20"/>
                <w:lang w:val="pt-BR"/>
              </w:rPr>
              <w:t xml:space="preserve"> - </w:t>
            </w:r>
            <w:r w:rsidR="00DC73C0">
              <w:rPr>
                <w:rFonts w:asciiTheme="majorHAnsi" w:hAnsiTheme="majorHAnsi"/>
                <w:sz w:val="20"/>
                <w:szCs w:val="20"/>
                <w:lang w:val="pt-BR"/>
              </w:rPr>
              <w:t>3</w:t>
            </w:r>
            <w:r w:rsidRPr="00EE0E12">
              <w:rPr>
                <w:rFonts w:asciiTheme="majorHAnsi" w:hAnsiTheme="majorHAnsi"/>
                <w:sz w:val="20"/>
                <w:szCs w:val="20"/>
                <w:lang w:val="pt-BR"/>
              </w:rPr>
              <w:t>º andar - Barra da Tijuca, Rio de Janeiro/RJ – Cep: 22640-102</w:t>
            </w:r>
          </w:p>
        </w:tc>
      </w:tr>
      <w:tr w:rsidR="00707CE1" w:rsidRPr="00F45CBB" w14:paraId="57B2A6C8" w14:textId="77777777" w:rsidTr="00BB5D3B">
        <w:trPr>
          <w:trHeight w:val="20"/>
        </w:trPr>
        <w:tc>
          <w:tcPr>
            <w:tcW w:w="2347" w:type="pct"/>
            <w:tcBorders>
              <w:left w:val="single" w:sz="18" w:space="0" w:color="FFFFFF"/>
              <w:right w:val="single" w:sz="18" w:space="0" w:color="FFFFFF"/>
            </w:tcBorders>
            <w:shd w:val="clear" w:color="auto" w:fill="1F497D"/>
            <w:vAlign w:val="center"/>
          </w:tcPr>
          <w:p w14:paraId="104F4579"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CNPJ:</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4C28E3A9" w14:textId="77777777" w:rsidR="00707CE1" w:rsidRPr="00EE0E12" w:rsidRDefault="00707CE1" w:rsidP="00BB5D3B">
            <w:pPr>
              <w:pStyle w:val="TableParagraph"/>
              <w:tabs>
                <w:tab w:val="left" w:pos="10490"/>
              </w:tabs>
              <w:ind w:left="130" w:right="284"/>
              <w:rPr>
                <w:rFonts w:asciiTheme="majorHAnsi" w:hAnsiTheme="majorHAnsi"/>
                <w:sz w:val="20"/>
                <w:szCs w:val="20"/>
                <w:lang w:val="pt-BR"/>
              </w:rPr>
            </w:pPr>
            <w:r w:rsidRPr="00EE0E12">
              <w:rPr>
                <w:rFonts w:asciiTheme="majorHAnsi" w:hAnsiTheme="majorHAnsi" w:cs="TT1D8t00"/>
                <w:sz w:val="20"/>
                <w:szCs w:val="20"/>
              </w:rPr>
              <w:t>02.873.528/0001-09</w:t>
            </w:r>
          </w:p>
        </w:tc>
      </w:tr>
      <w:tr w:rsidR="00707CE1" w:rsidRPr="00F45CBB" w14:paraId="3A8FF7BE" w14:textId="77777777" w:rsidTr="00BB5D3B">
        <w:trPr>
          <w:trHeight w:val="20"/>
        </w:trPr>
        <w:tc>
          <w:tcPr>
            <w:tcW w:w="2347" w:type="pct"/>
            <w:tcBorders>
              <w:left w:val="single" w:sz="18" w:space="0" w:color="FFFFFF"/>
              <w:right w:val="single" w:sz="18" w:space="0" w:color="FFFFFF"/>
            </w:tcBorders>
            <w:shd w:val="clear" w:color="auto" w:fill="1F497D"/>
            <w:vAlign w:val="center"/>
          </w:tcPr>
          <w:p w14:paraId="7BB51F11"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Cadastro Técnico Federal IBAMA de Atividades Potencialmente Poluidoras</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6E75DC43" w14:textId="77777777" w:rsidR="00707CE1" w:rsidRPr="00EE0E12" w:rsidRDefault="00707CE1" w:rsidP="00BB5D3B">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cs="TT1D8t00"/>
                <w:sz w:val="20"/>
                <w:szCs w:val="20"/>
              </w:rPr>
              <w:t>27.847</w:t>
            </w:r>
          </w:p>
        </w:tc>
      </w:tr>
      <w:tr w:rsidR="00707CE1" w:rsidRPr="00F45CBB" w14:paraId="4F361173" w14:textId="77777777" w:rsidTr="00BB5D3B">
        <w:trPr>
          <w:trHeight w:val="283"/>
        </w:trPr>
        <w:tc>
          <w:tcPr>
            <w:tcW w:w="2347" w:type="pct"/>
            <w:tcBorders>
              <w:left w:val="single" w:sz="18" w:space="0" w:color="FFFFFF"/>
              <w:right w:val="single" w:sz="18" w:space="0" w:color="FFFFFF"/>
            </w:tcBorders>
            <w:shd w:val="clear" w:color="auto" w:fill="1F497D"/>
            <w:vAlign w:val="center"/>
          </w:tcPr>
          <w:p w14:paraId="4020022D" w14:textId="77777777" w:rsidR="00707CE1" w:rsidRPr="00EE0E12" w:rsidRDefault="00707CE1" w:rsidP="00BB5D3B">
            <w:pPr>
              <w:pStyle w:val="TableParagraph"/>
              <w:tabs>
                <w:tab w:val="left" w:pos="10490"/>
              </w:tabs>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Telefone/Fax:</w:t>
            </w:r>
          </w:p>
        </w:tc>
        <w:tc>
          <w:tcPr>
            <w:tcW w:w="2653" w:type="pct"/>
            <w:tcBorders>
              <w:top w:val="single" w:sz="18" w:space="0" w:color="FFFFFF"/>
              <w:left w:val="single" w:sz="18" w:space="0" w:color="FFFFFF"/>
              <w:bottom w:val="single" w:sz="18" w:space="0" w:color="FFFFFF"/>
              <w:right w:val="single" w:sz="18" w:space="0" w:color="FFFFFF"/>
            </w:tcBorders>
            <w:shd w:val="clear" w:color="auto" w:fill="D9D9D9"/>
            <w:vAlign w:val="center"/>
          </w:tcPr>
          <w:p w14:paraId="27003D22" w14:textId="276D00C0" w:rsidR="00707CE1" w:rsidRPr="00EE0E12" w:rsidRDefault="00707CE1" w:rsidP="00DC73C0">
            <w:pPr>
              <w:pStyle w:val="TableParagraph"/>
              <w:tabs>
                <w:tab w:val="left" w:pos="10490"/>
              </w:tabs>
              <w:ind w:left="130" w:right="284"/>
              <w:rPr>
                <w:rFonts w:asciiTheme="majorHAnsi" w:hAnsiTheme="majorHAnsi"/>
                <w:sz w:val="20"/>
                <w:szCs w:val="20"/>
                <w:highlight w:val="yellow"/>
                <w:lang w:val="pt-BR"/>
              </w:rPr>
            </w:pPr>
            <w:r w:rsidRPr="00EE0E12">
              <w:rPr>
                <w:rFonts w:asciiTheme="majorHAnsi" w:hAnsiTheme="majorHAnsi"/>
                <w:sz w:val="20"/>
                <w:szCs w:val="20"/>
                <w:lang w:val="pt-BR"/>
              </w:rPr>
              <w:t xml:space="preserve">+55 (21) </w:t>
            </w:r>
            <w:r w:rsidR="00DC73C0">
              <w:rPr>
                <w:rFonts w:asciiTheme="majorHAnsi" w:hAnsiTheme="majorHAnsi"/>
                <w:sz w:val="20"/>
                <w:szCs w:val="20"/>
                <w:lang w:val="pt-BR"/>
              </w:rPr>
              <w:t>3721-2700</w:t>
            </w:r>
            <w:r w:rsidRPr="00EE0E12">
              <w:rPr>
                <w:rFonts w:asciiTheme="majorHAnsi" w:hAnsiTheme="majorHAnsi"/>
                <w:sz w:val="20"/>
                <w:szCs w:val="20"/>
                <w:lang w:val="pt-BR"/>
              </w:rPr>
              <w:t xml:space="preserve"> / +55 (21) </w:t>
            </w:r>
            <w:r w:rsidR="00DC73C0">
              <w:rPr>
                <w:rFonts w:asciiTheme="majorHAnsi" w:hAnsiTheme="majorHAnsi"/>
                <w:sz w:val="20"/>
                <w:szCs w:val="20"/>
                <w:lang w:val="pt-BR"/>
              </w:rPr>
              <w:t>3721</w:t>
            </w:r>
            <w:r w:rsidRPr="00EE0E12">
              <w:rPr>
                <w:rFonts w:asciiTheme="majorHAnsi" w:hAnsiTheme="majorHAnsi"/>
                <w:sz w:val="20"/>
                <w:szCs w:val="20"/>
                <w:lang w:val="pt-BR"/>
              </w:rPr>
              <w:t>-</w:t>
            </w:r>
            <w:r w:rsidR="00DC73C0" w:rsidRPr="00DC73C0">
              <w:rPr>
                <w:rFonts w:asciiTheme="majorHAnsi" w:hAnsiTheme="majorHAnsi"/>
                <w:sz w:val="20"/>
                <w:szCs w:val="20"/>
                <w:lang w:val="pt-BR"/>
              </w:rPr>
              <w:t>2850</w:t>
            </w:r>
          </w:p>
        </w:tc>
      </w:tr>
    </w:tbl>
    <w:p w14:paraId="68484948" w14:textId="77777777" w:rsidR="00707CE1" w:rsidRPr="00194801" w:rsidRDefault="00707CE1" w:rsidP="004C414F">
      <w:pPr>
        <w:spacing w:after="240"/>
        <w:rPr>
          <w:rFonts w:asciiTheme="majorHAnsi" w:eastAsia="Times New Roman" w:hAnsiTheme="majorHAnsi" w:cs="Calibri"/>
          <w:szCs w:val="24"/>
          <w:lang w:eastAsia="en-US"/>
        </w:rPr>
      </w:pPr>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1627"/>
        <w:gridCol w:w="1293"/>
        <w:gridCol w:w="1804"/>
        <w:gridCol w:w="4316"/>
      </w:tblGrid>
      <w:tr w:rsidR="00707CE1" w:rsidRPr="00BB5D3B" w14:paraId="301C5133" w14:textId="77777777" w:rsidTr="00BB5D3B">
        <w:trPr>
          <w:cantSplit/>
          <w:trHeight w:val="340"/>
          <w:tblHeader/>
        </w:trPr>
        <w:tc>
          <w:tcPr>
            <w:tcW w:w="5000" w:type="pct"/>
            <w:gridSpan w:val="4"/>
            <w:shd w:val="clear" w:color="auto" w:fill="FFFFFF" w:themeFill="background1"/>
            <w:vAlign w:val="bottom"/>
          </w:tcPr>
          <w:p w14:paraId="38304D90" w14:textId="77777777" w:rsidR="00707CE1" w:rsidRPr="00EE6892" w:rsidRDefault="00EE6892" w:rsidP="00EE6892">
            <w:pPr>
              <w:pStyle w:val="Caption"/>
              <w:spacing w:before="0" w:after="0" w:line="240" w:lineRule="auto"/>
              <w:jc w:val="both"/>
              <w:rPr>
                <w:szCs w:val="20"/>
              </w:rPr>
            </w:pPr>
            <w:bookmarkStart w:id="36" w:name="_Ref415057542"/>
            <w:bookmarkStart w:id="37" w:name="_Toc412642139"/>
            <w:bookmarkStart w:id="38" w:name="_Toc523834034"/>
            <w:r>
              <w:lastRenderedPageBreak/>
              <w:t xml:space="preserve">Tabela </w:t>
            </w:r>
            <w:fldSimple w:instr=" SEQ Tabela \* ARABIC ">
              <w:r w:rsidR="00897470">
                <w:rPr>
                  <w:noProof/>
                </w:rPr>
                <w:t>2</w:t>
              </w:r>
            </w:fldSimple>
            <w:bookmarkEnd w:id="36"/>
            <w:r w:rsidR="00707CE1" w:rsidRPr="00EE6892">
              <w:rPr>
                <w:szCs w:val="20"/>
              </w:rPr>
              <w:t>: Informações do Representante Legal</w:t>
            </w:r>
            <w:r w:rsidR="00D913B3">
              <w:rPr>
                <w:szCs w:val="20"/>
              </w:rPr>
              <w:t xml:space="preserve"> </w:t>
            </w:r>
            <w:r w:rsidR="004C414F" w:rsidRPr="00EE6892">
              <w:rPr>
                <w:szCs w:val="20"/>
              </w:rPr>
              <w:t xml:space="preserve">e do </w:t>
            </w:r>
            <w:r w:rsidR="00707CE1" w:rsidRPr="00EE6892">
              <w:rPr>
                <w:szCs w:val="20"/>
              </w:rPr>
              <w:t>Responsável Técnico.</w:t>
            </w:r>
            <w:bookmarkEnd w:id="37"/>
            <w:bookmarkEnd w:id="38"/>
          </w:p>
        </w:tc>
      </w:tr>
      <w:tr w:rsidR="00707CE1" w:rsidRPr="00BB5D3B" w14:paraId="69DF8485" w14:textId="77777777" w:rsidTr="00BB5D3B">
        <w:trPr>
          <w:cantSplit/>
          <w:trHeight w:val="400"/>
          <w:tblHeader/>
        </w:trPr>
        <w:tc>
          <w:tcPr>
            <w:tcW w:w="900" w:type="pct"/>
            <w:shd w:val="clear" w:color="auto" w:fill="1F497D"/>
            <w:vAlign w:val="center"/>
          </w:tcPr>
          <w:p w14:paraId="4963DABB"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Função</w:t>
            </w:r>
          </w:p>
        </w:tc>
        <w:tc>
          <w:tcPr>
            <w:tcW w:w="715" w:type="pct"/>
            <w:shd w:val="clear" w:color="auto" w:fill="1F497D"/>
            <w:vAlign w:val="center"/>
          </w:tcPr>
          <w:p w14:paraId="16CB2389"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Nome</w:t>
            </w:r>
          </w:p>
        </w:tc>
        <w:tc>
          <w:tcPr>
            <w:tcW w:w="998" w:type="pct"/>
            <w:shd w:val="clear" w:color="auto" w:fill="1F497D"/>
            <w:vAlign w:val="center"/>
          </w:tcPr>
          <w:p w14:paraId="0A1EEBF4"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CPF</w:t>
            </w:r>
          </w:p>
        </w:tc>
        <w:tc>
          <w:tcPr>
            <w:tcW w:w="2387" w:type="pct"/>
            <w:shd w:val="clear" w:color="auto" w:fill="1F497D"/>
            <w:vAlign w:val="center"/>
          </w:tcPr>
          <w:p w14:paraId="5F4EB76C" w14:textId="77777777" w:rsidR="00707CE1" w:rsidRPr="00EE6892" w:rsidRDefault="00707CE1" w:rsidP="004C414F">
            <w:pPr>
              <w:keepNext/>
              <w:keepLines/>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Contato/Endereço</w:t>
            </w:r>
          </w:p>
        </w:tc>
      </w:tr>
      <w:tr w:rsidR="00707CE1" w:rsidRPr="00BB5D3B" w14:paraId="4EA3C1AE" w14:textId="77777777" w:rsidTr="00BB5D3B">
        <w:trPr>
          <w:cantSplit/>
        </w:trPr>
        <w:tc>
          <w:tcPr>
            <w:tcW w:w="900" w:type="pct"/>
            <w:shd w:val="clear" w:color="auto" w:fill="D9D9D9" w:themeFill="background1" w:themeFillShade="D9"/>
            <w:vAlign w:val="center"/>
          </w:tcPr>
          <w:p w14:paraId="3EEBDDCC" w14:textId="77777777" w:rsidR="00707CE1" w:rsidRPr="00EE6892" w:rsidRDefault="00707CE1" w:rsidP="004C414F">
            <w:pPr>
              <w:pStyle w:val="tier1Itext"/>
              <w:spacing w:before="0" w:after="0" w:line="240" w:lineRule="auto"/>
              <w:rPr>
                <w:sz w:val="20"/>
                <w:szCs w:val="20"/>
              </w:rPr>
            </w:pPr>
            <w:r w:rsidRPr="00EE6892">
              <w:rPr>
                <w:sz w:val="20"/>
                <w:szCs w:val="20"/>
              </w:rPr>
              <w:t>Representante Legal</w:t>
            </w:r>
          </w:p>
        </w:tc>
        <w:tc>
          <w:tcPr>
            <w:tcW w:w="715" w:type="pct"/>
            <w:shd w:val="clear" w:color="auto" w:fill="D9D9D9" w:themeFill="background1" w:themeFillShade="D9"/>
            <w:vAlign w:val="center"/>
          </w:tcPr>
          <w:p w14:paraId="79A8C222" w14:textId="77777777" w:rsidR="00707CE1" w:rsidRPr="00EE6892" w:rsidRDefault="00707CE1" w:rsidP="004C414F">
            <w:pPr>
              <w:pStyle w:val="tier1Itext"/>
              <w:spacing w:before="0" w:after="0" w:line="240" w:lineRule="auto"/>
              <w:rPr>
                <w:sz w:val="20"/>
                <w:szCs w:val="20"/>
              </w:rPr>
            </w:pPr>
            <w:r w:rsidRPr="00EE6892">
              <w:rPr>
                <w:sz w:val="20"/>
                <w:szCs w:val="20"/>
              </w:rPr>
              <w:t>Humberto Quintas</w:t>
            </w:r>
          </w:p>
        </w:tc>
        <w:tc>
          <w:tcPr>
            <w:tcW w:w="998" w:type="pct"/>
            <w:shd w:val="clear" w:color="auto" w:fill="D9D9D9" w:themeFill="background1" w:themeFillShade="D9"/>
            <w:vAlign w:val="center"/>
          </w:tcPr>
          <w:p w14:paraId="5A2C8930" w14:textId="77777777" w:rsidR="00707CE1" w:rsidRPr="00EE6892" w:rsidRDefault="00707CE1" w:rsidP="004C414F">
            <w:pPr>
              <w:pStyle w:val="tier1Itext"/>
              <w:spacing w:before="0" w:after="0" w:line="240" w:lineRule="auto"/>
              <w:rPr>
                <w:sz w:val="20"/>
                <w:szCs w:val="20"/>
              </w:rPr>
            </w:pPr>
            <w:r w:rsidRPr="00EE6892">
              <w:rPr>
                <w:sz w:val="20"/>
                <w:szCs w:val="20"/>
              </w:rPr>
              <w:t>052.367.157-17</w:t>
            </w:r>
          </w:p>
        </w:tc>
        <w:tc>
          <w:tcPr>
            <w:tcW w:w="2387" w:type="pct"/>
            <w:shd w:val="clear" w:color="auto" w:fill="D9D9D9" w:themeFill="background1" w:themeFillShade="D9"/>
            <w:vAlign w:val="center"/>
          </w:tcPr>
          <w:p w14:paraId="509C7FC6" w14:textId="5D6D001B" w:rsidR="00707CE1" w:rsidRDefault="00707CE1" w:rsidP="004C414F">
            <w:pPr>
              <w:keepNext/>
              <w:keepLines/>
              <w:spacing w:before="0" w:line="240" w:lineRule="auto"/>
              <w:rPr>
                <w:rFonts w:asciiTheme="majorHAnsi" w:hAnsiTheme="majorHAnsi" w:cs="Univers-45Light"/>
                <w:sz w:val="20"/>
                <w:szCs w:val="20"/>
              </w:rPr>
            </w:pPr>
            <w:r w:rsidRPr="00EE6892">
              <w:rPr>
                <w:rFonts w:asciiTheme="majorHAnsi" w:hAnsiTheme="majorHAnsi" w:cs="Times New Roman"/>
                <w:color w:val="000000"/>
                <w:sz w:val="20"/>
                <w:szCs w:val="20"/>
              </w:rPr>
              <w:t>Telefone:</w:t>
            </w:r>
            <w:r w:rsidRPr="00EE6892">
              <w:rPr>
                <w:rFonts w:asciiTheme="majorHAnsi" w:hAnsiTheme="majorHAnsi" w:cs="Univers-45Light"/>
                <w:sz w:val="20"/>
                <w:szCs w:val="20"/>
              </w:rPr>
              <w:t xml:space="preserve"> +55 (21) </w:t>
            </w:r>
            <w:r w:rsidR="00366B62">
              <w:rPr>
                <w:rFonts w:asciiTheme="majorHAnsi" w:hAnsiTheme="majorHAnsi" w:cs="Univers-45Light"/>
                <w:sz w:val="20"/>
                <w:szCs w:val="20"/>
              </w:rPr>
              <w:t>3</w:t>
            </w:r>
            <w:r w:rsidR="00276F5F">
              <w:rPr>
                <w:rFonts w:asciiTheme="majorHAnsi" w:hAnsiTheme="majorHAnsi" w:cs="Univers-45Light"/>
                <w:sz w:val="20"/>
                <w:szCs w:val="20"/>
              </w:rPr>
              <w:t>721</w:t>
            </w:r>
            <w:r w:rsidRPr="00EE6892">
              <w:rPr>
                <w:rFonts w:asciiTheme="majorHAnsi" w:hAnsiTheme="majorHAnsi" w:cs="Univers-45Light"/>
                <w:sz w:val="20"/>
                <w:szCs w:val="20"/>
              </w:rPr>
              <w:t>-</w:t>
            </w:r>
            <w:r w:rsidR="00366B62">
              <w:rPr>
                <w:rFonts w:asciiTheme="majorHAnsi" w:hAnsiTheme="majorHAnsi" w:cs="Univers-45Light"/>
                <w:sz w:val="20"/>
                <w:szCs w:val="20"/>
              </w:rPr>
              <w:t>2711</w:t>
            </w:r>
          </w:p>
          <w:p w14:paraId="326BD0F0" w14:textId="0179A462" w:rsidR="00DC73C0" w:rsidRPr="00EE6892" w:rsidRDefault="00DC73C0" w:rsidP="00DC73C0">
            <w:pPr>
              <w:keepNext/>
              <w:keepLines/>
              <w:spacing w:before="0" w:line="240" w:lineRule="auto"/>
              <w:rPr>
                <w:rFonts w:asciiTheme="majorHAnsi" w:hAnsiTheme="majorHAnsi" w:cs="Times New Roman"/>
                <w:color w:val="000000"/>
                <w:sz w:val="20"/>
                <w:szCs w:val="20"/>
                <w:lang w:eastAsia="pt-BR"/>
              </w:rPr>
            </w:pPr>
            <w:r w:rsidRPr="00EE6892">
              <w:rPr>
                <w:rFonts w:asciiTheme="majorHAnsi" w:hAnsiTheme="majorHAnsi" w:cs="Times New Roman"/>
                <w:color w:val="000000"/>
                <w:sz w:val="20"/>
                <w:szCs w:val="20"/>
                <w:lang w:eastAsia="pt-BR"/>
              </w:rPr>
              <w:t xml:space="preserve">FAX: +55 </w:t>
            </w:r>
            <w:r w:rsidR="00366B62">
              <w:rPr>
                <w:rFonts w:asciiTheme="majorHAnsi" w:hAnsiTheme="majorHAnsi" w:cs="Times New Roman"/>
                <w:color w:val="000000"/>
                <w:sz w:val="20"/>
                <w:szCs w:val="20"/>
                <w:lang w:eastAsia="pt-BR"/>
              </w:rPr>
              <w:t>(</w:t>
            </w:r>
            <w:r w:rsidRPr="00EE6892">
              <w:rPr>
                <w:rFonts w:asciiTheme="majorHAnsi" w:hAnsiTheme="majorHAnsi" w:cs="Times New Roman"/>
                <w:color w:val="000000"/>
                <w:sz w:val="20"/>
                <w:szCs w:val="20"/>
                <w:lang w:eastAsia="pt-BR"/>
              </w:rPr>
              <w:t>21</w:t>
            </w:r>
            <w:r w:rsidR="00366B62">
              <w:rPr>
                <w:rFonts w:asciiTheme="majorHAnsi" w:hAnsiTheme="majorHAnsi" w:cs="Times New Roman"/>
                <w:color w:val="000000"/>
                <w:sz w:val="20"/>
                <w:szCs w:val="20"/>
                <w:lang w:eastAsia="pt-BR"/>
              </w:rPr>
              <w:t>)</w:t>
            </w:r>
            <w:r w:rsidRPr="00EE6892">
              <w:rPr>
                <w:rFonts w:asciiTheme="majorHAnsi" w:hAnsiTheme="majorHAnsi" w:cs="Times New Roman"/>
                <w:color w:val="000000"/>
                <w:sz w:val="20"/>
                <w:szCs w:val="20"/>
                <w:lang w:eastAsia="pt-BR"/>
              </w:rPr>
              <w:t xml:space="preserve"> </w:t>
            </w:r>
            <w:r w:rsidR="00366B62">
              <w:rPr>
                <w:rFonts w:asciiTheme="majorHAnsi" w:hAnsiTheme="majorHAnsi" w:cs="Times New Roman"/>
                <w:color w:val="000000"/>
                <w:sz w:val="20"/>
                <w:szCs w:val="20"/>
                <w:lang w:eastAsia="pt-BR"/>
              </w:rPr>
              <w:t>3721</w:t>
            </w:r>
            <w:r w:rsidRPr="00EE6892">
              <w:rPr>
                <w:rFonts w:asciiTheme="majorHAnsi" w:hAnsiTheme="majorHAnsi" w:cs="Times New Roman"/>
                <w:color w:val="000000"/>
                <w:sz w:val="20"/>
                <w:szCs w:val="20"/>
                <w:lang w:eastAsia="pt-BR"/>
              </w:rPr>
              <w:t>-</w:t>
            </w:r>
            <w:r w:rsidR="00366B62">
              <w:rPr>
                <w:rFonts w:asciiTheme="majorHAnsi" w:hAnsiTheme="majorHAnsi" w:cs="Times New Roman"/>
                <w:color w:val="000000"/>
                <w:sz w:val="20"/>
                <w:szCs w:val="20"/>
                <w:lang w:eastAsia="pt-BR"/>
              </w:rPr>
              <w:t>2850</w:t>
            </w:r>
          </w:p>
          <w:p w14:paraId="1EDEB2F6" w14:textId="77777777" w:rsidR="00707CE1" w:rsidRPr="00EE6892" w:rsidRDefault="00707CE1" w:rsidP="004C414F">
            <w:pPr>
              <w:pStyle w:val="tier1Itext"/>
              <w:spacing w:before="0" w:after="0" w:line="240" w:lineRule="auto"/>
              <w:rPr>
                <w:rStyle w:val="Hyperlink"/>
                <w:sz w:val="20"/>
                <w:szCs w:val="20"/>
                <w:lang w:eastAsia="pt-BR"/>
              </w:rPr>
            </w:pPr>
            <w:r w:rsidRPr="005A72E5">
              <w:rPr>
                <w:sz w:val="20"/>
                <w:szCs w:val="20"/>
                <w:lang w:eastAsia="pt-BR"/>
              </w:rPr>
              <w:t xml:space="preserve">E-mail: </w:t>
            </w:r>
            <w:hyperlink r:id="rId19" w:history="1">
              <w:r w:rsidRPr="00EE6892">
                <w:rPr>
                  <w:rStyle w:val="Hyperlink"/>
                  <w:sz w:val="20"/>
                  <w:szCs w:val="20"/>
                  <w:lang w:eastAsia="pt-BR"/>
                </w:rPr>
                <w:t>humberto.quintas@bp.com</w:t>
              </w:r>
            </w:hyperlink>
          </w:p>
          <w:p w14:paraId="60844DA6" w14:textId="47B57318" w:rsidR="00707CE1" w:rsidRPr="00EE6892" w:rsidRDefault="00707CE1" w:rsidP="00DC73C0">
            <w:pPr>
              <w:pStyle w:val="tier1Itext"/>
              <w:spacing w:before="0" w:after="0" w:line="240" w:lineRule="auto"/>
              <w:rPr>
                <w:sz w:val="20"/>
                <w:szCs w:val="20"/>
              </w:rPr>
            </w:pPr>
            <w:r w:rsidRPr="00EE6892">
              <w:rPr>
                <w:sz w:val="20"/>
                <w:szCs w:val="20"/>
              </w:rPr>
              <w:t xml:space="preserve">Condomínio Mario Henrique Simonsen - Avenida das Américas, 3434, Bloco </w:t>
            </w:r>
            <w:r w:rsidR="00DC73C0">
              <w:rPr>
                <w:sz w:val="20"/>
                <w:szCs w:val="20"/>
              </w:rPr>
              <w:t>7</w:t>
            </w:r>
            <w:r w:rsidRPr="00EE6892">
              <w:rPr>
                <w:sz w:val="20"/>
                <w:szCs w:val="20"/>
              </w:rPr>
              <w:t xml:space="preserve"> - </w:t>
            </w:r>
            <w:r w:rsidR="00DC73C0">
              <w:rPr>
                <w:sz w:val="20"/>
                <w:szCs w:val="20"/>
              </w:rPr>
              <w:t>3</w:t>
            </w:r>
            <w:r w:rsidRPr="00EE6892">
              <w:rPr>
                <w:sz w:val="20"/>
                <w:szCs w:val="20"/>
              </w:rPr>
              <w:t>º andar</w:t>
            </w:r>
            <w:r w:rsidR="00DC73C0">
              <w:rPr>
                <w:sz w:val="20"/>
                <w:szCs w:val="20"/>
              </w:rPr>
              <w:t xml:space="preserve"> - </w:t>
            </w:r>
            <w:r w:rsidRPr="00EE6892">
              <w:rPr>
                <w:sz w:val="20"/>
                <w:szCs w:val="20"/>
              </w:rPr>
              <w:t>Barra da Tijuca, Rio de Janeiro/RJ – Cep: 22640-102</w:t>
            </w:r>
          </w:p>
        </w:tc>
      </w:tr>
      <w:tr w:rsidR="00707CE1" w:rsidRPr="00BB5D3B" w14:paraId="03CF0E62" w14:textId="77777777" w:rsidTr="00BB5D3B">
        <w:trPr>
          <w:cantSplit/>
        </w:trPr>
        <w:tc>
          <w:tcPr>
            <w:tcW w:w="900" w:type="pct"/>
            <w:shd w:val="clear" w:color="auto" w:fill="D9D9D9" w:themeFill="background1" w:themeFillShade="D9"/>
            <w:vAlign w:val="center"/>
          </w:tcPr>
          <w:p w14:paraId="7B4A0B05" w14:textId="77777777" w:rsidR="00707CE1" w:rsidRPr="00EE6892" w:rsidRDefault="00707CE1" w:rsidP="004C414F">
            <w:pPr>
              <w:pStyle w:val="tier1Itext"/>
              <w:spacing w:before="0" w:after="0" w:line="240" w:lineRule="auto"/>
              <w:rPr>
                <w:sz w:val="20"/>
                <w:szCs w:val="20"/>
              </w:rPr>
            </w:pPr>
            <w:r w:rsidRPr="00EE6892">
              <w:rPr>
                <w:sz w:val="20"/>
                <w:szCs w:val="20"/>
              </w:rPr>
              <w:t>Responsável Técnico</w:t>
            </w:r>
          </w:p>
        </w:tc>
        <w:tc>
          <w:tcPr>
            <w:tcW w:w="715" w:type="pct"/>
            <w:shd w:val="clear" w:color="auto" w:fill="D9D9D9" w:themeFill="background1" w:themeFillShade="D9"/>
            <w:vAlign w:val="center"/>
          </w:tcPr>
          <w:p w14:paraId="6295C4B6" w14:textId="77777777" w:rsidR="00707CE1" w:rsidRPr="00EE6892" w:rsidRDefault="00707CE1" w:rsidP="004C414F">
            <w:pPr>
              <w:pStyle w:val="tier1Itext"/>
              <w:spacing w:before="0" w:after="0" w:line="240" w:lineRule="auto"/>
              <w:rPr>
                <w:sz w:val="20"/>
                <w:szCs w:val="20"/>
              </w:rPr>
            </w:pPr>
            <w:r w:rsidRPr="00EE6892">
              <w:rPr>
                <w:sz w:val="20"/>
                <w:szCs w:val="20"/>
              </w:rPr>
              <w:t>Anderson Cantarino</w:t>
            </w:r>
          </w:p>
        </w:tc>
        <w:tc>
          <w:tcPr>
            <w:tcW w:w="998" w:type="pct"/>
            <w:shd w:val="clear" w:color="auto" w:fill="D9D9D9" w:themeFill="background1" w:themeFillShade="D9"/>
            <w:vAlign w:val="center"/>
          </w:tcPr>
          <w:p w14:paraId="26A86ABC" w14:textId="77777777" w:rsidR="00707CE1" w:rsidRPr="00EE6892" w:rsidRDefault="00707CE1" w:rsidP="004C414F">
            <w:pPr>
              <w:pStyle w:val="tier1Itext"/>
              <w:spacing w:before="0" w:after="0" w:line="240" w:lineRule="auto"/>
              <w:rPr>
                <w:sz w:val="20"/>
                <w:szCs w:val="20"/>
              </w:rPr>
            </w:pPr>
            <w:r w:rsidRPr="00EE6892">
              <w:rPr>
                <w:sz w:val="20"/>
                <w:szCs w:val="20"/>
              </w:rPr>
              <w:t>963.468.337-15</w:t>
            </w:r>
          </w:p>
        </w:tc>
        <w:tc>
          <w:tcPr>
            <w:tcW w:w="2387" w:type="pct"/>
            <w:shd w:val="clear" w:color="auto" w:fill="D9D9D9" w:themeFill="background1" w:themeFillShade="D9"/>
            <w:vAlign w:val="center"/>
          </w:tcPr>
          <w:p w14:paraId="566317FF" w14:textId="4799A195" w:rsidR="00707CE1" w:rsidRDefault="00707CE1" w:rsidP="004C414F">
            <w:pPr>
              <w:spacing w:before="0" w:line="240" w:lineRule="auto"/>
              <w:rPr>
                <w:rFonts w:asciiTheme="majorHAnsi" w:hAnsiTheme="majorHAnsi" w:cs="Univers-45Light"/>
                <w:sz w:val="20"/>
                <w:szCs w:val="20"/>
              </w:rPr>
            </w:pPr>
            <w:r w:rsidRPr="005A72E5">
              <w:rPr>
                <w:rFonts w:asciiTheme="majorHAnsi" w:hAnsiTheme="majorHAnsi" w:cs="Times New Roman"/>
                <w:color w:val="000000"/>
                <w:sz w:val="20"/>
                <w:szCs w:val="20"/>
              </w:rPr>
              <w:t xml:space="preserve">Telefone +55 (21) </w:t>
            </w:r>
            <w:r w:rsidR="00366B62">
              <w:rPr>
                <w:rFonts w:asciiTheme="majorHAnsi" w:hAnsiTheme="majorHAnsi" w:cs="Univers-45Light"/>
                <w:sz w:val="20"/>
                <w:szCs w:val="20"/>
              </w:rPr>
              <w:t>3721</w:t>
            </w:r>
            <w:r w:rsidRPr="009F0EA7">
              <w:rPr>
                <w:rFonts w:asciiTheme="majorHAnsi" w:hAnsiTheme="majorHAnsi" w:cs="Univers-45Light"/>
                <w:sz w:val="20"/>
                <w:szCs w:val="20"/>
              </w:rPr>
              <w:t>-</w:t>
            </w:r>
            <w:r w:rsidR="00366B62">
              <w:rPr>
                <w:rFonts w:asciiTheme="majorHAnsi" w:hAnsiTheme="majorHAnsi" w:cs="Univers-45Light"/>
                <w:sz w:val="20"/>
                <w:szCs w:val="20"/>
              </w:rPr>
              <w:t>2722</w:t>
            </w:r>
          </w:p>
          <w:p w14:paraId="7A104C04" w14:textId="3343EAA8" w:rsidR="00366B62" w:rsidRPr="00EE6892" w:rsidRDefault="00366B62" w:rsidP="00366B62">
            <w:pPr>
              <w:spacing w:before="0" w:line="240" w:lineRule="auto"/>
              <w:rPr>
                <w:rFonts w:asciiTheme="majorHAnsi" w:hAnsiTheme="majorHAnsi" w:cs="Times New Roman"/>
                <w:color w:val="000000"/>
                <w:sz w:val="20"/>
                <w:szCs w:val="20"/>
                <w:lang w:eastAsia="pt-BR"/>
              </w:rPr>
            </w:pPr>
            <w:r w:rsidRPr="00EE6892">
              <w:rPr>
                <w:rFonts w:asciiTheme="majorHAnsi" w:hAnsiTheme="majorHAnsi" w:cs="Times New Roman"/>
                <w:color w:val="000000"/>
                <w:sz w:val="20"/>
                <w:szCs w:val="20"/>
                <w:lang w:eastAsia="pt-BR"/>
              </w:rPr>
              <w:t>FAX:</w:t>
            </w:r>
            <w:r>
              <w:rPr>
                <w:rFonts w:asciiTheme="majorHAnsi" w:hAnsiTheme="majorHAnsi" w:cs="Times New Roman"/>
                <w:color w:val="000000"/>
                <w:sz w:val="20"/>
                <w:szCs w:val="20"/>
                <w:lang w:eastAsia="pt-BR"/>
              </w:rPr>
              <w:t xml:space="preserve"> </w:t>
            </w:r>
            <w:r w:rsidRPr="00EE6892">
              <w:rPr>
                <w:rFonts w:asciiTheme="majorHAnsi" w:hAnsiTheme="majorHAnsi" w:cs="Univers-45Light"/>
                <w:sz w:val="20"/>
                <w:szCs w:val="20"/>
              </w:rPr>
              <w:t xml:space="preserve">+55 </w:t>
            </w:r>
            <w:r>
              <w:rPr>
                <w:rFonts w:asciiTheme="majorHAnsi" w:hAnsiTheme="majorHAnsi" w:cs="Univers-45Light"/>
                <w:sz w:val="20"/>
                <w:szCs w:val="20"/>
              </w:rPr>
              <w:t>(</w:t>
            </w:r>
            <w:r w:rsidRPr="00EE6892">
              <w:rPr>
                <w:rFonts w:asciiTheme="majorHAnsi" w:hAnsiTheme="majorHAnsi" w:cs="Univers-45Light"/>
                <w:sz w:val="20"/>
                <w:szCs w:val="20"/>
              </w:rPr>
              <w:t>21</w:t>
            </w:r>
            <w:r>
              <w:rPr>
                <w:rFonts w:asciiTheme="majorHAnsi" w:hAnsiTheme="majorHAnsi" w:cs="Univers-45Light"/>
                <w:sz w:val="20"/>
                <w:szCs w:val="20"/>
              </w:rPr>
              <w:t>)</w:t>
            </w:r>
            <w:r w:rsidRPr="00EE6892">
              <w:rPr>
                <w:rFonts w:asciiTheme="majorHAnsi" w:hAnsiTheme="majorHAnsi" w:cs="Univers-45Light"/>
                <w:sz w:val="20"/>
                <w:szCs w:val="20"/>
              </w:rPr>
              <w:t xml:space="preserve"> </w:t>
            </w:r>
            <w:r>
              <w:rPr>
                <w:rFonts w:asciiTheme="majorHAnsi" w:hAnsiTheme="majorHAnsi" w:cs="Univers-45Light"/>
                <w:sz w:val="20"/>
                <w:szCs w:val="20"/>
              </w:rPr>
              <w:t>3721</w:t>
            </w:r>
            <w:r w:rsidRPr="00EE6892">
              <w:rPr>
                <w:rFonts w:asciiTheme="majorHAnsi" w:hAnsiTheme="majorHAnsi" w:cs="Times New Roman"/>
                <w:color w:val="000000"/>
                <w:sz w:val="20"/>
                <w:szCs w:val="20"/>
                <w:lang w:eastAsia="pt-BR"/>
              </w:rPr>
              <w:t>-</w:t>
            </w:r>
            <w:r>
              <w:rPr>
                <w:rFonts w:asciiTheme="majorHAnsi" w:hAnsiTheme="majorHAnsi" w:cs="Times New Roman"/>
                <w:color w:val="000000"/>
                <w:sz w:val="20"/>
                <w:szCs w:val="20"/>
                <w:lang w:eastAsia="pt-BR"/>
              </w:rPr>
              <w:t>2850</w:t>
            </w:r>
          </w:p>
          <w:p w14:paraId="329C8507" w14:textId="77777777" w:rsidR="00707CE1" w:rsidRPr="00EE6892" w:rsidRDefault="00707CE1" w:rsidP="004C414F">
            <w:pPr>
              <w:pStyle w:val="tier1Itext"/>
              <w:spacing w:before="0" w:after="0" w:line="240" w:lineRule="auto"/>
              <w:rPr>
                <w:sz w:val="20"/>
                <w:szCs w:val="20"/>
                <w:lang w:eastAsia="pt-BR"/>
              </w:rPr>
            </w:pPr>
            <w:r w:rsidRPr="00FA1E16">
              <w:rPr>
                <w:sz w:val="20"/>
                <w:szCs w:val="20"/>
                <w:lang w:eastAsia="pt-BR"/>
              </w:rPr>
              <w:t xml:space="preserve">E-mail: </w:t>
            </w:r>
            <w:hyperlink r:id="rId20" w:history="1">
              <w:r w:rsidRPr="00EE6892">
                <w:rPr>
                  <w:rStyle w:val="Hyperlink"/>
                  <w:sz w:val="20"/>
                  <w:szCs w:val="20"/>
                  <w:lang w:eastAsia="pt-BR"/>
                </w:rPr>
                <w:t>anderson.cantarino@bp.com</w:t>
              </w:r>
            </w:hyperlink>
          </w:p>
          <w:p w14:paraId="39A82CE5" w14:textId="4F8DFD55" w:rsidR="00707CE1" w:rsidRPr="00EE6892" w:rsidRDefault="00707CE1" w:rsidP="00DC73C0">
            <w:pPr>
              <w:pStyle w:val="tier1Itext"/>
              <w:spacing w:before="0" w:after="0" w:line="240" w:lineRule="auto"/>
              <w:rPr>
                <w:sz w:val="20"/>
                <w:szCs w:val="20"/>
              </w:rPr>
            </w:pPr>
            <w:r w:rsidRPr="00EE6892">
              <w:rPr>
                <w:sz w:val="20"/>
                <w:szCs w:val="20"/>
              </w:rPr>
              <w:t xml:space="preserve">Condomínio Mario Henrique Simonsen - Avenida das Américas, 3434, Bloco </w:t>
            </w:r>
            <w:r w:rsidR="00DC73C0">
              <w:rPr>
                <w:sz w:val="20"/>
                <w:szCs w:val="20"/>
              </w:rPr>
              <w:t>7</w:t>
            </w:r>
            <w:r w:rsidRPr="00EE6892">
              <w:rPr>
                <w:sz w:val="20"/>
                <w:szCs w:val="20"/>
              </w:rPr>
              <w:t xml:space="preserve"> - </w:t>
            </w:r>
            <w:r w:rsidR="00DC73C0">
              <w:rPr>
                <w:sz w:val="20"/>
                <w:szCs w:val="20"/>
              </w:rPr>
              <w:t>3</w:t>
            </w:r>
            <w:r w:rsidRPr="00EE6892">
              <w:rPr>
                <w:sz w:val="20"/>
                <w:szCs w:val="20"/>
              </w:rPr>
              <w:t>º andar</w:t>
            </w:r>
            <w:r w:rsidR="00366B62">
              <w:rPr>
                <w:sz w:val="20"/>
                <w:szCs w:val="20"/>
              </w:rPr>
              <w:t xml:space="preserve"> - </w:t>
            </w:r>
            <w:r w:rsidRPr="00EE6892">
              <w:rPr>
                <w:sz w:val="20"/>
                <w:szCs w:val="20"/>
              </w:rPr>
              <w:t>Barra da Tijuca, Rio de Janeiro/RJ – Cep: 22640-102</w:t>
            </w:r>
          </w:p>
        </w:tc>
      </w:tr>
    </w:tbl>
    <w:p w14:paraId="39677A21" w14:textId="77777777" w:rsidR="00707CE1" w:rsidRPr="00EE0E12" w:rsidRDefault="00707CE1" w:rsidP="00BB5D3B">
      <w:pPr>
        <w:pStyle w:val="tier1Itext"/>
        <w:keepLines w:val="0"/>
        <w:spacing w:before="360"/>
      </w:pPr>
      <w:r w:rsidRPr="00EE0E12">
        <w:t xml:space="preserve">Como dito anteriormente, o Bloco FZA-M-59 está situado no setor SFZA-AP1 da Bacia de Foz do Amazonas (FZA), a uma distância de aproximadamente 160 km (aproximadamente 90 milhas náuticas) da costa do município de Oiapoque, no Estado do Amapá (AP), em águas ultraprofundas (com lâmina d’água variando entre 2.400 e 3.400 m). A </w:t>
      </w:r>
      <w:r w:rsidRPr="00EE0E12">
        <w:rPr>
          <w:b/>
        </w:rPr>
        <w:fldChar w:fldCharType="begin"/>
      </w:r>
      <w:r w:rsidRPr="00EE0E12">
        <w:rPr>
          <w:b/>
        </w:rPr>
        <w:instrText xml:space="preserve"> REF _Ref407716063 \h  \* MERGEFORMAT </w:instrText>
      </w:r>
      <w:r w:rsidRPr="00EE0E12">
        <w:rPr>
          <w:b/>
        </w:rPr>
      </w:r>
      <w:r w:rsidRPr="00EE0E12">
        <w:rPr>
          <w:b/>
        </w:rPr>
        <w:fldChar w:fldCharType="separate"/>
      </w:r>
      <w:r w:rsidR="00897470" w:rsidRPr="00897470">
        <w:rPr>
          <w:b/>
        </w:rPr>
        <w:t xml:space="preserve">Tabela </w:t>
      </w:r>
      <w:r w:rsidR="00897470" w:rsidRPr="00897470">
        <w:rPr>
          <w:b/>
          <w:noProof/>
        </w:rPr>
        <w:t>3</w:t>
      </w:r>
      <w:r w:rsidRPr="00EE0E12">
        <w:rPr>
          <w:b/>
        </w:rPr>
        <w:fldChar w:fldCharType="end"/>
      </w:r>
      <w:r w:rsidRPr="00EE0E12">
        <w:t xml:space="preserve"> apresenta as coordenadas geográficas do Bloco.</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000" w:firstRow="0" w:lastRow="0" w:firstColumn="0" w:lastColumn="0" w:noHBand="0" w:noVBand="0"/>
      </w:tblPr>
      <w:tblGrid>
        <w:gridCol w:w="1734"/>
        <w:gridCol w:w="3646"/>
        <w:gridCol w:w="3644"/>
      </w:tblGrid>
      <w:tr w:rsidR="00707CE1" w:rsidRPr="002C2D05" w14:paraId="0E3C2C0D" w14:textId="77777777" w:rsidTr="00BB5D3B">
        <w:trPr>
          <w:trHeight w:val="340"/>
        </w:trPr>
        <w:tc>
          <w:tcPr>
            <w:tcW w:w="5000" w:type="pct"/>
            <w:gridSpan w:val="3"/>
            <w:shd w:val="clear" w:color="auto" w:fill="FFFFFF" w:themeFill="background1"/>
            <w:vAlign w:val="bottom"/>
          </w:tcPr>
          <w:p w14:paraId="51C50420" w14:textId="77777777" w:rsidR="00707CE1" w:rsidRPr="00EE0E12" w:rsidRDefault="00707CE1" w:rsidP="004C414F">
            <w:pPr>
              <w:pStyle w:val="Caption"/>
              <w:keepNext w:val="0"/>
              <w:spacing w:before="0" w:after="0" w:line="240" w:lineRule="auto"/>
              <w:jc w:val="left"/>
              <w:rPr>
                <w:rFonts w:cs="Calibri"/>
                <w:color w:val="FFFFFF"/>
              </w:rPr>
            </w:pPr>
            <w:bookmarkStart w:id="39" w:name="_Ref407716063"/>
            <w:bookmarkStart w:id="40" w:name="_Toc408566937"/>
            <w:bookmarkStart w:id="41" w:name="_Toc412642140"/>
            <w:bookmarkStart w:id="42" w:name="_Toc523834035"/>
            <w:r w:rsidRPr="00EE0E12">
              <w:t xml:space="preserve">Tabela </w:t>
            </w:r>
            <w:fldSimple w:instr=" SEQ Tabela \* ARABIC ">
              <w:r w:rsidR="00897470">
                <w:rPr>
                  <w:noProof/>
                </w:rPr>
                <w:t>3</w:t>
              </w:r>
            </w:fldSimple>
            <w:bookmarkEnd w:id="39"/>
            <w:r w:rsidRPr="00EE0E12">
              <w:t>: Coordenadas do Bloco FZA-M-59</w:t>
            </w:r>
            <w:bookmarkEnd w:id="40"/>
            <w:r w:rsidRPr="00EE0E12">
              <w:t xml:space="preserve"> (DATUM: SIRGAS 2000).</w:t>
            </w:r>
            <w:bookmarkEnd w:id="41"/>
            <w:bookmarkEnd w:id="42"/>
          </w:p>
        </w:tc>
      </w:tr>
      <w:tr w:rsidR="00707CE1" w:rsidRPr="0004587A" w14:paraId="6BD49D5C" w14:textId="77777777" w:rsidTr="00BB5D3B">
        <w:trPr>
          <w:trHeight w:val="340"/>
        </w:trPr>
        <w:tc>
          <w:tcPr>
            <w:tcW w:w="961" w:type="pct"/>
            <w:shd w:val="clear" w:color="auto" w:fill="1F497D"/>
            <w:vAlign w:val="center"/>
          </w:tcPr>
          <w:p w14:paraId="35729BD5"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Ponto/Vértice</w:t>
            </w:r>
          </w:p>
        </w:tc>
        <w:tc>
          <w:tcPr>
            <w:tcW w:w="2020" w:type="pct"/>
            <w:shd w:val="clear" w:color="auto" w:fill="1F497D"/>
            <w:vAlign w:val="center"/>
          </w:tcPr>
          <w:p w14:paraId="08D0FB32"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Longitude</w:t>
            </w:r>
          </w:p>
        </w:tc>
        <w:tc>
          <w:tcPr>
            <w:tcW w:w="2019" w:type="pct"/>
            <w:shd w:val="clear" w:color="auto" w:fill="1F497D"/>
            <w:vAlign w:val="center"/>
          </w:tcPr>
          <w:p w14:paraId="54416536" w14:textId="77777777" w:rsidR="00707CE1" w:rsidRPr="00EE0E12" w:rsidRDefault="00707CE1" w:rsidP="004C414F">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Latitude</w:t>
            </w:r>
          </w:p>
        </w:tc>
      </w:tr>
      <w:tr w:rsidR="00707CE1" w:rsidRPr="0004587A" w14:paraId="513DA1E8" w14:textId="77777777" w:rsidTr="00BB5D3B">
        <w:trPr>
          <w:trHeight w:val="340"/>
        </w:trPr>
        <w:tc>
          <w:tcPr>
            <w:tcW w:w="961" w:type="pct"/>
            <w:shd w:val="clear" w:color="auto" w:fill="D9D9D9" w:themeFill="background1" w:themeFillShade="D9"/>
            <w:vAlign w:val="center"/>
          </w:tcPr>
          <w:p w14:paraId="56A5BCF8"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1</w:t>
            </w:r>
          </w:p>
        </w:tc>
        <w:tc>
          <w:tcPr>
            <w:tcW w:w="2020" w:type="pct"/>
            <w:shd w:val="clear" w:color="auto" w:fill="D9D9D9" w:themeFill="background1" w:themeFillShade="D9"/>
            <w:vAlign w:val="center"/>
          </w:tcPr>
          <w:p w14:paraId="2F4F5B53"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15’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126F41D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29’ 58,90’’</w:t>
            </w:r>
            <w:r w:rsidRPr="00EE0E12">
              <w:rPr>
                <w:rFonts w:asciiTheme="majorHAnsi" w:hAnsiTheme="majorHAnsi"/>
                <w:sz w:val="20"/>
                <w:szCs w:val="20"/>
                <w:lang w:val="pt-BR"/>
              </w:rPr>
              <w:t xml:space="preserve"> N</w:t>
            </w:r>
          </w:p>
        </w:tc>
      </w:tr>
      <w:tr w:rsidR="00707CE1" w:rsidRPr="0004587A" w14:paraId="4B011E36" w14:textId="77777777" w:rsidTr="00BB5D3B">
        <w:trPr>
          <w:trHeight w:val="340"/>
        </w:trPr>
        <w:tc>
          <w:tcPr>
            <w:tcW w:w="961" w:type="pct"/>
            <w:shd w:val="clear" w:color="auto" w:fill="D9D9D9" w:themeFill="background1" w:themeFillShade="D9"/>
            <w:vAlign w:val="center"/>
          </w:tcPr>
          <w:p w14:paraId="44792217"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2</w:t>
            </w:r>
          </w:p>
        </w:tc>
        <w:tc>
          <w:tcPr>
            <w:tcW w:w="2020" w:type="pct"/>
            <w:shd w:val="clear" w:color="auto" w:fill="D9D9D9" w:themeFill="background1" w:themeFillShade="D9"/>
            <w:vAlign w:val="center"/>
          </w:tcPr>
          <w:p w14:paraId="761D99E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w:t>
            </w:r>
            <w:r w:rsidRPr="00EE0E12">
              <w:rPr>
                <w:rFonts w:asciiTheme="majorHAnsi" w:hAnsiTheme="majorHAnsi"/>
                <w:sz w:val="20"/>
                <w:szCs w:val="20"/>
                <w:lang w:val="pt-BR"/>
              </w:rPr>
              <w:t>0</w:t>
            </w:r>
            <w:r w:rsidRPr="00EE0E12">
              <w:rPr>
                <w:rFonts w:asciiTheme="majorHAnsi" w:hAnsiTheme="majorHAnsi"/>
                <w:sz w:val="20"/>
                <w:szCs w:val="20"/>
              </w:rPr>
              <w:t xml:space="preserve">0’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68A6330B"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29’ 58,90’’</w:t>
            </w:r>
            <w:r w:rsidRPr="00EE0E12">
              <w:rPr>
                <w:rFonts w:asciiTheme="majorHAnsi" w:hAnsiTheme="majorHAnsi"/>
                <w:sz w:val="20"/>
                <w:szCs w:val="20"/>
                <w:lang w:val="pt-BR"/>
              </w:rPr>
              <w:t xml:space="preserve"> N</w:t>
            </w:r>
          </w:p>
        </w:tc>
      </w:tr>
      <w:tr w:rsidR="00707CE1" w:rsidRPr="0004587A" w14:paraId="2FB17889" w14:textId="77777777" w:rsidTr="00BB5D3B">
        <w:trPr>
          <w:trHeight w:val="340"/>
        </w:trPr>
        <w:tc>
          <w:tcPr>
            <w:tcW w:w="961" w:type="pct"/>
            <w:shd w:val="clear" w:color="auto" w:fill="D9D9D9" w:themeFill="background1" w:themeFillShade="D9"/>
            <w:vAlign w:val="center"/>
          </w:tcPr>
          <w:p w14:paraId="04F0E911"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3</w:t>
            </w:r>
          </w:p>
        </w:tc>
        <w:tc>
          <w:tcPr>
            <w:tcW w:w="2020" w:type="pct"/>
            <w:shd w:val="clear" w:color="auto" w:fill="D9D9D9" w:themeFill="background1" w:themeFillShade="D9"/>
            <w:vAlign w:val="center"/>
          </w:tcPr>
          <w:p w14:paraId="2929F6C9"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w:t>
            </w:r>
            <w:r w:rsidRPr="00EE0E12">
              <w:rPr>
                <w:rFonts w:asciiTheme="majorHAnsi" w:hAnsiTheme="majorHAnsi"/>
                <w:sz w:val="20"/>
                <w:szCs w:val="20"/>
                <w:lang w:val="pt-BR"/>
              </w:rPr>
              <w:t>0</w:t>
            </w:r>
            <w:r w:rsidRPr="00EE0E12">
              <w:rPr>
                <w:rFonts w:asciiTheme="majorHAnsi" w:hAnsiTheme="majorHAnsi"/>
                <w:sz w:val="20"/>
                <w:szCs w:val="20"/>
              </w:rPr>
              <w:t xml:space="preserve">0’ </w:t>
            </w:r>
            <w:r w:rsidRPr="00EE0E12">
              <w:rPr>
                <w:rFonts w:asciiTheme="majorHAnsi" w:hAnsiTheme="majorHAnsi"/>
                <w:sz w:val="20"/>
                <w:szCs w:val="20"/>
                <w:lang w:val="pt-BR"/>
              </w:rPr>
              <w:t>0</w:t>
            </w:r>
            <w:r w:rsidRPr="00EE0E12">
              <w:rPr>
                <w:rFonts w:asciiTheme="majorHAnsi" w:hAnsiTheme="majorHAnsi"/>
                <w:sz w:val="20"/>
                <w:szCs w:val="20"/>
              </w:rPr>
              <w:t xml:space="preserve">1,59” </w:t>
            </w:r>
            <w:r w:rsidRPr="00EE0E12">
              <w:rPr>
                <w:rFonts w:asciiTheme="majorHAnsi" w:hAnsiTheme="majorHAnsi"/>
                <w:sz w:val="20"/>
                <w:szCs w:val="20"/>
                <w:lang w:val="pt-BR"/>
              </w:rPr>
              <w:t>W</w:t>
            </w:r>
          </w:p>
        </w:tc>
        <w:tc>
          <w:tcPr>
            <w:tcW w:w="2019" w:type="pct"/>
            <w:shd w:val="clear" w:color="auto" w:fill="D9D9D9" w:themeFill="background1" w:themeFillShade="D9"/>
            <w:vAlign w:val="center"/>
          </w:tcPr>
          <w:p w14:paraId="49ED4D0B"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14’ 58,90’’</w:t>
            </w:r>
            <w:r w:rsidRPr="00EE0E12">
              <w:rPr>
                <w:rFonts w:asciiTheme="majorHAnsi" w:hAnsiTheme="majorHAnsi"/>
                <w:sz w:val="20"/>
                <w:szCs w:val="20"/>
                <w:lang w:val="pt-BR"/>
              </w:rPr>
              <w:t xml:space="preserve"> N</w:t>
            </w:r>
          </w:p>
        </w:tc>
      </w:tr>
      <w:tr w:rsidR="00707CE1" w:rsidRPr="0004587A" w14:paraId="7312B1EE" w14:textId="77777777" w:rsidTr="00BB5D3B">
        <w:trPr>
          <w:trHeight w:val="340"/>
        </w:trPr>
        <w:tc>
          <w:tcPr>
            <w:tcW w:w="961" w:type="pct"/>
            <w:shd w:val="clear" w:color="auto" w:fill="D9D9D9" w:themeFill="background1" w:themeFillShade="D9"/>
            <w:vAlign w:val="center"/>
          </w:tcPr>
          <w:p w14:paraId="4669FBEE" w14:textId="77777777" w:rsidR="00707CE1" w:rsidRPr="00EE0E12" w:rsidRDefault="00707CE1" w:rsidP="004C414F">
            <w:pPr>
              <w:pStyle w:val="TableParagraph"/>
              <w:tabs>
                <w:tab w:val="left" w:pos="10490"/>
              </w:tabs>
              <w:ind w:left="130" w:right="284"/>
              <w:jc w:val="center"/>
              <w:rPr>
                <w:rFonts w:asciiTheme="majorHAnsi" w:hAnsiTheme="majorHAnsi"/>
                <w:sz w:val="20"/>
                <w:szCs w:val="20"/>
                <w:lang w:val="pt-BR"/>
              </w:rPr>
            </w:pPr>
            <w:r w:rsidRPr="00EE0E12">
              <w:rPr>
                <w:rFonts w:asciiTheme="majorHAnsi" w:hAnsiTheme="majorHAnsi"/>
                <w:sz w:val="20"/>
                <w:szCs w:val="20"/>
                <w:lang w:val="pt-BR"/>
              </w:rPr>
              <w:t>4</w:t>
            </w:r>
          </w:p>
        </w:tc>
        <w:tc>
          <w:tcPr>
            <w:tcW w:w="2020" w:type="pct"/>
            <w:shd w:val="clear" w:color="auto" w:fill="D9D9D9" w:themeFill="background1" w:themeFillShade="D9"/>
            <w:vAlign w:val="center"/>
          </w:tcPr>
          <w:p w14:paraId="6AF2C355"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 xml:space="preserve">50° 15’ </w:t>
            </w:r>
            <w:r w:rsidRPr="00EE0E12">
              <w:rPr>
                <w:rFonts w:asciiTheme="majorHAnsi" w:hAnsiTheme="majorHAnsi"/>
                <w:sz w:val="20"/>
                <w:szCs w:val="20"/>
                <w:lang w:val="pt-BR"/>
              </w:rPr>
              <w:t>0</w:t>
            </w:r>
            <w:r w:rsidRPr="00EE0E12">
              <w:rPr>
                <w:rFonts w:asciiTheme="majorHAnsi" w:hAnsiTheme="majorHAnsi"/>
                <w:sz w:val="20"/>
                <w:szCs w:val="20"/>
              </w:rPr>
              <w:t>1,60”</w:t>
            </w:r>
            <w:r w:rsidRPr="00EE0E12">
              <w:rPr>
                <w:rFonts w:asciiTheme="majorHAnsi" w:hAnsiTheme="majorHAnsi"/>
                <w:sz w:val="20"/>
                <w:szCs w:val="20"/>
                <w:lang w:val="pt-BR"/>
              </w:rPr>
              <w:t xml:space="preserve"> W</w:t>
            </w:r>
          </w:p>
        </w:tc>
        <w:tc>
          <w:tcPr>
            <w:tcW w:w="2019" w:type="pct"/>
            <w:shd w:val="clear" w:color="auto" w:fill="D9D9D9" w:themeFill="background1" w:themeFillShade="D9"/>
            <w:vAlign w:val="center"/>
          </w:tcPr>
          <w:p w14:paraId="7E3C86F7" w14:textId="77777777" w:rsidR="00707CE1" w:rsidRPr="00EE0E12" w:rsidRDefault="00707CE1" w:rsidP="004C414F">
            <w:pPr>
              <w:pStyle w:val="PEIParagrafo"/>
              <w:spacing w:before="0" w:after="0" w:line="240" w:lineRule="auto"/>
              <w:jc w:val="center"/>
              <w:rPr>
                <w:rFonts w:asciiTheme="majorHAnsi" w:hAnsiTheme="majorHAnsi"/>
                <w:sz w:val="20"/>
                <w:szCs w:val="20"/>
                <w:lang w:val="pt-BR"/>
              </w:rPr>
            </w:pPr>
            <w:r w:rsidRPr="00EE0E12">
              <w:rPr>
                <w:rFonts w:asciiTheme="majorHAnsi" w:hAnsiTheme="majorHAnsi"/>
                <w:sz w:val="20"/>
                <w:szCs w:val="20"/>
                <w:lang w:val="pt-BR"/>
              </w:rPr>
              <w:t>0</w:t>
            </w:r>
            <w:r w:rsidRPr="00EE0E12">
              <w:rPr>
                <w:rFonts w:asciiTheme="majorHAnsi" w:hAnsiTheme="majorHAnsi"/>
                <w:sz w:val="20"/>
                <w:szCs w:val="20"/>
              </w:rPr>
              <w:t>5° 14’ 58,89’’</w:t>
            </w:r>
            <w:r w:rsidRPr="00EE0E12">
              <w:rPr>
                <w:rFonts w:asciiTheme="majorHAnsi" w:hAnsiTheme="majorHAnsi"/>
                <w:sz w:val="20"/>
                <w:szCs w:val="20"/>
                <w:lang w:val="pt-BR"/>
              </w:rPr>
              <w:t xml:space="preserve"> N</w:t>
            </w:r>
          </w:p>
        </w:tc>
      </w:tr>
    </w:tbl>
    <w:p w14:paraId="2F40EF93" w14:textId="24DA3561" w:rsidR="00707CE1" w:rsidRDefault="00707CE1" w:rsidP="00582B75">
      <w:pPr>
        <w:pStyle w:val="tier1Itext"/>
        <w:keepLines w:val="0"/>
        <w:widowControl/>
        <w:spacing w:before="360"/>
      </w:pPr>
      <w:r w:rsidRPr="00EE0E12">
        <w:t>Durante as operações da BP</w:t>
      </w:r>
      <w:r w:rsidR="0009102C">
        <w:t xml:space="preserve"> Energy</w:t>
      </w:r>
      <w:r w:rsidRPr="00EE0E12">
        <w:t xml:space="preserve"> no Bloco FZA-M-59 está prevista a perfuração de 0</w:t>
      </w:r>
      <w:r w:rsidR="00366B62">
        <w:t>1</w:t>
      </w:r>
      <w:r w:rsidRPr="00EE0E12">
        <w:t xml:space="preserve"> (</w:t>
      </w:r>
      <w:r w:rsidR="00366B62">
        <w:t>um</w:t>
      </w:r>
      <w:r w:rsidRPr="00EE0E12">
        <w:t>) poço – preferencialmente o prospecto M</w:t>
      </w:r>
      <w:r w:rsidR="00366B62">
        <w:t>orpho</w:t>
      </w:r>
      <w:r w:rsidRPr="00EE0E12">
        <w:t xml:space="preserve">, cujas principais informações são indicadas na </w:t>
      </w:r>
      <w:r w:rsidRPr="00EE0E12">
        <w:fldChar w:fldCharType="begin"/>
      </w:r>
      <w:r w:rsidRPr="00EE0E12">
        <w:instrText xml:space="preserve"> REF _Ref407716039 \h  \* MERGEFORMAT </w:instrText>
      </w:r>
      <w:r w:rsidRPr="00EE0E12">
        <w:fldChar w:fldCharType="separate"/>
      </w:r>
      <w:r w:rsidR="00897470" w:rsidRPr="00897470">
        <w:rPr>
          <w:b/>
          <w:szCs w:val="22"/>
        </w:rPr>
        <w:t xml:space="preserve">Tabela </w:t>
      </w:r>
      <w:r w:rsidR="00897470" w:rsidRPr="00897470">
        <w:rPr>
          <w:b/>
          <w:noProof/>
          <w:szCs w:val="22"/>
        </w:rPr>
        <w:t>4</w:t>
      </w:r>
      <w:r w:rsidRPr="00EE0E12">
        <w:fldChar w:fldCharType="end"/>
      </w:r>
      <w:r w:rsidRPr="00EE0E12">
        <w:t xml:space="preserve">. </w:t>
      </w:r>
      <w:r w:rsidR="00366B62">
        <w:t>Este poço</w:t>
      </w:r>
      <w:r w:rsidRPr="00EE0E12">
        <w:t xml:space="preserve"> está previsto para ser iniciado em </w:t>
      </w:r>
      <w:r w:rsidR="00366B62" w:rsidRPr="00366B62">
        <w:t>janeiro</w:t>
      </w:r>
      <w:r w:rsidR="0009102C" w:rsidRPr="00366B62">
        <w:t xml:space="preserve"> </w:t>
      </w:r>
      <w:r w:rsidRPr="00366B62">
        <w:t>de 201</w:t>
      </w:r>
      <w:r w:rsidR="00366B62" w:rsidRPr="00366B62">
        <w:t>8</w:t>
      </w:r>
      <w:r w:rsidRPr="00EE0E12">
        <w:t xml:space="preserve">, </w:t>
      </w:r>
      <w:r w:rsidR="00366B62">
        <w:t xml:space="preserve">devendo ser </w:t>
      </w:r>
      <w:r w:rsidRPr="00EE0E12">
        <w:t xml:space="preserve">perfurado em </w:t>
      </w:r>
      <w:r w:rsidR="00366B62">
        <w:t xml:space="preserve">até </w:t>
      </w:r>
      <w:r w:rsidRPr="00EE0E12">
        <w:t>150 dias. Ele está situado a 1</w:t>
      </w:r>
      <w:r w:rsidR="00366B62">
        <w:t>79</w:t>
      </w:r>
      <w:r w:rsidRPr="00EE0E12">
        <w:t xml:space="preserve"> km da costa</w:t>
      </w:r>
      <w:r w:rsidRPr="00EE0E12">
        <w:rPr>
          <w:rStyle w:val="FootnoteReference"/>
        </w:rPr>
        <w:footnoteReference w:id="3"/>
      </w:r>
      <w:r w:rsidRPr="00EE0E12">
        <w:t xml:space="preserve"> e em uma lâmina d’água de </w:t>
      </w:r>
      <w:r w:rsidR="00366B62">
        <w:t>2</w:t>
      </w:r>
      <w:r w:rsidRPr="00EE0E12">
        <w:t>.</w:t>
      </w:r>
      <w:r w:rsidR="00366B62">
        <w:t>98</w:t>
      </w:r>
      <w:r w:rsidRPr="00EE0E12">
        <w:t xml:space="preserve">0 m de profundidade. </w:t>
      </w:r>
    </w:p>
    <w:p w14:paraId="5A043018" w14:textId="77777777" w:rsidR="00366B62" w:rsidRPr="00EE0E12" w:rsidRDefault="00366B62" w:rsidP="00582B75">
      <w:pPr>
        <w:pStyle w:val="tier1Itext"/>
        <w:keepLines w:val="0"/>
        <w:widowControl/>
        <w:spacing w:before="360"/>
      </w:pP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000" w:firstRow="0" w:lastRow="0" w:firstColumn="0" w:lastColumn="0" w:noHBand="0" w:noVBand="0"/>
      </w:tblPr>
      <w:tblGrid>
        <w:gridCol w:w="1080"/>
        <w:gridCol w:w="1926"/>
        <w:gridCol w:w="1924"/>
        <w:gridCol w:w="1112"/>
        <w:gridCol w:w="1666"/>
        <w:gridCol w:w="1316"/>
      </w:tblGrid>
      <w:tr w:rsidR="00707CE1" w:rsidRPr="002C2D05" w14:paraId="7AD3B707" w14:textId="77777777" w:rsidTr="00BB5D3B">
        <w:trPr>
          <w:trHeight w:val="340"/>
        </w:trPr>
        <w:tc>
          <w:tcPr>
            <w:tcW w:w="5000" w:type="pct"/>
            <w:gridSpan w:val="6"/>
            <w:shd w:val="clear" w:color="auto" w:fill="FFFFFF" w:themeFill="background1"/>
            <w:vAlign w:val="bottom"/>
          </w:tcPr>
          <w:p w14:paraId="69339478" w14:textId="770544BE" w:rsidR="00707CE1" w:rsidRPr="00EE0E12" w:rsidRDefault="00707CE1" w:rsidP="00366B62">
            <w:pPr>
              <w:pStyle w:val="Caption"/>
              <w:spacing w:before="0" w:after="0" w:line="240" w:lineRule="auto"/>
              <w:jc w:val="left"/>
              <w:rPr>
                <w:rFonts w:cs="Calibri"/>
                <w:color w:val="FFFFFF"/>
              </w:rPr>
            </w:pPr>
            <w:bookmarkStart w:id="43" w:name="_Ref407716039"/>
            <w:bookmarkStart w:id="44" w:name="_Toc408566936"/>
            <w:bookmarkStart w:id="45" w:name="_Toc412642141"/>
            <w:bookmarkStart w:id="46" w:name="_Toc523834036"/>
            <w:r w:rsidRPr="00EE0E12">
              <w:lastRenderedPageBreak/>
              <w:t xml:space="preserve">Tabela </w:t>
            </w:r>
            <w:fldSimple w:instr=" SEQ Tabela \* ARABIC ">
              <w:r w:rsidR="00897470">
                <w:rPr>
                  <w:noProof/>
                </w:rPr>
                <w:t>4</w:t>
              </w:r>
            </w:fldSimple>
            <w:bookmarkEnd w:id="43"/>
            <w:r w:rsidRPr="00EE0E12">
              <w:t>: Informações do poço a ser perfurado pela BP</w:t>
            </w:r>
            <w:r w:rsidR="00366B62">
              <w:t xml:space="preserve"> Energy</w:t>
            </w:r>
            <w:r w:rsidRPr="00EE0E12">
              <w:t xml:space="preserve"> no Bloco FZA-M-59.</w:t>
            </w:r>
            <w:bookmarkEnd w:id="44"/>
            <w:bookmarkEnd w:id="45"/>
            <w:bookmarkEnd w:id="46"/>
          </w:p>
        </w:tc>
      </w:tr>
      <w:tr w:rsidR="00707CE1" w:rsidRPr="00420C5D" w14:paraId="51C0D7C9" w14:textId="77777777" w:rsidTr="00BB5D3B">
        <w:trPr>
          <w:trHeight w:val="387"/>
        </w:trPr>
        <w:tc>
          <w:tcPr>
            <w:tcW w:w="599" w:type="pct"/>
            <w:shd w:val="clear" w:color="auto" w:fill="1F497D"/>
            <w:vAlign w:val="center"/>
          </w:tcPr>
          <w:p w14:paraId="272175EA"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Poço</w:t>
            </w:r>
          </w:p>
        </w:tc>
        <w:tc>
          <w:tcPr>
            <w:tcW w:w="1067" w:type="pct"/>
            <w:shd w:val="clear" w:color="auto" w:fill="1F497D"/>
            <w:vAlign w:val="center"/>
          </w:tcPr>
          <w:p w14:paraId="49B55AEA"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Latitude</w:t>
            </w:r>
          </w:p>
        </w:tc>
        <w:tc>
          <w:tcPr>
            <w:tcW w:w="1066" w:type="pct"/>
            <w:shd w:val="clear" w:color="auto" w:fill="1F497D"/>
            <w:vAlign w:val="center"/>
          </w:tcPr>
          <w:p w14:paraId="4D6D92BB"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Longitude</w:t>
            </w:r>
          </w:p>
        </w:tc>
        <w:tc>
          <w:tcPr>
            <w:tcW w:w="616" w:type="pct"/>
            <w:shd w:val="clear" w:color="auto" w:fill="1F497D"/>
            <w:vAlign w:val="center"/>
          </w:tcPr>
          <w:p w14:paraId="7FA2F3F6"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Lâmina d’água (m)</w:t>
            </w:r>
          </w:p>
        </w:tc>
        <w:tc>
          <w:tcPr>
            <w:tcW w:w="923" w:type="pct"/>
            <w:shd w:val="clear" w:color="auto" w:fill="1F497D"/>
            <w:vAlign w:val="center"/>
          </w:tcPr>
          <w:p w14:paraId="29761104"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highlight w:val="yellow"/>
                <w:lang w:val="pt-BR"/>
              </w:rPr>
            </w:pPr>
            <w:r w:rsidRPr="00EE0E12">
              <w:rPr>
                <w:rFonts w:asciiTheme="majorHAnsi" w:hAnsiTheme="majorHAnsi" w:cs="Calibri"/>
                <w:b/>
                <w:color w:val="FFFFFF"/>
                <w:sz w:val="20"/>
                <w:szCs w:val="20"/>
                <w:lang w:val="pt-BR"/>
              </w:rPr>
              <w:t>Menor distância aproximada da costa (km)</w:t>
            </w:r>
          </w:p>
        </w:tc>
        <w:tc>
          <w:tcPr>
            <w:tcW w:w="729" w:type="pct"/>
            <w:shd w:val="clear" w:color="auto" w:fill="1F497D"/>
            <w:vAlign w:val="center"/>
          </w:tcPr>
          <w:p w14:paraId="3177889E" w14:textId="77777777" w:rsidR="00707CE1" w:rsidRPr="00EE0E12" w:rsidRDefault="00707CE1" w:rsidP="008D4FB6">
            <w:pPr>
              <w:pStyle w:val="PEIParagrafo"/>
              <w:spacing w:before="0" w:after="0" w:line="240" w:lineRule="auto"/>
              <w:jc w:val="center"/>
              <w:rPr>
                <w:rFonts w:asciiTheme="majorHAnsi" w:hAnsiTheme="majorHAnsi" w:cs="Calibri"/>
                <w:b/>
                <w:color w:val="FFFFFF"/>
                <w:sz w:val="20"/>
                <w:szCs w:val="20"/>
                <w:lang w:val="pt-BR"/>
              </w:rPr>
            </w:pPr>
            <w:r w:rsidRPr="00EE0E12">
              <w:rPr>
                <w:rFonts w:asciiTheme="majorHAnsi" w:hAnsiTheme="majorHAnsi" w:cs="Calibri"/>
                <w:b/>
                <w:color w:val="FFFFFF"/>
                <w:sz w:val="20"/>
                <w:szCs w:val="20"/>
                <w:lang w:val="pt-BR"/>
              </w:rPr>
              <w:t>Ponto de Referência</w:t>
            </w:r>
          </w:p>
        </w:tc>
      </w:tr>
      <w:tr w:rsidR="00707CE1" w:rsidRPr="00420C5D" w14:paraId="35ED337B" w14:textId="77777777" w:rsidTr="00BB5D3B">
        <w:trPr>
          <w:trHeight w:val="413"/>
        </w:trPr>
        <w:tc>
          <w:tcPr>
            <w:tcW w:w="599" w:type="pct"/>
            <w:shd w:val="clear" w:color="auto" w:fill="D9D9D9" w:themeFill="background1" w:themeFillShade="D9"/>
            <w:vAlign w:val="center"/>
          </w:tcPr>
          <w:p w14:paraId="6E23114F" w14:textId="0000F5BC" w:rsidR="00707CE1" w:rsidRPr="00EE0E12" w:rsidRDefault="00707CE1" w:rsidP="00366B62">
            <w:pPr>
              <w:spacing w:before="0" w:line="240" w:lineRule="auto"/>
              <w:jc w:val="center"/>
              <w:rPr>
                <w:rFonts w:asciiTheme="majorHAnsi" w:hAnsiTheme="majorHAnsi" w:cs="Calibri"/>
                <w:sz w:val="20"/>
                <w:szCs w:val="20"/>
              </w:rPr>
            </w:pPr>
            <w:bookmarkStart w:id="47" w:name="_Hlk295206119"/>
            <w:r w:rsidRPr="00EE0E12">
              <w:rPr>
                <w:rFonts w:asciiTheme="majorHAnsi" w:hAnsiTheme="majorHAnsi"/>
                <w:sz w:val="20"/>
                <w:szCs w:val="20"/>
              </w:rPr>
              <w:t>M</w:t>
            </w:r>
            <w:r w:rsidR="00366B62">
              <w:rPr>
                <w:rFonts w:asciiTheme="majorHAnsi" w:hAnsiTheme="majorHAnsi"/>
                <w:sz w:val="20"/>
                <w:szCs w:val="20"/>
              </w:rPr>
              <w:t>orpho</w:t>
            </w:r>
          </w:p>
        </w:tc>
        <w:tc>
          <w:tcPr>
            <w:tcW w:w="1067" w:type="pct"/>
            <w:shd w:val="clear" w:color="auto" w:fill="D9D9D9" w:themeFill="background1" w:themeFillShade="D9"/>
            <w:vAlign w:val="center"/>
          </w:tcPr>
          <w:p w14:paraId="525BF4FD" w14:textId="1A5F5222"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 xml:space="preserve">05º </w:t>
            </w:r>
            <w:r w:rsidR="00366B62">
              <w:rPr>
                <w:rFonts w:asciiTheme="majorHAnsi" w:hAnsiTheme="majorHAnsi"/>
                <w:sz w:val="20"/>
                <w:szCs w:val="20"/>
              </w:rPr>
              <w:t>18</w:t>
            </w:r>
            <w:r w:rsidRPr="00EE0E12">
              <w:rPr>
                <w:rFonts w:asciiTheme="majorHAnsi" w:hAnsiTheme="majorHAnsi"/>
                <w:sz w:val="20"/>
                <w:szCs w:val="20"/>
              </w:rPr>
              <w:t xml:space="preserve">’ </w:t>
            </w:r>
            <w:r w:rsidR="00366B62">
              <w:rPr>
                <w:rFonts w:asciiTheme="majorHAnsi" w:hAnsiTheme="majorHAnsi"/>
                <w:sz w:val="20"/>
                <w:szCs w:val="20"/>
              </w:rPr>
              <w:t>55</w:t>
            </w:r>
            <w:r w:rsidRPr="00EE0E12">
              <w:rPr>
                <w:rFonts w:asciiTheme="majorHAnsi" w:hAnsiTheme="majorHAnsi"/>
                <w:sz w:val="20"/>
                <w:szCs w:val="20"/>
              </w:rPr>
              <w:t>,7</w:t>
            </w:r>
            <w:r w:rsidR="00366B62">
              <w:rPr>
                <w:rFonts w:asciiTheme="majorHAnsi" w:hAnsiTheme="majorHAnsi"/>
                <w:sz w:val="20"/>
                <w:szCs w:val="20"/>
              </w:rPr>
              <w:t>65</w:t>
            </w:r>
            <w:r w:rsidRPr="00EE0E12">
              <w:rPr>
                <w:rFonts w:asciiTheme="majorHAnsi" w:hAnsiTheme="majorHAnsi"/>
                <w:sz w:val="20"/>
                <w:szCs w:val="20"/>
              </w:rPr>
              <w:t>”N</w:t>
            </w:r>
          </w:p>
        </w:tc>
        <w:tc>
          <w:tcPr>
            <w:tcW w:w="1066" w:type="pct"/>
            <w:shd w:val="clear" w:color="auto" w:fill="D9D9D9" w:themeFill="background1" w:themeFillShade="D9"/>
            <w:vAlign w:val="center"/>
          </w:tcPr>
          <w:p w14:paraId="2CD28054" w14:textId="1253418B"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050</w:t>
            </w:r>
            <w:r w:rsidR="00AB59A9">
              <w:rPr>
                <w:rFonts w:asciiTheme="majorHAnsi" w:hAnsiTheme="majorHAnsi"/>
                <w:sz w:val="20"/>
                <w:szCs w:val="20"/>
              </w:rPr>
              <w:t>º</w:t>
            </w:r>
            <w:r w:rsidRPr="00EE0E12">
              <w:rPr>
                <w:rFonts w:asciiTheme="majorHAnsi" w:hAnsiTheme="majorHAnsi"/>
                <w:sz w:val="20"/>
                <w:szCs w:val="20"/>
              </w:rPr>
              <w:t xml:space="preserve"> </w:t>
            </w:r>
            <w:r w:rsidR="00366B62">
              <w:rPr>
                <w:rFonts w:asciiTheme="majorHAnsi" w:hAnsiTheme="majorHAnsi"/>
                <w:sz w:val="20"/>
                <w:szCs w:val="20"/>
              </w:rPr>
              <w:t>04</w:t>
            </w:r>
            <w:r w:rsidRPr="00EE0E12">
              <w:rPr>
                <w:rFonts w:asciiTheme="majorHAnsi" w:hAnsiTheme="majorHAnsi"/>
                <w:sz w:val="20"/>
                <w:szCs w:val="20"/>
              </w:rPr>
              <w:t xml:space="preserve">’ </w:t>
            </w:r>
            <w:r w:rsidR="00366B62">
              <w:rPr>
                <w:rFonts w:asciiTheme="majorHAnsi" w:hAnsiTheme="majorHAnsi"/>
                <w:sz w:val="20"/>
                <w:szCs w:val="20"/>
              </w:rPr>
              <w:t>26</w:t>
            </w:r>
            <w:r w:rsidRPr="00EE0E12">
              <w:rPr>
                <w:rFonts w:asciiTheme="majorHAnsi" w:hAnsiTheme="majorHAnsi"/>
                <w:sz w:val="20"/>
                <w:szCs w:val="20"/>
              </w:rPr>
              <w:t>,</w:t>
            </w:r>
            <w:r w:rsidR="00366B62">
              <w:rPr>
                <w:rFonts w:asciiTheme="majorHAnsi" w:hAnsiTheme="majorHAnsi"/>
                <w:sz w:val="20"/>
                <w:szCs w:val="20"/>
              </w:rPr>
              <w:t>997</w:t>
            </w:r>
            <w:r w:rsidRPr="00EE0E12">
              <w:rPr>
                <w:rFonts w:asciiTheme="majorHAnsi" w:hAnsiTheme="majorHAnsi"/>
                <w:sz w:val="20"/>
                <w:szCs w:val="20"/>
              </w:rPr>
              <w:t>” W</w:t>
            </w:r>
          </w:p>
        </w:tc>
        <w:tc>
          <w:tcPr>
            <w:tcW w:w="616" w:type="pct"/>
            <w:shd w:val="clear" w:color="auto" w:fill="D9D9D9" w:themeFill="background1" w:themeFillShade="D9"/>
            <w:vAlign w:val="center"/>
          </w:tcPr>
          <w:p w14:paraId="2291D801" w14:textId="709B2B1C" w:rsidR="00707CE1" w:rsidRPr="00EE0E12" w:rsidRDefault="00366B62" w:rsidP="00366B62">
            <w:pPr>
              <w:spacing w:before="0" w:line="240" w:lineRule="auto"/>
              <w:jc w:val="center"/>
              <w:rPr>
                <w:rFonts w:asciiTheme="majorHAnsi" w:hAnsiTheme="majorHAnsi" w:cs="Calibri"/>
                <w:sz w:val="20"/>
                <w:szCs w:val="20"/>
              </w:rPr>
            </w:pPr>
            <w:r>
              <w:rPr>
                <w:rFonts w:asciiTheme="majorHAnsi" w:hAnsiTheme="majorHAnsi"/>
                <w:sz w:val="20"/>
                <w:szCs w:val="20"/>
              </w:rPr>
              <w:t>2</w:t>
            </w:r>
            <w:r w:rsidR="00707CE1" w:rsidRPr="00EE0E12">
              <w:rPr>
                <w:rFonts w:asciiTheme="majorHAnsi" w:hAnsiTheme="majorHAnsi"/>
                <w:sz w:val="20"/>
                <w:szCs w:val="20"/>
              </w:rPr>
              <w:t>.</w:t>
            </w:r>
            <w:r>
              <w:rPr>
                <w:rFonts w:asciiTheme="majorHAnsi" w:hAnsiTheme="majorHAnsi"/>
                <w:sz w:val="20"/>
                <w:szCs w:val="20"/>
              </w:rPr>
              <w:t>98</w:t>
            </w:r>
            <w:r w:rsidR="00707CE1" w:rsidRPr="00EE0E12">
              <w:rPr>
                <w:rFonts w:asciiTheme="majorHAnsi" w:hAnsiTheme="majorHAnsi"/>
                <w:sz w:val="20"/>
                <w:szCs w:val="20"/>
              </w:rPr>
              <w:t>0</w:t>
            </w:r>
          </w:p>
        </w:tc>
        <w:tc>
          <w:tcPr>
            <w:tcW w:w="923" w:type="pct"/>
            <w:shd w:val="clear" w:color="auto" w:fill="D9D9D9" w:themeFill="background1" w:themeFillShade="D9"/>
            <w:vAlign w:val="center"/>
          </w:tcPr>
          <w:p w14:paraId="50186EC3" w14:textId="2DDF9E8D" w:rsidR="00707CE1" w:rsidRPr="00EE0E12" w:rsidRDefault="00707CE1" w:rsidP="00366B62">
            <w:pPr>
              <w:spacing w:before="0" w:line="240" w:lineRule="auto"/>
              <w:jc w:val="center"/>
              <w:rPr>
                <w:rFonts w:asciiTheme="majorHAnsi" w:hAnsiTheme="majorHAnsi" w:cs="Calibri"/>
                <w:sz w:val="20"/>
                <w:szCs w:val="20"/>
              </w:rPr>
            </w:pPr>
            <w:r w:rsidRPr="00EE0E12">
              <w:rPr>
                <w:rFonts w:asciiTheme="majorHAnsi" w:hAnsiTheme="majorHAnsi"/>
                <w:sz w:val="20"/>
                <w:szCs w:val="20"/>
              </w:rPr>
              <w:t>1</w:t>
            </w:r>
            <w:r w:rsidR="00366B62">
              <w:rPr>
                <w:rFonts w:asciiTheme="majorHAnsi" w:hAnsiTheme="majorHAnsi"/>
                <w:sz w:val="20"/>
                <w:szCs w:val="20"/>
              </w:rPr>
              <w:t>79</w:t>
            </w:r>
          </w:p>
        </w:tc>
        <w:tc>
          <w:tcPr>
            <w:tcW w:w="729" w:type="pct"/>
            <w:shd w:val="clear" w:color="auto" w:fill="D9D9D9" w:themeFill="background1" w:themeFillShade="D9"/>
            <w:vAlign w:val="center"/>
          </w:tcPr>
          <w:p w14:paraId="545E04DB" w14:textId="77777777" w:rsidR="00707CE1" w:rsidRPr="00EE0E12" w:rsidRDefault="00707CE1" w:rsidP="008D4FB6">
            <w:pPr>
              <w:spacing w:before="0" w:line="240" w:lineRule="auto"/>
              <w:jc w:val="center"/>
              <w:rPr>
                <w:rFonts w:asciiTheme="majorHAnsi" w:hAnsiTheme="majorHAnsi" w:cs="Calibri"/>
                <w:sz w:val="20"/>
                <w:szCs w:val="20"/>
              </w:rPr>
            </w:pPr>
            <w:r w:rsidRPr="00EE0E12">
              <w:rPr>
                <w:rFonts w:asciiTheme="majorHAnsi" w:hAnsiTheme="majorHAnsi"/>
                <w:sz w:val="20"/>
                <w:szCs w:val="20"/>
              </w:rPr>
              <w:t>Oiapoque</w:t>
            </w:r>
          </w:p>
        </w:tc>
      </w:tr>
    </w:tbl>
    <w:bookmarkEnd w:id="47"/>
    <w:p w14:paraId="30630543" w14:textId="5CAC0623" w:rsidR="00707CE1" w:rsidRPr="00EE0E12" w:rsidRDefault="00707CE1" w:rsidP="00AB59A9">
      <w:pPr>
        <w:pStyle w:val="tier1Itext"/>
        <w:spacing w:before="360"/>
      </w:pPr>
      <w:r w:rsidRPr="00EE0E12">
        <w:t xml:space="preserve">Para as atividades de perfuração marítima no Bloco FZA-M-59 será utilizado o navio sonda </w:t>
      </w:r>
      <w:r w:rsidRPr="00EE0E12">
        <w:rPr>
          <w:rFonts w:cs="TT1D8t00"/>
          <w:szCs w:val="22"/>
        </w:rPr>
        <w:t>ENSCO DS-</w:t>
      </w:r>
      <w:r w:rsidR="00366B62">
        <w:rPr>
          <w:rFonts w:cs="TT1D8t00"/>
          <w:szCs w:val="22"/>
        </w:rPr>
        <w:t>9</w:t>
      </w:r>
      <w:r w:rsidRPr="00EE0E12">
        <w:rPr>
          <w:rFonts w:cs="TT1D8t00"/>
          <w:szCs w:val="22"/>
        </w:rPr>
        <w:t xml:space="preserve"> (</w:t>
      </w:r>
      <w:r w:rsidRPr="00EE0E12">
        <w:rPr>
          <w:b/>
        </w:rPr>
        <w:fldChar w:fldCharType="begin"/>
      </w:r>
      <w:r w:rsidRPr="00EE0E12">
        <w:rPr>
          <w:b/>
        </w:rPr>
        <w:instrText xml:space="preserve"> REF _Ref407697235 \h  \* MERGEFORMAT </w:instrText>
      </w:r>
      <w:r w:rsidRPr="00EE0E12">
        <w:rPr>
          <w:b/>
        </w:rPr>
      </w:r>
      <w:r w:rsidRPr="00EE0E12">
        <w:rPr>
          <w:b/>
        </w:rPr>
        <w:fldChar w:fldCharType="separate"/>
      </w:r>
      <w:r w:rsidR="00897470" w:rsidRPr="00897470">
        <w:rPr>
          <w:b/>
        </w:rPr>
        <w:t xml:space="preserve">Tabela </w:t>
      </w:r>
      <w:r w:rsidR="00897470" w:rsidRPr="00897470">
        <w:rPr>
          <w:b/>
          <w:noProof/>
        </w:rPr>
        <w:t>5</w:t>
      </w:r>
      <w:r w:rsidRPr="00EE0E12">
        <w:rPr>
          <w:b/>
        </w:rPr>
        <w:fldChar w:fldCharType="end"/>
      </w:r>
      <w:r w:rsidRPr="00EE0E12">
        <w:t>). Antes do início da perfuração d</w:t>
      </w:r>
      <w:r w:rsidR="00366B62">
        <w:t>o</w:t>
      </w:r>
      <w:r w:rsidRPr="00EE0E12">
        <w:t xml:space="preserve"> poço, o navio sonda navegará até a locação, permanecendo nesta posição durante a atividade por meio do seu sistema de posicionamento dinâmico. Após fechamento e abandono do poço, a sonda </w:t>
      </w:r>
      <w:r w:rsidR="00366B62">
        <w:t>será desmobilizada</w:t>
      </w:r>
      <w:r w:rsidRPr="00EE0E12">
        <w:t>. As dimensões principais e demais características da ENSCO DS-</w:t>
      </w:r>
      <w:r w:rsidR="00366B62">
        <w:t>9</w:t>
      </w:r>
      <w:r w:rsidRPr="00EE0E12">
        <w:t xml:space="preserve"> são apresentadas no </w:t>
      </w:r>
      <w:r w:rsidRPr="00CE6488">
        <w:rPr>
          <w:b/>
        </w:rPr>
        <w:t>A</w:t>
      </w:r>
      <w:r w:rsidR="00D66D31" w:rsidRPr="00CE6488">
        <w:rPr>
          <w:b/>
        </w:rPr>
        <w:t>NEXO</w:t>
      </w:r>
      <w:r w:rsidRPr="00CE6488">
        <w:rPr>
          <w:b/>
        </w:rPr>
        <w:t> A</w:t>
      </w:r>
      <w:r w:rsidR="00CE6488" w:rsidRPr="00CE6488">
        <w:rPr>
          <w:rStyle w:val="FootnoteReference"/>
          <w:b/>
        </w:rPr>
        <w:footnoteReference w:id="4"/>
      </w:r>
      <w:r w:rsidRPr="00CE6488">
        <w:t>.</w:t>
      </w:r>
    </w:p>
    <w:tbl>
      <w:tblPr>
        <w:tblW w:w="5000" w:type="pct"/>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left w:w="70" w:type="dxa"/>
          <w:right w:w="70" w:type="dxa"/>
        </w:tblCellMar>
        <w:tblLook w:val="04A0" w:firstRow="1" w:lastRow="0" w:firstColumn="1" w:lastColumn="0" w:noHBand="0" w:noVBand="1"/>
      </w:tblPr>
      <w:tblGrid>
        <w:gridCol w:w="3124"/>
        <w:gridCol w:w="5900"/>
      </w:tblGrid>
      <w:tr w:rsidR="00707CE1" w:rsidRPr="002C2D05" w14:paraId="2B507B86" w14:textId="77777777" w:rsidTr="00AB59A9">
        <w:trPr>
          <w:trHeight w:val="340"/>
          <w:tblHeader/>
        </w:trPr>
        <w:tc>
          <w:tcPr>
            <w:tcW w:w="5000" w:type="pct"/>
            <w:gridSpan w:val="2"/>
            <w:tcBorders>
              <w:top w:val="single" w:sz="18" w:space="0" w:color="FFFFFF"/>
              <w:left w:val="single" w:sz="18" w:space="0" w:color="FFFFFF"/>
              <w:bottom w:val="single" w:sz="18" w:space="0" w:color="FFFFFF"/>
              <w:right w:val="single" w:sz="18" w:space="0" w:color="FFFFFF"/>
            </w:tcBorders>
            <w:shd w:val="clear" w:color="auto" w:fill="auto"/>
            <w:noWrap/>
            <w:vAlign w:val="bottom"/>
            <w:hideMark/>
          </w:tcPr>
          <w:p w14:paraId="61CDB2C8" w14:textId="5A5B4EE8" w:rsidR="00707CE1" w:rsidRPr="00EE0E12" w:rsidRDefault="00707CE1" w:rsidP="00366B62">
            <w:pPr>
              <w:pStyle w:val="Caption"/>
              <w:keepNext w:val="0"/>
              <w:spacing w:before="0" w:after="0" w:line="240" w:lineRule="auto"/>
              <w:jc w:val="left"/>
              <w:rPr>
                <w:rFonts w:cs="Calibri"/>
                <w:color w:val="FFFFFF"/>
              </w:rPr>
            </w:pPr>
            <w:bookmarkStart w:id="48" w:name="_Ref407697235"/>
            <w:bookmarkStart w:id="49" w:name="_Toc408566938"/>
            <w:bookmarkStart w:id="50" w:name="_Toc412642142"/>
            <w:bookmarkStart w:id="51" w:name="_Toc523834037"/>
            <w:r w:rsidRPr="00EE0E12">
              <w:t xml:space="preserve">Tabela </w:t>
            </w:r>
            <w:fldSimple w:instr=" SEQ Tabela \* ARABIC ">
              <w:r w:rsidR="00897470">
                <w:rPr>
                  <w:noProof/>
                </w:rPr>
                <w:t>5</w:t>
              </w:r>
            </w:fldSimple>
            <w:bookmarkEnd w:id="48"/>
            <w:r w:rsidRPr="00EE0E12">
              <w:t xml:space="preserve">: Dados da </w:t>
            </w:r>
            <w:r w:rsidRPr="00EE0E12">
              <w:rPr>
                <w:rFonts w:cs="TT1D8t00"/>
              </w:rPr>
              <w:t>ENSCO DS-</w:t>
            </w:r>
            <w:r w:rsidR="00366B62">
              <w:rPr>
                <w:rFonts w:cs="TT1D8t00"/>
              </w:rPr>
              <w:t>9</w:t>
            </w:r>
            <w:bookmarkEnd w:id="49"/>
            <w:r w:rsidRPr="00EE0E12">
              <w:rPr>
                <w:rFonts w:cs="TT1D8t00"/>
              </w:rPr>
              <w:t>.</w:t>
            </w:r>
            <w:bookmarkEnd w:id="50"/>
            <w:bookmarkEnd w:id="51"/>
          </w:p>
        </w:tc>
      </w:tr>
      <w:tr w:rsidR="00707CE1" w:rsidRPr="00065B57" w14:paraId="75CFCF71" w14:textId="77777777" w:rsidTr="00AB59A9">
        <w:trPr>
          <w:trHeight w:val="20"/>
        </w:trPr>
        <w:tc>
          <w:tcPr>
            <w:tcW w:w="1731" w:type="pct"/>
            <w:tcBorders>
              <w:top w:val="single" w:sz="18" w:space="0" w:color="FFFFFF"/>
              <w:left w:val="single" w:sz="18" w:space="0" w:color="FFFFFF"/>
              <w:right w:val="single" w:sz="18" w:space="0" w:color="FFFFFF"/>
            </w:tcBorders>
            <w:shd w:val="clear" w:color="auto" w:fill="1F497D"/>
            <w:vAlign w:val="center"/>
          </w:tcPr>
          <w:p w14:paraId="499F877D"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Nome</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081DAF04" w14:textId="7FB5A959" w:rsidR="00707CE1" w:rsidRPr="00EE0E12" w:rsidRDefault="00707CE1" w:rsidP="00366B62">
            <w:pPr>
              <w:pStyle w:val="TableParagraph"/>
              <w:tabs>
                <w:tab w:val="left" w:pos="10490"/>
              </w:tabs>
              <w:spacing w:before="60" w:after="60"/>
              <w:ind w:left="130" w:right="284"/>
              <w:jc w:val="both"/>
              <w:rPr>
                <w:rFonts w:asciiTheme="majorHAnsi" w:hAnsiTheme="majorHAnsi"/>
                <w:sz w:val="20"/>
                <w:szCs w:val="20"/>
                <w:highlight w:val="yellow"/>
                <w:lang w:val="pt-BR"/>
              </w:rPr>
            </w:pPr>
            <w:r w:rsidRPr="00EE0E12">
              <w:rPr>
                <w:rFonts w:asciiTheme="majorHAnsi" w:hAnsiTheme="majorHAnsi" w:cs="TT1D8t00"/>
                <w:sz w:val="20"/>
                <w:szCs w:val="20"/>
              </w:rPr>
              <w:t>ENSCO DS-</w:t>
            </w:r>
            <w:r w:rsidR="00366B62">
              <w:rPr>
                <w:rFonts w:asciiTheme="majorHAnsi" w:hAnsiTheme="majorHAnsi" w:cs="TT1D8t00"/>
                <w:sz w:val="20"/>
                <w:szCs w:val="20"/>
              </w:rPr>
              <w:t>9</w:t>
            </w:r>
          </w:p>
        </w:tc>
      </w:tr>
      <w:tr w:rsidR="00707CE1" w:rsidRPr="00065B57" w14:paraId="6DC95E61" w14:textId="77777777" w:rsidTr="00AB59A9">
        <w:trPr>
          <w:trHeight w:val="20"/>
        </w:trPr>
        <w:tc>
          <w:tcPr>
            <w:tcW w:w="1731" w:type="pct"/>
            <w:tcBorders>
              <w:top w:val="single" w:sz="18" w:space="0" w:color="FFFFFF"/>
              <w:left w:val="single" w:sz="18" w:space="0" w:color="FFFFFF"/>
              <w:right w:val="single" w:sz="18" w:space="0" w:color="FFFFFF"/>
            </w:tcBorders>
            <w:shd w:val="clear" w:color="auto" w:fill="1F497D"/>
            <w:vAlign w:val="center"/>
            <w:hideMark/>
          </w:tcPr>
          <w:p w14:paraId="40561B96"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Empresa responsável:</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426D14F2" w14:textId="77777777" w:rsidR="00707CE1" w:rsidRPr="00EE0E12" w:rsidRDefault="00707CE1" w:rsidP="00582B75">
            <w:pPr>
              <w:pStyle w:val="TableParagraph"/>
              <w:tabs>
                <w:tab w:val="left" w:pos="10490"/>
              </w:tabs>
              <w:spacing w:before="60" w:after="60"/>
              <w:ind w:left="130" w:right="284"/>
              <w:jc w:val="both"/>
              <w:rPr>
                <w:rFonts w:asciiTheme="majorHAnsi" w:hAnsiTheme="majorHAnsi"/>
                <w:sz w:val="20"/>
                <w:szCs w:val="20"/>
                <w:highlight w:val="yellow"/>
                <w:lang w:val="pt-BR"/>
              </w:rPr>
            </w:pPr>
            <w:r w:rsidRPr="00EE0E12">
              <w:rPr>
                <w:rFonts w:asciiTheme="majorHAnsi" w:hAnsiTheme="majorHAnsi" w:cs="TT1D8t00"/>
                <w:sz w:val="20"/>
                <w:szCs w:val="20"/>
              </w:rPr>
              <w:t>ENSCO do Brasil</w:t>
            </w:r>
          </w:p>
        </w:tc>
      </w:tr>
      <w:tr w:rsidR="00707CE1" w:rsidRPr="00F828F9" w14:paraId="5926B31D"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6136A09A"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Endereço:</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07BC2D68" w14:textId="77777777" w:rsidR="00707CE1" w:rsidRPr="00EE0E12" w:rsidRDefault="00707CE1" w:rsidP="00582B75">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sz w:val="20"/>
                <w:szCs w:val="20"/>
                <w:lang w:val="pt-BR"/>
              </w:rPr>
              <w:t>Rua Internacional, 1000, Granja dos Cavaleiros - Macaé-RJ - CEP 27937-300</w:t>
            </w:r>
          </w:p>
        </w:tc>
      </w:tr>
      <w:tr w:rsidR="00707CE1" w:rsidRPr="00F828F9" w14:paraId="7D2A7482"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3CB2528D"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Telefone:</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2015BE18" w14:textId="29A222BA" w:rsidR="00707CE1" w:rsidRPr="00EE0E12" w:rsidRDefault="00707CE1" w:rsidP="00366B62">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cs="TT1D8t00"/>
                <w:sz w:val="20"/>
                <w:szCs w:val="20"/>
                <w:lang w:val="pt-BR"/>
              </w:rPr>
              <w:t>a ser definido e posteriormente informado à C</w:t>
            </w:r>
            <w:r w:rsidR="00366B62">
              <w:rPr>
                <w:rFonts w:asciiTheme="majorHAnsi" w:hAnsiTheme="majorHAnsi" w:cs="TT1D8t00"/>
                <w:sz w:val="20"/>
                <w:szCs w:val="20"/>
                <w:lang w:val="pt-BR"/>
              </w:rPr>
              <w:t>OEXP</w:t>
            </w:r>
            <w:r w:rsidRPr="00EE0E12">
              <w:rPr>
                <w:rFonts w:asciiTheme="majorHAnsi" w:hAnsiTheme="majorHAnsi" w:cs="TT1D8t00"/>
                <w:sz w:val="20"/>
                <w:szCs w:val="20"/>
                <w:lang w:val="pt-BR"/>
              </w:rPr>
              <w:t>/IBAMA</w:t>
            </w:r>
            <w:r w:rsidRPr="00EE0E12">
              <w:rPr>
                <w:rStyle w:val="FootnoteReference"/>
                <w:rFonts w:asciiTheme="majorHAnsi" w:hAnsiTheme="majorHAnsi" w:cs="TT1D8t00"/>
                <w:sz w:val="20"/>
                <w:szCs w:val="20"/>
                <w:lang w:val="pt-BR"/>
              </w:rPr>
              <w:footnoteReference w:id="5"/>
            </w:r>
          </w:p>
        </w:tc>
      </w:tr>
      <w:tr w:rsidR="00707CE1" w:rsidRPr="00F828F9" w14:paraId="55F56371" w14:textId="77777777" w:rsidTr="00AB59A9">
        <w:trPr>
          <w:trHeight w:val="20"/>
        </w:trPr>
        <w:tc>
          <w:tcPr>
            <w:tcW w:w="1731" w:type="pct"/>
            <w:tcBorders>
              <w:left w:val="single" w:sz="18" w:space="0" w:color="FFFFFF"/>
              <w:right w:val="single" w:sz="18" w:space="0" w:color="FFFFFF"/>
            </w:tcBorders>
            <w:shd w:val="clear" w:color="auto" w:fill="1F497D"/>
            <w:vAlign w:val="center"/>
          </w:tcPr>
          <w:p w14:paraId="60C49E9A" w14:textId="77777777" w:rsidR="00707CE1" w:rsidRPr="00EE0E12" w:rsidRDefault="00707CE1" w:rsidP="00582B75">
            <w:pPr>
              <w:pStyle w:val="TableParagraph"/>
              <w:tabs>
                <w:tab w:val="left" w:pos="10490"/>
              </w:tabs>
              <w:spacing w:before="60" w:after="60"/>
              <w:ind w:left="130" w:right="284"/>
              <w:jc w:val="both"/>
              <w:rPr>
                <w:rFonts w:asciiTheme="majorHAnsi" w:hAnsiTheme="majorHAnsi"/>
                <w:b/>
                <w:bCs/>
                <w:color w:val="FFFFFF"/>
                <w:sz w:val="20"/>
                <w:szCs w:val="20"/>
                <w:lang w:val="pt-BR"/>
              </w:rPr>
            </w:pPr>
            <w:r w:rsidRPr="00EE0E12">
              <w:rPr>
                <w:rFonts w:asciiTheme="majorHAnsi" w:hAnsiTheme="majorHAnsi"/>
                <w:b/>
                <w:bCs/>
                <w:color w:val="FFFFFF"/>
                <w:sz w:val="20"/>
                <w:szCs w:val="20"/>
                <w:lang w:val="pt-BR"/>
              </w:rPr>
              <w:t>Fax:</w:t>
            </w:r>
          </w:p>
        </w:tc>
        <w:tc>
          <w:tcPr>
            <w:tcW w:w="3269" w:type="pct"/>
            <w:tcBorders>
              <w:top w:val="single" w:sz="18" w:space="0" w:color="FFFFFF"/>
              <w:left w:val="single" w:sz="18" w:space="0" w:color="FFFFFF"/>
              <w:bottom w:val="single" w:sz="18" w:space="0" w:color="FFFFFF"/>
              <w:right w:val="single" w:sz="18" w:space="0" w:color="FFFFFF"/>
            </w:tcBorders>
            <w:shd w:val="clear" w:color="auto" w:fill="D9D9D9"/>
          </w:tcPr>
          <w:p w14:paraId="7205720D" w14:textId="456C5C87" w:rsidR="00707CE1" w:rsidRPr="00EE0E12" w:rsidRDefault="00707CE1" w:rsidP="00C37EF6">
            <w:pPr>
              <w:pStyle w:val="TableParagraph"/>
              <w:tabs>
                <w:tab w:val="left" w:pos="10490"/>
              </w:tabs>
              <w:spacing w:before="60" w:after="60"/>
              <w:ind w:left="130" w:right="284"/>
              <w:jc w:val="both"/>
              <w:rPr>
                <w:rFonts w:asciiTheme="majorHAnsi" w:hAnsiTheme="majorHAnsi"/>
                <w:sz w:val="20"/>
                <w:szCs w:val="20"/>
                <w:lang w:val="pt-BR"/>
              </w:rPr>
            </w:pPr>
            <w:r w:rsidRPr="00EE0E12">
              <w:rPr>
                <w:rFonts w:asciiTheme="majorHAnsi" w:hAnsiTheme="majorHAnsi" w:cs="TT1D8t00"/>
                <w:sz w:val="20"/>
                <w:szCs w:val="20"/>
                <w:lang w:val="pt-BR"/>
              </w:rPr>
              <w:t>a ser definido e posteriormente informado à C</w:t>
            </w:r>
            <w:r w:rsidR="00C37EF6">
              <w:rPr>
                <w:rFonts w:asciiTheme="majorHAnsi" w:hAnsiTheme="majorHAnsi" w:cs="TT1D8t00"/>
                <w:sz w:val="20"/>
                <w:szCs w:val="20"/>
                <w:lang w:val="pt-BR"/>
              </w:rPr>
              <w:t>OEXP</w:t>
            </w:r>
            <w:r w:rsidRPr="00EE0E12">
              <w:rPr>
                <w:rFonts w:asciiTheme="majorHAnsi" w:hAnsiTheme="majorHAnsi" w:cs="TT1D8t00"/>
                <w:sz w:val="20"/>
                <w:szCs w:val="20"/>
                <w:lang w:val="pt-BR"/>
              </w:rPr>
              <w:t>/IBAMA</w:t>
            </w:r>
            <w:r w:rsidR="000A0458" w:rsidRPr="00C45C9A">
              <w:rPr>
                <w:rFonts w:asciiTheme="majorHAnsi" w:hAnsiTheme="majorHAnsi" w:cs="TT1D8t00"/>
                <w:sz w:val="20"/>
                <w:szCs w:val="20"/>
                <w:vertAlign w:val="superscript"/>
                <w:lang w:val="pt-BR"/>
              </w:rPr>
              <w:t>3</w:t>
            </w:r>
          </w:p>
        </w:tc>
      </w:tr>
    </w:tbl>
    <w:p w14:paraId="41F4D6AB" w14:textId="394E37B8" w:rsidR="00707CE1" w:rsidRPr="00EE0E12" w:rsidRDefault="00707CE1" w:rsidP="00AB59A9">
      <w:pPr>
        <w:pStyle w:val="tier1Itext"/>
        <w:spacing w:before="360"/>
      </w:pPr>
      <w:r w:rsidRPr="00946134">
        <w:t xml:space="preserve">Para o apoio logístico e operacional às atividades será utilizada 01 (uma) base de apoio logístico, localizada no </w:t>
      </w:r>
      <w:r w:rsidR="00C37EF6">
        <w:t>Porto de Belém, Companhia Docas do Pará (</w:t>
      </w:r>
      <w:r w:rsidRPr="00946134">
        <w:t>Belém/PA</w:t>
      </w:r>
      <w:r w:rsidR="00C37EF6">
        <w:t>)</w:t>
      </w:r>
      <w:r w:rsidRPr="00946134">
        <w:t>,</w:t>
      </w:r>
      <w:r w:rsidR="002C6FAB">
        <w:t xml:space="preserve"> cerca de</w:t>
      </w:r>
      <w:r w:rsidRPr="00946134">
        <w:t xml:space="preserve"> </w:t>
      </w:r>
      <w:r w:rsidR="00517C6E">
        <w:t>800</w:t>
      </w:r>
      <w:r w:rsidR="00946134" w:rsidRPr="00946134">
        <w:t> </w:t>
      </w:r>
      <w:r w:rsidRPr="00946134">
        <w:t>km</w:t>
      </w:r>
      <w:r w:rsidR="00946134">
        <w:t xml:space="preserve"> </w:t>
      </w:r>
      <w:r w:rsidRPr="00946134">
        <w:t>(</w:t>
      </w:r>
      <w:r w:rsidR="00946134">
        <w:t>4</w:t>
      </w:r>
      <w:r w:rsidR="00517C6E">
        <w:t>3</w:t>
      </w:r>
      <w:r w:rsidR="00946134">
        <w:t>0</w:t>
      </w:r>
      <w:r w:rsidR="00946134" w:rsidRPr="00946134">
        <w:t xml:space="preserve"> </w:t>
      </w:r>
      <w:r w:rsidRPr="00946134">
        <w:t>milhas náuticas) do Bloco FZA-M-59</w:t>
      </w:r>
      <w:r w:rsidR="00946134">
        <w:t>, aproximadamente</w:t>
      </w:r>
      <w:r w:rsidRPr="00946134">
        <w:t xml:space="preserve">; e 02 (duas) bases de apoio aéreo, localizadas no Aeroporto de Oiapoque/AP e no Aeroporto Internacional de Belém/PA, situadas a cerca de 230 km e </w:t>
      </w:r>
      <w:r w:rsidR="00946134" w:rsidRPr="00946134">
        <w:t>75</w:t>
      </w:r>
      <w:r w:rsidR="00946134">
        <w:t>0</w:t>
      </w:r>
      <w:r w:rsidR="00946134" w:rsidRPr="00946134">
        <w:t> </w:t>
      </w:r>
      <w:r w:rsidRPr="00946134">
        <w:t>km do Bloco FZA-M-59, respectivamente.</w:t>
      </w:r>
    </w:p>
    <w:p w14:paraId="68DC382F" w14:textId="08BC52EE" w:rsidR="00707CE1" w:rsidRPr="00EE0E12" w:rsidRDefault="00707CE1" w:rsidP="00723A97">
      <w:pPr>
        <w:pStyle w:val="tier1Itext"/>
      </w:pPr>
      <w:r w:rsidRPr="00EE0E12">
        <w:lastRenderedPageBreak/>
        <w:t>A partir da base de apoio logístico serão realizadas operações de abastecimento de combustíveis, embarque de insumos para a plataforma (incluindo água e fluidos de perfuração), desembarque de resíduos e embarque e desembarque de equipamentos adicionais de emergência</w:t>
      </w:r>
      <w:r w:rsidR="00C37EF6">
        <w:t>,</w:t>
      </w:r>
      <w:r w:rsidRPr="00EE0E12">
        <w:t xml:space="preserve"> em caso de incidentes, dentre outras operações. Para as trocas de tripulação da unidade </w:t>
      </w:r>
      <w:r w:rsidR="00463A37" w:rsidRPr="00C45C9A">
        <w:t>de perfuração</w:t>
      </w:r>
      <w:r w:rsidR="00463A37" w:rsidRPr="00EE0E12">
        <w:t xml:space="preserve"> </w:t>
      </w:r>
      <w:r w:rsidRPr="00EE0E12">
        <w:t>e transporte de pequenos volumes, será utilizada a base de apoio aéreo.</w:t>
      </w:r>
    </w:p>
    <w:p w14:paraId="636449A6" w14:textId="3EAE9490" w:rsidR="00707CE1" w:rsidRPr="00EE0E12" w:rsidRDefault="00707CE1" w:rsidP="00723A97">
      <w:pPr>
        <w:pStyle w:val="tier1Itext"/>
      </w:pPr>
      <w:r w:rsidRPr="00EE0E12">
        <w:t xml:space="preserve">A localização do </w:t>
      </w:r>
      <w:r w:rsidR="00C37EF6">
        <w:t xml:space="preserve">bloco </w:t>
      </w:r>
      <w:r w:rsidRPr="00EE0E12">
        <w:t xml:space="preserve">FZA-M-59 e suas distâncias máximas até as bases de apoio logístico e aéreo, são indicadas na </w:t>
      </w:r>
      <w:r w:rsidRPr="00EE0E12">
        <w:rPr>
          <w:b/>
        </w:rPr>
        <w:fldChar w:fldCharType="begin"/>
      </w:r>
      <w:r w:rsidRPr="00EE0E12">
        <w:rPr>
          <w:b/>
        </w:rPr>
        <w:instrText xml:space="preserve"> REF _Ref412121217 \h  \* MERGEFORMAT </w:instrText>
      </w:r>
      <w:r w:rsidRPr="00EE0E12">
        <w:rPr>
          <w:b/>
        </w:rPr>
      </w:r>
      <w:r w:rsidRPr="00EE0E12">
        <w:rPr>
          <w:b/>
        </w:rPr>
        <w:fldChar w:fldCharType="separate"/>
      </w:r>
      <w:r w:rsidR="00897470" w:rsidRPr="00897470">
        <w:rPr>
          <w:b/>
        </w:rPr>
        <w:t xml:space="preserve">Figura </w:t>
      </w:r>
      <w:r w:rsidR="00897470" w:rsidRPr="00897470">
        <w:rPr>
          <w:b/>
          <w:noProof/>
        </w:rPr>
        <w:t>2</w:t>
      </w:r>
      <w:r w:rsidRPr="00EE0E12">
        <w:rPr>
          <w:b/>
        </w:rPr>
        <w:fldChar w:fldCharType="end"/>
      </w:r>
      <w:r w:rsidRPr="00EE0E12">
        <w:t>.</w:t>
      </w:r>
    </w:p>
    <w:p w14:paraId="196A58B2" w14:textId="77777777" w:rsidR="00707CE1" w:rsidRDefault="00582B75" w:rsidP="0068277B">
      <w:pPr>
        <w:pStyle w:val="tier1Itext"/>
        <w:spacing w:before="0" w:after="0" w:line="240" w:lineRule="auto"/>
        <w:jc w:val="center"/>
      </w:pPr>
      <w:r>
        <w:rPr>
          <w:noProof/>
          <w:lang w:val="en-US"/>
        </w:rPr>
        <w:drawing>
          <wp:inline distT="0" distB="0" distL="0" distR="0" wp14:anchorId="6F0F3B39" wp14:editId="093E5BFF">
            <wp:extent cx="5754900" cy="4072131"/>
            <wp:effectExtent l="0" t="0" r="0" b="508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atricia.meg\AppData\Roaming\Skype\pat.meg\media_messaging\media_cache\^C96E9AECB5F71D4E4F604C9FC48A0B4269C908C7CD5020A85D^pimgpsh_fullsize_distr.jpg"/>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754900" cy="4072131"/>
                    </a:xfrm>
                    <a:prstGeom prst="rect">
                      <a:avLst/>
                    </a:prstGeom>
                    <a:noFill/>
                    <a:ln>
                      <a:noFill/>
                    </a:ln>
                  </pic:spPr>
                </pic:pic>
              </a:graphicData>
            </a:graphic>
          </wp:inline>
        </w:drawing>
      </w:r>
    </w:p>
    <w:p w14:paraId="1FD97404" w14:textId="364CC2D4" w:rsidR="00707CE1" w:rsidRPr="00EE0E12" w:rsidRDefault="00707CE1" w:rsidP="0068277B">
      <w:pPr>
        <w:pStyle w:val="Caption"/>
        <w:spacing w:before="0" w:after="0" w:line="240" w:lineRule="auto"/>
      </w:pPr>
      <w:bookmarkStart w:id="52" w:name="_Ref412121217"/>
      <w:bookmarkStart w:id="53" w:name="_Toc408566924"/>
      <w:bookmarkStart w:id="54" w:name="_Toc413663929"/>
      <w:bookmarkStart w:id="55" w:name="_Toc523833967"/>
      <w:r w:rsidRPr="00946134">
        <w:t xml:space="preserve">Figura </w:t>
      </w:r>
      <w:fldSimple w:instr=" SEQ Figura \* ARABIC ">
        <w:r w:rsidR="00897470">
          <w:rPr>
            <w:noProof/>
          </w:rPr>
          <w:t>2</w:t>
        </w:r>
      </w:fldSimple>
      <w:bookmarkEnd w:id="52"/>
      <w:r w:rsidRPr="00946134">
        <w:t xml:space="preserve">: Localização do Bloco FZA-M-59, na Bacia da Foz do Amazonas, e suas respectivas distâncias máximas até as bases de apoio logístico e </w:t>
      </w:r>
      <w:bookmarkEnd w:id="53"/>
      <w:r w:rsidRPr="00946134">
        <w:t>aéreo</w:t>
      </w:r>
      <w:r w:rsidR="0000064D" w:rsidRPr="00946134">
        <w:t xml:space="preserve"> (</w:t>
      </w:r>
      <w:r w:rsidR="00B86422">
        <w:t>Fonte: Witt|O’Brien’s</w:t>
      </w:r>
      <w:r w:rsidR="0000064D" w:rsidRPr="00946134">
        <w:t>)</w:t>
      </w:r>
      <w:r w:rsidRPr="00946134">
        <w:t>.</w:t>
      </w:r>
      <w:bookmarkEnd w:id="54"/>
      <w:bookmarkEnd w:id="55"/>
    </w:p>
    <w:p w14:paraId="74447EA3" w14:textId="4F4F8511" w:rsidR="00707CE1" w:rsidRPr="00EE0E12" w:rsidRDefault="00707CE1" w:rsidP="0068277B">
      <w:pPr>
        <w:pStyle w:val="tier1Itext"/>
        <w:spacing w:before="360"/>
      </w:pPr>
      <w:r w:rsidRPr="00EE0E12">
        <w:t xml:space="preserve">A atividade de perfuração também será guarnecida por 01 (uma) embarcação dedicada de resposta a derramamento de óleo (em inglês, </w:t>
      </w:r>
      <w:r w:rsidRPr="00EE0E12">
        <w:rPr>
          <w:i/>
        </w:rPr>
        <w:t>Oil Spill Response Vessel</w:t>
      </w:r>
      <w:r w:rsidRPr="00EE0E12">
        <w:t xml:space="preserve"> – OSRV), para o pronto atendimento no caso de um eventual incidente</w:t>
      </w:r>
      <w:r w:rsidR="00C37EF6">
        <w:t xml:space="preserve"> e </w:t>
      </w:r>
      <w:r w:rsidRPr="00EE0E12">
        <w:t>0</w:t>
      </w:r>
      <w:r w:rsidR="00C37EF6">
        <w:t>3</w:t>
      </w:r>
      <w:r w:rsidRPr="00EE0E12">
        <w:t xml:space="preserve"> (</w:t>
      </w:r>
      <w:r w:rsidR="00C37EF6">
        <w:t>três</w:t>
      </w:r>
      <w:r w:rsidRPr="00EE0E12">
        <w:t xml:space="preserve">) embarcações de apoio do tipo </w:t>
      </w:r>
      <w:r w:rsidRPr="00EE0E12">
        <w:rPr>
          <w:i/>
        </w:rPr>
        <w:t xml:space="preserve">Platform Supply Vessel </w:t>
      </w:r>
      <w:r w:rsidRPr="00EE0E12">
        <w:t>(PSV)</w:t>
      </w:r>
      <w:r w:rsidR="00C37EF6">
        <w:t xml:space="preserve">, que também estarão guarnecidas de recursos e mobilizadas para </w:t>
      </w:r>
      <w:r w:rsidRPr="00BB5D3B">
        <w:t xml:space="preserve"> auxilio nas ações de resposta</w:t>
      </w:r>
      <w:r w:rsidR="00C37EF6">
        <w:t xml:space="preserve">, no </w:t>
      </w:r>
      <w:r w:rsidRPr="00BB5D3B">
        <w:t xml:space="preserve">caso de um cenário acidental. Caso seja necessário, embarcações adicionais do tipo </w:t>
      </w:r>
      <w:r w:rsidR="00C37EF6" w:rsidRPr="00C37EF6">
        <w:t xml:space="preserve">PSV ou similares </w:t>
      </w:r>
      <w:r w:rsidRPr="00BB5D3B">
        <w:t>poderão ser contratadas</w:t>
      </w:r>
      <w:r w:rsidRPr="00EE0E12">
        <w:t xml:space="preserve"> do mercado </w:t>
      </w:r>
      <w:r w:rsidRPr="00EE0E12">
        <w:rPr>
          <w:i/>
        </w:rPr>
        <w:t>spot</w:t>
      </w:r>
      <w:r w:rsidRPr="00EE0E12">
        <w:t xml:space="preserve"> da região</w:t>
      </w:r>
      <w:r w:rsidR="00463A37">
        <w:t xml:space="preserve"> Norte</w:t>
      </w:r>
      <w:r w:rsidRPr="00EE0E12">
        <w:t xml:space="preserve"> (Belém ou Macapá).</w:t>
      </w:r>
    </w:p>
    <w:p w14:paraId="02BB3478" w14:textId="2DC2449F" w:rsidR="00707CE1" w:rsidRPr="00EE0E12" w:rsidRDefault="00707CE1" w:rsidP="00121F26">
      <w:pPr>
        <w:pStyle w:val="tier1Itext"/>
      </w:pPr>
      <w:r w:rsidRPr="00EE0E12">
        <w:lastRenderedPageBreak/>
        <w:t xml:space="preserve">As embarcações de apoio realizarão viagens entre a base de apoio e a </w:t>
      </w:r>
      <w:r w:rsidR="00463A37">
        <w:t>unidade de perfuração</w:t>
      </w:r>
      <w:r w:rsidRPr="00EE0E12">
        <w:t xml:space="preserve"> transportando materiais, combustível, víveres, equipamentos e peças de reposição, além de realizarem o transporte </w:t>
      </w:r>
      <w:r w:rsidRPr="00BB5D3B">
        <w:t xml:space="preserve">de resíduos entre a instalação e esta base de apoio logístico. As embarcações do tipo OSRV atuarão </w:t>
      </w:r>
      <w:r w:rsidR="00C37EF6">
        <w:t xml:space="preserve">prioritariamente </w:t>
      </w:r>
      <w:r w:rsidRPr="00EE0E12">
        <w:t xml:space="preserve">na função de proteção ambiental e estarão equipadas com equipamentos apropriados. Nas ocasiões em que a embarcação OSRV </w:t>
      </w:r>
      <w:r w:rsidR="00463A37">
        <w:t xml:space="preserve">tiver de </w:t>
      </w:r>
      <w:r w:rsidRPr="00EE0E12">
        <w:t xml:space="preserve">realizar viagens até a base de apoio logístico para reabastecimento de combustível e víveres e troca de turma, </w:t>
      </w:r>
      <w:r w:rsidR="00463A37">
        <w:t>ela</w:t>
      </w:r>
      <w:r w:rsidR="00463A37" w:rsidRPr="00EE0E12">
        <w:t xml:space="preserve"> </w:t>
      </w:r>
      <w:r w:rsidR="00463A37">
        <w:t>será</w:t>
      </w:r>
      <w:r w:rsidRPr="00EE0E12">
        <w:t xml:space="preserve"> substituída por uma das embarcações de apoio, que ficará na locação</w:t>
      </w:r>
      <w:r w:rsidR="00C37EF6">
        <w:t xml:space="preserve"> e cobrirá suas atribuições,</w:t>
      </w:r>
      <w:r w:rsidRPr="00EE0E12">
        <w:t xml:space="preserve"> até o retorno da </w:t>
      </w:r>
      <w:r w:rsidR="00BA32BA">
        <w:t>mesma</w:t>
      </w:r>
      <w:r w:rsidRPr="00EE0E12">
        <w:t>.</w:t>
      </w:r>
    </w:p>
    <w:p w14:paraId="62D89FCE" w14:textId="172C0969" w:rsidR="00707CE1" w:rsidRPr="00EE0E12" w:rsidRDefault="00707CE1" w:rsidP="00723A97">
      <w:pPr>
        <w:pStyle w:val="tier1Itext"/>
      </w:pPr>
      <w:r w:rsidRPr="00EE0E12">
        <w:t>As fichas técnicas das embarcações do tipo OSRV</w:t>
      </w:r>
      <w:r w:rsidR="00BA32BA">
        <w:t xml:space="preserve"> e </w:t>
      </w:r>
      <w:r w:rsidRPr="00EE0E12">
        <w:t>PSV</w:t>
      </w:r>
      <w:r w:rsidR="00BA32BA">
        <w:t xml:space="preserve"> (</w:t>
      </w:r>
      <w:r w:rsidR="00463A37">
        <w:t>quando contratadas</w:t>
      </w:r>
      <w:r w:rsidR="00BA32BA">
        <w:t>)</w:t>
      </w:r>
      <w:r w:rsidRPr="00EE0E12">
        <w:t xml:space="preserve"> est</w:t>
      </w:r>
      <w:r w:rsidR="00463A37">
        <w:t>ar</w:t>
      </w:r>
      <w:r w:rsidRPr="00EE0E12">
        <w:t xml:space="preserve">ão disponíveis no </w:t>
      </w:r>
      <w:r w:rsidR="002E5EC7">
        <w:rPr>
          <w:b/>
        </w:rPr>
        <w:t>ANEXO A</w:t>
      </w:r>
      <w:r w:rsidRPr="00EE0E12">
        <w:t>.</w:t>
      </w:r>
    </w:p>
    <w:p w14:paraId="2B77953B" w14:textId="77777777" w:rsidR="000F3DA6" w:rsidRPr="00CE6488" w:rsidRDefault="000F3DA6" w:rsidP="00C3335E">
      <w:pPr>
        <w:pStyle w:val="Heading1"/>
      </w:pPr>
      <w:bookmarkStart w:id="56" w:name="_Ref414525557"/>
      <w:bookmarkStart w:id="57" w:name="_Toc523833876"/>
      <w:r w:rsidRPr="00CE6488">
        <w:t>CENÁRIOS ACIDENTAIS</w:t>
      </w:r>
      <w:bookmarkEnd w:id="56"/>
      <w:bookmarkEnd w:id="57"/>
    </w:p>
    <w:p w14:paraId="25A4B86D" w14:textId="77777777" w:rsidR="004D65B3" w:rsidRPr="004D65B3" w:rsidRDefault="004D65B3" w:rsidP="00723A97">
      <w:pPr>
        <w:pStyle w:val="tier1Itext"/>
      </w:pPr>
      <w:r w:rsidRPr="004D65B3">
        <w:t xml:space="preserve">Para a identificação de cenários acidentais relacionados à atividade de perfuração exploratória marítima no Bloco FZA-M-59, na Bacia da Foz do Amazonas, foi desenvolvida uma Análise Preliminar de Riscos (APR), disposta no </w:t>
      </w:r>
      <w:r w:rsidRPr="00B93690">
        <w:t xml:space="preserve">item II.12 do Estudo de Impacto Ambiental (EIA) do projeto. A </w:t>
      </w:r>
      <w:r w:rsidRPr="00B93690">
        <w:rPr>
          <w:b/>
        </w:rPr>
        <w:fldChar w:fldCharType="begin"/>
      </w:r>
      <w:r w:rsidRPr="00B93690">
        <w:rPr>
          <w:b/>
        </w:rPr>
        <w:instrText xml:space="preserve"> REF _Ref412128602 \h  \* MERGEFORMAT </w:instrText>
      </w:r>
      <w:r w:rsidRPr="00B93690">
        <w:rPr>
          <w:b/>
        </w:rPr>
      </w:r>
      <w:r w:rsidRPr="00B93690">
        <w:rPr>
          <w:b/>
        </w:rPr>
        <w:fldChar w:fldCharType="separate"/>
      </w:r>
      <w:r w:rsidR="00897470" w:rsidRPr="00897470">
        <w:rPr>
          <w:b/>
        </w:rPr>
        <w:t xml:space="preserve">Tabela </w:t>
      </w:r>
      <w:r w:rsidR="00897470" w:rsidRPr="00897470">
        <w:rPr>
          <w:b/>
          <w:noProof/>
        </w:rPr>
        <w:t>6</w:t>
      </w:r>
      <w:r w:rsidRPr="00B93690">
        <w:rPr>
          <w:b/>
        </w:rPr>
        <w:fldChar w:fldCharType="end"/>
      </w:r>
      <w:r w:rsidRPr="00B93690">
        <w:t xml:space="preserve"> sumariza os cenários id</w:t>
      </w:r>
      <w:r w:rsidRPr="004D65B3">
        <w:t xml:space="preserve">entificados pela APR com potencial </w:t>
      </w:r>
      <w:r w:rsidR="00D66D31">
        <w:t>d</w:t>
      </w:r>
      <w:r w:rsidR="00642786">
        <w:t>erram</w:t>
      </w:r>
      <w:r w:rsidRPr="004D65B3">
        <w:t xml:space="preserve">amento de substância oleosa, descrevendo para cada caso o tipo de produto, o volume estimado, o regime do derramamento (instantâneo ou contínuo) e a possibilidade do produto atingir a área externa da </w:t>
      </w:r>
      <w:r w:rsidR="001F002C">
        <w:t>unidade de perfuração</w:t>
      </w:r>
      <w:r w:rsidRPr="004D65B3">
        <w:t>, ou seja, o mar.</w:t>
      </w:r>
    </w:p>
    <w:p w14:paraId="3B43E5B8" w14:textId="5F9B3B43" w:rsidR="004D65B3" w:rsidRDefault="004D65B3" w:rsidP="00723A97">
      <w:pPr>
        <w:pStyle w:val="tier1Itext"/>
      </w:pPr>
      <w:r w:rsidRPr="004D65B3">
        <w:t>O</w:t>
      </w:r>
      <w:r w:rsidR="00BA32BA">
        <w:t>s</w:t>
      </w:r>
      <w:r w:rsidRPr="004D65B3">
        <w:t xml:space="preserve"> detalhamento</w:t>
      </w:r>
      <w:r w:rsidR="00BA32BA">
        <w:t>s</w:t>
      </w:r>
      <w:r w:rsidRPr="004D65B3">
        <w:t xml:space="preserve"> das fontes potenciais de incidentes de poluição por óleo</w:t>
      </w:r>
      <w:r w:rsidR="002E4398">
        <w:t>,</w:t>
      </w:r>
      <w:r w:rsidRPr="004D65B3">
        <w:t xml:space="preserve"> relacionadas às operações de armazenamento/estocagem, transferência, processo, manutenção e carga-e-descarga, pode</w:t>
      </w:r>
      <w:r w:rsidR="00BA32BA">
        <w:t>m</w:t>
      </w:r>
      <w:r w:rsidRPr="004D65B3">
        <w:t xml:space="preserve"> ser consultad</w:t>
      </w:r>
      <w:r w:rsidR="008914EB">
        <w:t>o</w:t>
      </w:r>
      <w:r w:rsidR="00BA32BA">
        <w:t>s</w:t>
      </w:r>
      <w:r w:rsidRPr="004D65B3">
        <w:t xml:space="preserve"> no </w:t>
      </w:r>
      <w:r w:rsidR="0000064D" w:rsidRPr="00527CB8">
        <w:rPr>
          <w:b/>
        </w:rPr>
        <w:t>APÊNDICE A</w:t>
      </w:r>
      <w:r w:rsidR="0000064D">
        <w:t>.</w:t>
      </w:r>
    </w:p>
    <w:p w14:paraId="36D09F8F" w14:textId="77777777" w:rsidR="004D65B3" w:rsidRPr="00410B9C" w:rsidRDefault="004D65B3" w:rsidP="00723A97">
      <w:pPr>
        <w:pStyle w:val="tier1Itext"/>
        <w:sectPr w:rsidR="004D65B3" w:rsidRPr="00410B9C" w:rsidSect="00656D39">
          <w:headerReference w:type="default" r:id="rId22"/>
          <w:footerReference w:type="default" r:id="rId23"/>
          <w:pgSz w:w="11906" w:h="16840" w:code="9"/>
          <w:pgMar w:top="1418" w:right="1418" w:bottom="1418" w:left="1418" w:header="170" w:footer="0" w:gutter="0"/>
          <w:pgNumType w:start="1"/>
          <w:cols w:space="708"/>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ayout w:type="fixed"/>
        <w:tblLook w:val="01E0" w:firstRow="1" w:lastRow="1" w:firstColumn="1" w:lastColumn="1" w:noHBand="0" w:noVBand="0"/>
      </w:tblPr>
      <w:tblGrid>
        <w:gridCol w:w="941"/>
        <w:gridCol w:w="39"/>
        <w:gridCol w:w="1076"/>
        <w:gridCol w:w="4452"/>
        <w:gridCol w:w="2267"/>
        <w:gridCol w:w="1845"/>
        <w:gridCol w:w="1699"/>
        <w:gridCol w:w="1655"/>
      </w:tblGrid>
      <w:tr w:rsidR="004D65B3" w:rsidRPr="00EE6892" w14:paraId="397BE58B" w14:textId="77777777" w:rsidTr="000206D2">
        <w:trPr>
          <w:cantSplit/>
          <w:trHeight w:val="340"/>
          <w:tblHeader/>
        </w:trPr>
        <w:tc>
          <w:tcPr>
            <w:tcW w:w="5000" w:type="pct"/>
            <w:gridSpan w:val="8"/>
            <w:shd w:val="clear" w:color="auto" w:fill="FFFFFF" w:themeFill="background1"/>
            <w:vAlign w:val="bottom"/>
          </w:tcPr>
          <w:p w14:paraId="7C85F102" w14:textId="77777777" w:rsidR="004D65B3" w:rsidRPr="00EE6892" w:rsidRDefault="004D65B3" w:rsidP="0000064D">
            <w:pPr>
              <w:pStyle w:val="Caption"/>
              <w:spacing w:before="0" w:after="0" w:line="240" w:lineRule="auto"/>
              <w:jc w:val="left"/>
              <w:rPr>
                <w:color w:val="FFFFFF"/>
                <w:szCs w:val="20"/>
              </w:rPr>
            </w:pPr>
            <w:bookmarkStart w:id="58" w:name="_Ref412128602"/>
            <w:bookmarkStart w:id="59" w:name="_Toc412476175"/>
            <w:bookmarkStart w:id="60" w:name="_Toc523834038"/>
            <w:r w:rsidRPr="007C26F9">
              <w:rPr>
                <w:szCs w:val="20"/>
              </w:rPr>
              <w:lastRenderedPageBreak/>
              <w:t>Tabela</w:t>
            </w:r>
            <w:r w:rsidRPr="00EE6892">
              <w:rPr>
                <w:szCs w:val="20"/>
              </w:rPr>
              <w:t xml:space="preserve"> </w:t>
            </w:r>
            <w:r w:rsidR="0036087F" w:rsidRPr="00EE6892">
              <w:rPr>
                <w:szCs w:val="20"/>
              </w:rPr>
              <w:fldChar w:fldCharType="begin"/>
            </w:r>
            <w:r w:rsidR="0036087F" w:rsidRPr="00EE6892">
              <w:rPr>
                <w:szCs w:val="20"/>
              </w:rPr>
              <w:instrText xml:space="preserve"> SEQ Tabela \* ARABIC </w:instrText>
            </w:r>
            <w:r w:rsidR="0036087F" w:rsidRPr="00EE6892">
              <w:rPr>
                <w:szCs w:val="20"/>
              </w:rPr>
              <w:fldChar w:fldCharType="separate"/>
            </w:r>
            <w:r w:rsidR="00897470">
              <w:rPr>
                <w:noProof/>
                <w:szCs w:val="20"/>
              </w:rPr>
              <w:t>6</w:t>
            </w:r>
            <w:r w:rsidR="0036087F" w:rsidRPr="00EE6892">
              <w:rPr>
                <w:noProof/>
                <w:szCs w:val="20"/>
              </w:rPr>
              <w:fldChar w:fldCharType="end"/>
            </w:r>
            <w:bookmarkEnd w:id="58"/>
            <w:r w:rsidRPr="00EE6892">
              <w:rPr>
                <w:szCs w:val="20"/>
              </w:rPr>
              <w:t xml:space="preserve">: Sumário dos cenários acidentais com potencial de </w:t>
            </w:r>
            <w:r w:rsidR="00642786">
              <w:rPr>
                <w:szCs w:val="20"/>
              </w:rPr>
              <w:t>derramamento</w:t>
            </w:r>
            <w:r w:rsidRPr="00EE6892">
              <w:rPr>
                <w:szCs w:val="20"/>
              </w:rPr>
              <w:t xml:space="preserve"> de produto oleoso, identificados na Análise Preliminar de Riscos (APR)</w:t>
            </w:r>
            <w:bookmarkEnd w:id="59"/>
            <w:r w:rsidRPr="00EE6892">
              <w:rPr>
                <w:szCs w:val="20"/>
              </w:rPr>
              <w:t>.</w:t>
            </w:r>
            <w:bookmarkEnd w:id="60"/>
          </w:p>
        </w:tc>
      </w:tr>
      <w:tr w:rsidR="004D65B3" w:rsidRPr="00EE6892" w14:paraId="4A4D0399" w14:textId="77777777" w:rsidTr="00915A5A">
        <w:trPr>
          <w:cantSplit/>
          <w:trHeight w:val="737"/>
          <w:tblHeader/>
        </w:trPr>
        <w:tc>
          <w:tcPr>
            <w:tcW w:w="351" w:type="pct"/>
            <w:gridSpan w:val="2"/>
            <w:shd w:val="clear" w:color="auto" w:fill="1F497D"/>
            <w:vAlign w:val="center"/>
            <w:hideMark/>
          </w:tcPr>
          <w:p w14:paraId="6121DD3C"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Cenário da APR</w:t>
            </w:r>
          </w:p>
        </w:tc>
        <w:tc>
          <w:tcPr>
            <w:tcW w:w="1978" w:type="pct"/>
            <w:gridSpan w:val="2"/>
            <w:shd w:val="clear" w:color="auto" w:fill="1F497D"/>
            <w:vAlign w:val="center"/>
            <w:hideMark/>
          </w:tcPr>
          <w:p w14:paraId="6B313B88"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Perigo</w:t>
            </w:r>
          </w:p>
        </w:tc>
        <w:tc>
          <w:tcPr>
            <w:tcW w:w="811" w:type="pct"/>
            <w:shd w:val="clear" w:color="auto" w:fill="1F497D"/>
            <w:vAlign w:val="center"/>
            <w:hideMark/>
          </w:tcPr>
          <w:p w14:paraId="5AC5D075"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Tipo de Produto Oleoso Vazado</w:t>
            </w:r>
          </w:p>
        </w:tc>
        <w:tc>
          <w:tcPr>
            <w:tcW w:w="660" w:type="pct"/>
            <w:shd w:val="clear" w:color="auto" w:fill="1F497D"/>
            <w:vAlign w:val="center"/>
            <w:hideMark/>
          </w:tcPr>
          <w:p w14:paraId="71DB02AD"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Volume Estimado</w:t>
            </w:r>
          </w:p>
        </w:tc>
        <w:tc>
          <w:tcPr>
            <w:tcW w:w="608" w:type="pct"/>
            <w:shd w:val="clear" w:color="auto" w:fill="1F497D"/>
            <w:vAlign w:val="center"/>
            <w:hideMark/>
          </w:tcPr>
          <w:p w14:paraId="7A028F72"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Regime do Derramamento</w:t>
            </w:r>
          </w:p>
        </w:tc>
        <w:tc>
          <w:tcPr>
            <w:tcW w:w="592" w:type="pct"/>
            <w:shd w:val="clear" w:color="auto" w:fill="1F497D"/>
            <w:vAlign w:val="center"/>
            <w:hideMark/>
          </w:tcPr>
          <w:p w14:paraId="4F45F822" w14:textId="77777777" w:rsidR="004D65B3" w:rsidRPr="00EE6892" w:rsidRDefault="004D65B3" w:rsidP="0000064D">
            <w:pPr>
              <w:pStyle w:val="texto1"/>
              <w:spacing w:before="0" w:line="240" w:lineRule="auto"/>
              <w:jc w:val="center"/>
              <w:rPr>
                <w:rFonts w:asciiTheme="majorHAnsi" w:hAnsiTheme="majorHAnsi" w:cs="Arial"/>
                <w:b/>
                <w:caps/>
                <w:color w:val="FFFFFF"/>
                <w:sz w:val="20"/>
                <w:lang w:eastAsia="en-US"/>
              </w:rPr>
            </w:pPr>
            <w:r w:rsidRPr="00EE6892">
              <w:rPr>
                <w:rFonts w:asciiTheme="majorHAnsi" w:hAnsiTheme="majorHAnsi" w:cs="Arial"/>
                <w:b/>
                <w:color w:val="FFFFFF"/>
                <w:sz w:val="20"/>
                <w:lang w:eastAsia="en-US"/>
              </w:rPr>
              <w:t>Potencial de Atingir o Mar</w:t>
            </w:r>
          </w:p>
        </w:tc>
      </w:tr>
      <w:tr w:rsidR="004D65B3" w:rsidRPr="00EE6892" w14:paraId="343253F8" w14:textId="77777777" w:rsidTr="0000064D">
        <w:trPr>
          <w:cantSplit/>
          <w:trHeight w:val="340"/>
        </w:trPr>
        <w:tc>
          <w:tcPr>
            <w:tcW w:w="5000" w:type="pct"/>
            <w:gridSpan w:val="8"/>
            <w:shd w:val="clear" w:color="auto" w:fill="A6A6A6" w:themeFill="background1" w:themeFillShade="A6"/>
            <w:vAlign w:val="center"/>
          </w:tcPr>
          <w:p w14:paraId="078FD6DB" w14:textId="77777777" w:rsidR="004D65B3" w:rsidRPr="00EE6892" w:rsidRDefault="004D65B3" w:rsidP="0000064D">
            <w:pPr>
              <w:pStyle w:val="texto1"/>
              <w:spacing w:before="0" w:line="240" w:lineRule="auto"/>
              <w:rPr>
                <w:rFonts w:asciiTheme="majorHAnsi" w:hAnsiTheme="majorHAnsi" w:cs="Arial"/>
                <w:b/>
                <w:sz w:val="20"/>
                <w:lang w:eastAsia="en-US"/>
              </w:rPr>
            </w:pPr>
            <w:r w:rsidRPr="00EE6892">
              <w:rPr>
                <w:rFonts w:asciiTheme="majorHAnsi" w:hAnsiTheme="majorHAnsi" w:cs="Arial"/>
                <w:b/>
                <w:sz w:val="20"/>
                <w:lang w:eastAsia="en-US"/>
              </w:rPr>
              <w:t>Cenários relacionados à</w:t>
            </w:r>
            <w:r w:rsidR="0000064D" w:rsidRPr="00EE6892">
              <w:rPr>
                <w:rFonts w:asciiTheme="majorHAnsi" w:hAnsiTheme="majorHAnsi" w:cs="Arial"/>
                <w:b/>
                <w:sz w:val="20"/>
                <w:lang w:eastAsia="en-US"/>
              </w:rPr>
              <w:t xml:space="preserve"> unidade de perfuração marítima</w:t>
            </w:r>
          </w:p>
        </w:tc>
      </w:tr>
      <w:tr w:rsidR="004D65B3" w:rsidRPr="00EE6892" w14:paraId="64AEBD2B" w14:textId="77777777" w:rsidTr="00915A5A">
        <w:trPr>
          <w:cantSplit/>
        </w:trPr>
        <w:tc>
          <w:tcPr>
            <w:tcW w:w="351" w:type="pct"/>
            <w:gridSpan w:val="2"/>
            <w:shd w:val="clear" w:color="auto" w:fill="F2F2F2" w:themeFill="background1" w:themeFillShade="F2"/>
            <w:vAlign w:val="center"/>
          </w:tcPr>
          <w:p w14:paraId="09CC24B8" w14:textId="77777777" w:rsidR="004D65B3" w:rsidRPr="00EE6892" w:rsidRDefault="004D65B3" w:rsidP="0000064D">
            <w:pPr>
              <w:spacing w:before="0" w:line="240" w:lineRule="auto"/>
              <w:jc w:val="center"/>
              <w:rPr>
                <w:rFonts w:asciiTheme="majorHAnsi" w:hAnsiTheme="majorHAnsi"/>
                <w:b/>
                <w:sz w:val="20"/>
                <w:szCs w:val="20"/>
              </w:rPr>
            </w:pPr>
            <w:r w:rsidRPr="00EE6892">
              <w:rPr>
                <w:rFonts w:asciiTheme="majorHAnsi" w:hAnsiTheme="majorHAnsi"/>
                <w:b/>
                <w:sz w:val="20"/>
                <w:szCs w:val="20"/>
              </w:rPr>
              <w:t>01</w:t>
            </w:r>
          </w:p>
        </w:tc>
        <w:tc>
          <w:tcPr>
            <w:tcW w:w="1978" w:type="pct"/>
            <w:gridSpan w:val="2"/>
            <w:shd w:val="clear" w:color="auto" w:fill="F2F2F2" w:themeFill="background1" w:themeFillShade="F2"/>
            <w:vAlign w:val="center"/>
          </w:tcPr>
          <w:p w14:paraId="77A94F3A"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fluido de perfuração devido a furos, trincas ou falha de vedação em tanques, linhas e/ou acessórios durante a sua preparação e tratamento, resultando em espalhamento de fluido de perfuração por áreas adjacentes.</w:t>
            </w:r>
          </w:p>
        </w:tc>
        <w:tc>
          <w:tcPr>
            <w:tcW w:w="811" w:type="pct"/>
            <w:shd w:val="clear" w:color="auto" w:fill="F2F2F2" w:themeFill="background1" w:themeFillShade="F2"/>
            <w:vAlign w:val="center"/>
          </w:tcPr>
          <w:p w14:paraId="3551609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0DF3C99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5C8970EF"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1FBE5AD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4D150515" w14:textId="77777777" w:rsidTr="00915A5A">
        <w:trPr>
          <w:cantSplit/>
        </w:trPr>
        <w:tc>
          <w:tcPr>
            <w:tcW w:w="351" w:type="pct"/>
            <w:gridSpan w:val="2"/>
            <w:shd w:val="clear" w:color="auto" w:fill="F2F2F2" w:themeFill="background1" w:themeFillShade="F2"/>
            <w:vAlign w:val="center"/>
          </w:tcPr>
          <w:p w14:paraId="1E9C1222" w14:textId="77777777" w:rsidR="004D65B3" w:rsidRPr="00EE6892" w:rsidRDefault="004D65B3" w:rsidP="0000064D">
            <w:pPr>
              <w:spacing w:before="0" w:line="240" w:lineRule="auto"/>
              <w:jc w:val="center"/>
              <w:rPr>
                <w:rFonts w:asciiTheme="majorHAnsi" w:hAnsiTheme="majorHAnsi"/>
                <w:b/>
                <w:sz w:val="20"/>
                <w:szCs w:val="20"/>
              </w:rPr>
            </w:pPr>
            <w:r w:rsidRPr="00EE6892">
              <w:rPr>
                <w:rFonts w:asciiTheme="majorHAnsi" w:hAnsiTheme="majorHAnsi"/>
                <w:b/>
                <w:sz w:val="20"/>
                <w:szCs w:val="20"/>
              </w:rPr>
              <w:t>02</w:t>
            </w:r>
          </w:p>
        </w:tc>
        <w:tc>
          <w:tcPr>
            <w:tcW w:w="1978" w:type="pct"/>
            <w:gridSpan w:val="2"/>
            <w:shd w:val="clear" w:color="auto" w:fill="F2F2F2" w:themeFill="background1" w:themeFillShade="F2"/>
            <w:vAlign w:val="center"/>
          </w:tcPr>
          <w:p w14:paraId="64707153"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fluido de perfuração devido à ruptura em tanques, linhas e/ou acessórios durante a sua preparação e tratamento, resultando em espalhamento de fluido de perfuração por áreas adjacentes.</w:t>
            </w:r>
          </w:p>
        </w:tc>
        <w:tc>
          <w:tcPr>
            <w:tcW w:w="811" w:type="pct"/>
            <w:shd w:val="clear" w:color="auto" w:fill="F2F2F2" w:themeFill="background1" w:themeFillShade="F2"/>
            <w:vAlign w:val="center"/>
          </w:tcPr>
          <w:p w14:paraId="48B8683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65834233" w14:textId="3A913D3C" w:rsidR="004D65B3" w:rsidRPr="00EE6892" w:rsidRDefault="004D65B3" w:rsidP="00915A5A">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915A5A">
              <w:rPr>
                <w:rFonts w:asciiTheme="majorHAnsi" w:hAnsiTheme="majorHAnsi"/>
                <w:sz w:val="20"/>
                <w:szCs w:val="20"/>
              </w:rPr>
              <w:t>200</w:t>
            </w:r>
            <w:r w:rsidRPr="00EE6892">
              <w:rPr>
                <w:rFonts w:asciiTheme="majorHAnsi" w:hAnsiTheme="majorHAnsi"/>
                <w:sz w:val="20"/>
                <w:szCs w:val="20"/>
              </w:rPr>
              <w:t xml:space="preserve"> m³</w:t>
            </w:r>
          </w:p>
        </w:tc>
        <w:tc>
          <w:tcPr>
            <w:tcW w:w="608" w:type="pct"/>
            <w:shd w:val="clear" w:color="auto" w:fill="F2F2F2" w:themeFill="background1" w:themeFillShade="F2"/>
            <w:vAlign w:val="center"/>
          </w:tcPr>
          <w:p w14:paraId="778F83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2F2F2" w:themeFill="background1" w:themeFillShade="F2"/>
            <w:vAlign w:val="center"/>
          </w:tcPr>
          <w:p w14:paraId="57A76D3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915A5A" w:rsidRPr="00EE6892" w14:paraId="52190352" w14:textId="77777777" w:rsidTr="00915A5A">
        <w:trPr>
          <w:cantSplit/>
        </w:trPr>
        <w:tc>
          <w:tcPr>
            <w:tcW w:w="351" w:type="pct"/>
            <w:gridSpan w:val="2"/>
            <w:shd w:val="clear" w:color="auto" w:fill="FBD4B4" w:themeFill="accent6" w:themeFillTint="66"/>
            <w:vAlign w:val="center"/>
          </w:tcPr>
          <w:p w14:paraId="7343E541" w14:textId="24A14D83" w:rsidR="00915A5A" w:rsidRPr="00EE6892" w:rsidRDefault="00915A5A" w:rsidP="0000064D">
            <w:pPr>
              <w:spacing w:before="0" w:line="240" w:lineRule="auto"/>
              <w:jc w:val="center"/>
              <w:rPr>
                <w:rFonts w:asciiTheme="majorHAnsi" w:hAnsiTheme="majorHAnsi"/>
                <w:b/>
                <w:sz w:val="20"/>
                <w:szCs w:val="20"/>
              </w:rPr>
            </w:pPr>
            <w:r>
              <w:rPr>
                <w:rFonts w:asciiTheme="majorHAnsi" w:hAnsiTheme="majorHAnsi"/>
                <w:b/>
                <w:sz w:val="20"/>
                <w:szCs w:val="20"/>
              </w:rPr>
              <w:t>03</w:t>
            </w:r>
          </w:p>
        </w:tc>
        <w:tc>
          <w:tcPr>
            <w:tcW w:w="1978" w:type="pct"/>
            <w:gridSpan w:val="2"/>
            <w:shd w:val="clear" w:color="auto" w:fill="FBD4B4" w:themeFill="accent6" w:themeFillTint="66"/>
            <w:vAlign w:val="center"/>
          </w:tcPr>
          <w:p w14:paraId="08F1ACE0" w14:textId="47AB919C" w:rsidR="00915A5A" w:rsidRPr="00915A5A" w:rsidRDefault="00915A5A" w:rsidP="00915A5A">
            <w:pPr>
              <w:autoSpaceDE w:val="0"/>
              <w:autoSpaceDN w:val="0"/>
              <w:adjustRightInd w:val="0"/>
              <w:spacing w:before="0" w:line="240" w:lineRule="auto"/>
              <w:jc w:val="left"/>
              <w:rPr>
                <w:rFonts w:ascii="Times New Roman" w:hAnsi="Times New Roman" w:cs="Times New Roman"/>
                <w:sz w:val="20"/>
                <w:szCs w:val="20"/>
              </w:rPr>
            </w:pPr>
            <w:r w:rsidRPr="00915A5A">
              <w:rPr>
                <w:rFonts w:ascii="Times New Roman" w:hAnsi="Times New Roman" w:cs="Times New Roman"/>
                <w:sz w:val="20"/>
                <w:szCs w:val="20"/>
              </w:rPr>
              <w:t>Grande vazamento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915A5A">
              <w:rPr>
                <w:rFonts w:ascii="Times New Roman" w:hAnsi="Times New Roman" w:cs="Times New Roman"/>
                <w:sz w:val="20"/>
                <w:szCs w:val="20"/>
              </w:rPr>
              <w:t>ruptura em tanques, linhas</w:t>
            </w:r>
            <w:r>
              <w:rPr>
                <w:rFonts w:ascii="Times New Roman" w:hAnsi="Times New Roman" w:cs="Times New Roman"/>
                <w:sz w:val="20"/>
                <w:szCs w:val="20"/>
              </w:rPr>
              <w:t xml:space="preserve"> </w:t>
            </w:r>
            <w:r w:rsidRPr="00915A5A">
              <w:rPr>
                <w:rFonts w:ascii="Times New Roman" w:hAnsi="Times New Roman" w:cs="Times New Roman"/>
                <w:sz w:val="20"/>
                <w:szCs w:val="20"/>
              </w:rPr>
              <w:t>e/ou acessórios durante a sua</w:t>
            </w:r>
            <w:r>
              <w:rPr>
                <w:rFonts w:ascii="Times New Roman" w:hAnsi="Times New Roman" w:cs="Times New Roman"/>
                <w:sz w:val="20"/>
                <w:szCs w:val="20"/>
              </w:rPr>
              <w:t xml:space="preserve"> </w:t>
            </w:r>
            <w:r w:rsidRPr="00915A5A">
              <w:rPr>
                <w:rFonts w:ascii="Times New Roman" w:hAnsi="Times New Roman" w:cs="Times New Roman"/>
                <w:sz w:val="20"/>
                <w:szCs w:val="20"/>
              </w:rPr>
              <w:t>preparação e tratamento,</w:t>
            </w:r>
            <w:r>
              <w:rPr>
                <w:rFonts w:ascii="Times New Roman" w:hAnsi="Times New Roman" w:cs="Times New Roman"/>
                <w:sz w:val="20"/>
                <w:szCs w:val="20"/>
              </w:rPr>
              <w:t xml:space="preserve"> </w:t>
            </w:r>
            <w:r w:rsidRPr="00915A5A">
              <w:rPr>
                <w:rFonts w:ascii="Times New Roman" w:hAnsi="Times New Roman" w:cs="Times New Roman"/>
                <w:sz w:val="20"/>
                <w:szCs w:val="20"/>
              </w:rPr>
              <w:t>resultando em espalhamento</w:t>
            </w:r>
            <w:r>
              <w:rPr>
                <w:rFonts w:ascii="Times New Roman" w:hAnsi="Times New Roman" w:cs="Times New Roman"/>
                <w:sz w:val="20"/>
                <w:szCs w:val="20"/>
              </w:rPr>
              <w:t xml:space="preserve"> </w:t>
            </w:r>
            <w:r w:rsidRPr="00915A5A">
              <w:rPr>
                <w:rFonts w:ascii="Times New Roman" w:hAnsi="Times New Roman" w:cs="Times New Roman"/>
                <w:sz w:val="20"/>
                <w:szCs w:val="20"/>
              </w:rPr>
              <w:t>de fluido de perfuração no</w:t>
            </w:r>
          </w:p>
          <w:p w14:paraId="0EBEDF3C" w14:textId="3A81CD4A" w:rsidR="00915A5A" w:rsidRPr="00EE6892" w:rsidRDefault="00915A5A" w:rsidP="00915A5A">
            <w:pPr>
              <w:spacing w:before="0" w:line="240" w:lineRule="auto"/>
              <w:rPr>
                <w:rFonts w:asciiTheme="majorHAnsi" w:hAnsiTheme="majorHAnsi"/>
                <w:sz w:val="20"/>
                <w:szCs w:val="20"/>
              </w:rPr>
            </w:pPr>
            <w:r w:rsidRPr="00915A5A">
              <w:rPr>
                <w:rFonts w:ascii="Times New Roman" w:hAnsi="Times New Roman" w:cs="Times New Roman"/>
                <w:sz w:val="20"/>
                <w:szCs w:val="20"/>
              </w:rPr>
              <w:t>mar</w:t>
            </w:r>
          </w:p>
        </w:tc>
        <w:tc>
          <w:tcPr>
            <w:tcW w:w="811" w:type="pct"/>
            <w:shd w:val="clear" w:color="auto" w:fill="FBD4B4" w:themeFill="accent6" w:themeFillTint="66"/>
            <w:vAlign w:val="center"/>
          </w:tcPr>
          <w:p w14:paraId="4B86B492" w14:textId="39A14F05" w:rsidR="00915A5A" w:rsidRPr="00EE6892" w:rsidRDefault="00915A5A"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BD4B4" w:themeFill="accent6" w:themeFillTint="66"/>
            <w:vAlign w:val="center"/>
          </w:tcPr>
          <w:p w14:paraId="09CA3296" w14:textId="45B59B8F" w:rsidR="00915A5A" w:rsidRPr="00EE6892" w:rsidRDefault="00915A5A" w:rsidP="00915A5A">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w:t>
            </w:r>
            <w:r>
              <w:rPr>
                <w:rFonts w:asciiTheme="majorHAnsi" w:hAnsiTheme="majorHAnsi"/>
                <w:sz w:val="20"/>
                <w:szCs w:val="20"/>
              </w:rPr>
              <w:t>200</w:t>
            </w:r>
            <w:r w:rsidRPr="00EE6892">
              <w:rPr>
                <w:rFonts w:asciiTheme="majorHAnsi" w:hAnsiTheme="majorHAnsi"/>
                <w:sz w:val="20"/>
                <w:szCs w:val="20"/>
              </w:rPr>
              <w:t xml:space="preserve"> e </w:t>
            </w:r>
            <w:r>
              <w:rPr>
                <w:rFonts w:asciiTheme="majorHAnsi" w:hAnsiTheme="majorHAnsi"/>
                <w:sz w:val="20"/>
                <w:szCs w:val="20"/>
              </w:rPr>
              <w:t>635,4</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2D036D66" w14:textId="4093FEFF" w:rsidR="00915A5A" w:rsidRPr="00EE6892" w:rsidRDefault="00915A5A"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7788B1C6" w14:textId="08AA5A00" w:rsidR="00915A5A" w:rsidRPr="00EE6892" w:rsidRDefault="00915A5A" w:rsidP="0000064D">
            <w:pPr>
              <w:spacing w:before="0" w:line="240" w:lineRule="auto"/>
              <w:jc w:val="center"/>
              <w:rPr>
                <w:rFonts w:asciiTheme="majorHAnsi" w:hAnsiTheme="majorHAnsi"/>
                <w:sz w:val="20"/>
                <w:szCs w:val="20"/>
              </w:rPr>
            </w:pPr>
            <w:r>
              <w:rPr>
                <w:rFonts w:asciiTheme="majorHAnsi" w:hAnsiTheme="majorHAnsi"/>
                <w:sz w:val="20"/>
                <w:szCs w:val="20"/>
              </w:rPr>
              <w:t>Sim</w:t>
            </w:r>
          </w:p>
        </w:tc>
      </w:tr>
      <w:tr w:rsidR="003F3A3F" w:rsidRPr="00EE6892" w14:paraId="54843E81" w14:textId="77777777" w:rsidTr="003F3A3F">
        <w:trPr>
          <w:cantSplit/>
        </w:trPr>
        <w:tc>
          <w:tcPr>
            <w:tcW w:w="351" w:type="pct"/>
            <w:gridSpan w:val="2"/>
            <w:shd w:val="clear" w:color="auto" w:fill="F2F2F2" w:themeFill="background1" w:themeFillShade="F2"/>
            <w:vAlign w:val="center"/>
          </w:tcPr>
          <w:p w14:paraId="1691C5A8" w14:textId="705EC33C" w:rsidR="003F3A3F"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05</w:t>
            </w:r>
          </w:p>
        </w:tc>
        <w:tc>
          <w:tcPr>
            <w:tcW w:w="1978" w:type="pct"/>
            <w:gridSpan w:val="2"/>
            <w:shd w:val="clear" w:color="auto" w:fill="F2F2F2" w:themeFill="background1" w:themeFillShade="F2"/>
            <w:vAlign w:val="center"/>
          </w:tcPr>
          <w:p w14:paraId="715868BD" w14:textId="4849818D" w:rsidR="003F3A3F" w:rsidRPr="00EE6892" w:rsidRDefault="003F3A3F" w:rsidP="003F3A3F">
            <w:pPr>
              <w:autoSpaceDE w:val="0"/>
              <w:autoSpaceDN w:val="0"/>
              <w:adjustRightInd w:val="0"/>
              <w:spacing w:before="0" w:line="240" w:lineRule="auto"/>
              <w:jc w:val="left"/>
              <w:rPr>
                <w:rFonts w:asciiTheme="majorHAnsi" w:hAnsiTheme="majorHAnsi"/>
                <w:sz w:val="20"/>
                <w:szCs w:val="20"/>
              </w:rPr>
            </w:pPr>
            <w:r w:rsidRPr="003F3A3F">
              <w:rPr>
                <w:rFonts w:ascii="Times New Roman" w:hAnsi="Times New Roman" w:cs="Times New Roman"/>
                <w:sz w:val="20"/>
                <w:szCs w:val="20"/>
              </w:rPr>
              <w:t>Médio vazamento de fluido</w:t>
            </w:r>
            <w:r>
              <w:rPr>
                <w:rFonts w:ascii="Times New Roman" w:hAnsi="Times New Roman" w:cs="Times New Roman"/>
                <w:sz w:val="20"/>
                <w:szCs w:val="20"/>
              </w:rPr>
              <w:t xml:space="preserve"> </w:t>
            </w:r>
            <w:r w:rsidRPr="003F3A3F">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3F3A3F">
              <w:rPr>
                <w:rFonts w:ascii="Times New Roman" w:hAnsi="Times New Roman" w:cs="Times New Roman"/>
                <w:sz w:val="20"/>
                <w:szCs w:val="20"/>
              </w:rPr>
              <w:t>ruptura total da tubulação de</w:t>
            </w:r>
            <w:r>
              <w:rPr>
                <w:rFonts w:ascii="Times New Roman" w:hAnsi="Times New Roman" w:cs="Times New Roman"/>
                <w:sz w:val="20"/>
                <w:szCs w:val="20"/>
              </w:rPr>
              <w:t xml:space="preserve"> </w:t>
            </w:r>
            <w:r w:rsidRPr="003F3A3F">
              <w:rPr>
                <w:rFonts w:ascii="Times New Roman" w:hAnsi="Times New Roman" w:cs="Times New Roman"/>
                <w:sz w:val="20"/>
                <w:szCs w:val="20"/>
              </w:rPr>
              <w:t>transferência entre o tanque</w:t>
            </w:r>
            <w:r>
              <w:rPr>
                <w:rFonts w:ascii="Times New Roman" w:hAnsi="Times New Roman" w:cs="Times New Roman"/>
                <w:sz w:val="20"/>
                <w:szCs w:val="20"/>
              </w:rPr>
              <w:t xml:space="preserve"> </w:t>
            </w:r>
            <w:r w:rsidRPr="003F3A3F">
              <w:rPr>
                <w:rFonts w:ascii="Times New Roman" w:hAnsi="Times New Roman" w:cs="Times New Roman"/>
                <w:sz w:val="20"/>
                <w:szCs w:val="20"/>
              </w:rPr>
              <w:t>de estocagem e o ponto de</w:t>
            </w:r>
            <w:r>
              <w:rPr>
                <w:rFonts w:ascii="Times New Roman" w:hAnsi="Times New Roman" w:cs="Times New Roman"/>
                <w:sz w:val="20"/>
                <w:szCs w:val="20"/>
              </w:rPr>
              <w:t xml:space="preserve"> </w:t>
            </w:r>
            <w:r w:rsidRPr="003F3A3F">
              <w:rPr>
                <w:rFonts w:ascii="Times New Roman" w:hAnsi="Times New Roman" w:cs="Times New Roman"/>
                <w:sz w:val="20"/>
                <w:szCs w:val="20"/>
              </w:rPr>
              <w:t>aplicação com espalhamento</w:t>
            </w:r>
            <w:r>
              <w:rPr>
                <w:rFonts w:ascii="Times New Roman" w:hAnsi="Times New Roman" w:cs="Times New Roman"/>
                <w:sz w:val="20"/>
                <w:szCs w:val="20"/>
              </w:rPr>
              <w:t xml:space="preserve"> </w:t>
            </w:r>
            <w:r w:rsidRPr="003F3A3F">
              <w:rPr>
                <w:rFonts w:ascii="Times New Roman" w:hAnsi="Times New Roman" w:cs="Times New Roman"/>
                <w:sz w:val="20"/>
                <w:szCs w:val="20"/>
              </w:rPr>
              <w:t>de fluido por áreas</w:t>
            </w:r>
            <w:r>
              <w:rPr>
                <w:rFonts w:ascii="Times New Roman" w:hAnsi="Times New Roman" w:cs="Times New Roman"/>
                <w:sz w:val="20"/>
                <w:szCs w:val="20"/>
              </w:rPr>
              <w:t xml:space="preserve"> </w:t>
            </w:r>
            <w:r w:rsidRPr="003F3A3F">
              <w:rPr>
                <w:rFonts w:ascii="Times New Roman" w:hAnsi="Times New Roman" w:cs="Times New Roman"/>
                <w:sz w:val="20"/>
                <w:szCs w:val="20"/>
              </w:rPr>
              <w:t>adjacentes.</w:t>
            </w:r>
          </w:p>
        </w:tc>
        <w:tc>
          <w:tcPr>
            <w:tcW w:w="811" w:type="pct"/>
            <w:shd w:val="clear" w:color="auto" w:fill="F2F2F2" w:themeFill="background1" w:themeFillShade="F2"/>
            <w:vAlign w:val="center"/>
          </w:tcPr>
          <w:p w14:paraId="67B70907" w14:textId="6750917F"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73E240CF" w14:textId="20EFEE0C" w:rsidR="003F3A3F" w:rsidRPr="00EE6892" w:rsidRDefault="003F3A3F" w:rsidP="0000064D">
            <w:pPr>
              <w:spacing w:before="0" w:line="240" w:lineRule="auto"/>
              <w:jc w:val="center"/>
              <w:rPr>
                <w:rFonts w:asciiTheme="majorHAnsi" w:hAnsiTheme="majorHAnsi"/>
                <w:sz w:val="20"/>
                <w:szCs w:val="20"/>
              </w:rPr>
            </w:pPr>
            <w:r>
              <w:rPr>
                <w:rFonts w:asciiTheme="majorHAnsi" w:hAnsiTheme="majorHAnsi"/>
                <w:sz w:val="20"/>
                <w:szCs w:val="20"/>
              </w:rPr>
              <w:t>Entre</w:t>
            </w:r>
            <w:r w:rsidRPr="00EE6892">
              <w:rPr>
                <w:rFonts w:asciiTheme="majorHAnsi" w:hAnsiTheme="majorHAnsi"/>
                <w:sz w:val="20"/>
                <w:szCs w:val="20"/>
              </w:rPr>
              <w:t xml:space="preserve"> 8</w:t>
            </w:r>
            <w:r>
              <w:rPr>
                <w:rFonts w:asciiTheme="majorHAnsi" w:hAnsiTheme="majorHAnsi"/>
                <w:sz w:val="20"/>
                <w:szCs w:val="20"/>
              </w:rPr>
              <w:t xml:space="preserve"> e 200</w:t>
            </w:r>
            <w:r w:rsidRPr="00EE6892">
              <w:rPr>
                <w:rFonts w:asciiTheme="majorHAnsi" w:hAnsiTheme="majorHAnsi"/>
                <w:sz w:val="20"/>
                <w:szCs w:val="20"/>
              </w:rPr>
              <w:t xml:space="preserve"> m³</w:t>
            </w:r>
          </w:p>
        </w:tc>
        <w:tc>
          <w:tcPr>
            <w:tcW w:w="608" w:type="pct"/>
            <w:shd w:val="clear" w:color="auto" w:fill="F2F2F2" w:themeFill="background1" w:themeFillShade="F2"/>
            <w:vAlign w:val="center"/>
          </w:tcPr>
          <w:p w14:paraId="49DD3B49" w14:textId="6F82AE47"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2F2F2" w:themeFill="background1" w:themeFillShade="F2"/>
            <w:vAlign w:val="center"/>
          </w:tcPr>
          <w:p w14:paraId="4738438C" w14:textId="4CACAA51"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3F3A3F" w:rsidRPr="00EE6892" w14:paraId="6634A778" w14:textId="77777777" w:rsidTr="003F3A3F">
        <w:trPr>
          <w:cantSplit/>
        </w:trPr>
        <w:tc>
          <w:tcPr>
            <w:tcW w:w="351" w:type="pct"/>
            <w:gridSpan w:val="2"/>
            <w:shd w:val="clear" w:color="auto" w:fill="FBD4B4" w:themeFill="accent6" w:themeFillTint="66"/>
            <w:vAlign w:val="center"/>
          </w:tcPr>
          <w:p w14:paraId="2F4013A2" w14:textId="170EC423" w:rsidR="003F3A3F"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06</w:t>
            </w:r>
          </w:p>
        </w:tc>
        <w:tc>
          <w:tcPr>
            <w:tcW w:w="1978" w:type="pct"/>
            <w:gridSpan w:val="2"/>
            <w:shd w:val="clear" w:color="auto" w:fill="FBD4B4" w:themeFill="accent6" w:themeFillTint="66"/>
            <w:vAlign w:val="center"/>
          </w:tcPr>
          <w:p w14:paraId="483DFE66" w14:textId="25E333AB" w:rsidR="003F3A3F" w:rsidRPr="00EE6892" w:rsidRDefault="003F3A3F" w:rsidP="003F3A3F">
            <w:pPr>
              <w:autoSpaceDE w:val="0"/>
              <w:autoSpaceDN w:val="0"/>
              <w:adjustRightInd w:val="0"/>
              <w:spacing w:before="0" w:line="240" w:lineRule="auto"/>
              <w:jc w:val="left"/>
              <w:rPr>
                <w:rFonts w:asciiTheme="majorHAnsi" w:hAnsiTheme="majorHAnsi"/>
                <w:sz w:val="20"/>
                <w:szCs w:val="20"/>
              </w:rPr>
            </w:pPr>
            <w:r w:rsidRPr="003F3A3F">
              <w:rPr>
                <w:rFonts w:ascii="Times New Roman" w:hAnsi="Times New Roman" w:cs="Times New Roman"/>
                <w:sz w:val="20"/>
                <w:szCs w:val="20"/>
              </w:rPr>
              <w:t>Grande vazamento de fluido</w:t>
            </w:r>
            <w:r>
              <w:rPr>
                <w:rFonts w:ascii="Times New Roman" w:hAnsi="Times New Roman" w:cs="Times New Roman"/>
                <w:sz w:val="20"/>
                <w:szCs w:val="20"/>
              </w:rPr>
              <w:t xml:space="preserve"> </w:t>
            </w:r>
            <w:r w:rsidRPr="003F3A3F">
              <w:rPr>
                <w:rFonts w:ascii="Times New Roman" w:hAnsi="Times New Roman" w:cs="Times New Roman"/>
                <w:sz w:val="20"/>
                <w:szCs w:val="20"/>
              </w:rPr>
              <w:t>de perfuração devido à</w:t>
            </w:r>
            <w:r>
              <w:rPr>
                <w:rFonts w:ascii="Times New Roman" w:hAnsi="Times New Roman" w:cs="Times New Roman"/>
                <w:sz w:val="20"/>
                <w:szCs w:val="20"/>
              </w:rPr>
              <w:t xml:space="preserve"> </w:t>
            </w:r>
            <w:r w:rsidRPr="003F3A3F">
              <w:rPr>
                <w:rFonts w:ascii="Times New Roman" w:hAnsi="Times New Roman" w:cs="Times New Roman"/>
                <w:sz w:val="20"/>
                <w:szCs w:val="20"/>
              </w:rPr>
              <w:t>ruptura total da tubulação de</w:t>
            </w:r>
            <w:r>
              <w:rPr>
                <w:rFonts w:ascii="Times New Roman" w:hAnsi="Times New Roman" w:cs="Times New Roman"/>
                <w:sz w:val="20"/>
                <w:szCs w:val="20"/>
              </w:rPr>
              <w:t xml:space="preserve"> </w:t>
            </w:r>
            <w:r w:rsidRPr="003F3A3F">
              <w:rPr>
                <w:rFonts w:ascii="Times New Roman" w:hAnsi="Times New Roman" w:cs="Times New Roman"/>
                <w:sz w:val="20"/>
                <w:szCs w:val="20"/>
              </w:rPr>
              <w:t>transferência entre o tanque</w:t>
            </w:r>
            <w:r>
              <w:rPr>
                <w:rFonts w:ascii="Times New Roman" w:hAnsi="Times New Roman" w:cs="Times New Roman"/>
                <w:sz w:val="20"/>
                <w:szCs w:val="20"/>
              </w:rPr>
              <w:t xml:space="preserve"> </w:t>
            </w:r>
            <w:r w:rsidRPr="003F3A3F">
              <w:rPr>
                <w:rFonts w:ascii="Times New Roman" w:hAnsi="Times New Roman" w:cs="Times New Roman"/>
                <w:sz w:val="20"/>
                <w:szCs w:val="20"/>
              </w:rPr>
              <w:t>de estocagem e o ponto de</w:t>
            </w:r>
            <w:r>
              <w:rPr>
                <w:rFonts w:ascii="Times New Roman" w:hAnsi="Times New Roman" w:cs="Times New Roman"/>
                <w:sz w:val="20"/>
                <w:szCs w:val="20"/>
              </w:rPr>
              <w:t xml:space="preserve"> </w:t>
            </w:r>
            <w:r w:rsidRPr="003F3A3F">
              <w:rPr>
                <w:rFonts w:ascii="Times New Roman" w:hAnsi="Times New Roman" w:cs="Times New Roman"/>
                <w:sz w:val="20"/>
                <w:szCs w:val="20"/>
              </w:rPr>
              <w:t>aplicação com espalhamento no mar.</w:t>
            </w:r>
          </w:p>
        </w:tc>
        <w:tc>
          <w:tcPr>
            <w:tcW w:w="811" w:type="pct"/>
            <w:shd w:val="clear" w:color="auto" w:fill="FBD4B4" w:themeFill="accent6" w:themeFillTint="66"/>
            <w:vAlign w:val="center"/>
          </w:tcPr>
          <w:p w14:paraId="0D557303" w14:textId="2729C798"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BD4B4" w:themeFill="accent6" w:themeFillTint="66"/>
            <w:vAlign w:val="center"/>
          </w:tcPr>
          <w:p w14:paraId="2229F968" w14:textId="46B3509A"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w:t>
            </w:r>
            <w:r>
              <w:rPr>
                <w:rFonts w:asciiTheme="majorHAnsi" w:hAnsiTheme="majorHAnsi"/>
                <w:sz w:val="20"/>
                <w:szCs w:val="20"/>
              </w:rPr>
              <w:t>200</w:t>
            </w:r>
            <w:r w:rsidRPr="00EE6892">
              <w:rPr>
                <w:rFonts w:asciiTheme="majorHAnsi" w:hAnsiTheme="majorHAnsi"/>
                <w:sz w:val="20"/>
                <w:szCs w:val="20"/>
              </w:rPr>
              <w:t xml:space="preserve"> e </w:t>
            </w:r>
            <w:r>
              <w:rPr>
                <w:rFonts w:asciiTheme="majorHAnsi" w:hAnsiTheme="majorHAnsi"/>
                <w:sz w:val="20"/>
                <w:szCs w:val="20"/>
              </w:rPr>
              <w:t>635,4</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3F51D0EA" w14:textId="3070ED42" w:rsidR="003F3A3F" w:rsidRPr="00EE6892" w:rsidRDefault="003F3A3F"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40C87B72" w14:textId="774AD71D" w:rsidR="003F3A3F" w:rsidRPr="00EE6892" w:rsidRDefault="003F3A3F" w:rsidP="0000064D">
            <w:pPr>
              <w:spacing w:before="0" w:line="240" w:lineRule="auto"/>
              <w:jc w:val="center"/>
              <w:rPr>
                <w:rFonts w:asciiTheme="majorHAnsi" w:hAnsiTheme="majorHAnsi"/>
                <w:sz w:val="20"/>
                <w:szCs w:val="20"/>
              </w:rPr>
            </w:pPr>
            <w:r>
              <w:rPr>
                <w:rFonts w:asciiTheme="majorHAnsi" w:hAnsiTheme="majorHAnsi"/>
                <w:sz w:val="20"/>
                <w:szCs w:val="20"/>
              </w:rPr>
              <w:t>Sim</w:t>
            </w:r>
          </w:p>
        </w:tc>
      </w:tr>
      <w:tr w:rsidR="004D65B3" w:rsidRPr="00EE6892" w14:paraId="60F048F4" w14:textId="77777777" w:rsidTr="003F3A3F">
        <w:trPr>
          <w:cantSplit/>
        </w:trPr>
        <w:tc>
          <w:tcPr>
            <w:tcW w:w="351" w:type="pct"/>
            <w:gridSpan w:val="2"/>
            <w:shd w:val="clear" w:color="auto" w:fill="FBD4B4" w:themeFill="accent6" w:themeFillTint="66"/>
            <w:vAlign w:val="center"/>
            <w:hideMark/>
          </w:tcPr>
          <w:p w14:paraId="3A70E260" w14:textId="67E2A3D5" w:rsidR="004D65B3" w:rsidRPr="00EE6892" w:rsidRDefault="004D65B3" w:rsidP="003F3A3F">
            <w:pPr>
              <w:spacing w:before="0" w:line="240" w:lineRule="auto"/>
              <w:jc w:val="center"/>
              <w:rPr>
                <w:rFonts w:asciiTheme="majorHAnsi" w:hAnsiTheme="majorHAnsi"/>
                <w:b/>
                <w:sz w:val="20"/>
                <w:szCs w:val="20"/>
              </w:rPr>
            </w:pPr>
            <w:r w:rsidRPr="00EE6892">
              <w:rPr>
                <w:rFonts w:asciiTheme="majorHAnsi" w:hAnsiTheme="majorHAnsi"/>
                <w:b/>
                <w:sz w:val="20"/>
                <w:szCs w:val="20"/>
              </w:rPr>
              <w:t>0</w:t>
            </w:r>
            <w:r w:rsidR="003F3A3F">
              <w:rPr>
                <w:rFonts w:asciiTheme="majorHAnsi" w:hAnsiTheme="majorHAnsi"/>
                <w:b/>
                <w:sz w:val="20"/>
                <w:szCs w:val="20"/>
              </w:rPr>
              <w:t>7</w:t>
            </w:r>
          </w:p>
        </w:tc>
        <w:tc>
          <w:tcPr>
            <w:tcW w:w="1978" w:type="pct"/>
            <w:gridSpan w:val="2"/>
            <w:shd w:val="clear" w:color="auto" w:fill="FBD4B4" w:themeFill="accent6" w:themeFillTint="66"/>
            <w:vAlign w:val="center"/>
            <w:hideMark/>
          </w:tcPr>
          <w:p w14:paraId="17A95E5C"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5795AEF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2465EE6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7577D9D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1ED8AB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09F8F8F8" w14:textId="77777777" w:rsidTr="003F3A3F">
        <w:trPr>
          <w:cantSplit/>
        </w:trPr>
        <w:tc>
          <w:tcPr>
            <w:tcW w:w="351" w:type="pct"/>
            <w:gridSpan w:val="2"/>
            <w:shd w:val="clear" w:color="auto" w:fill="FBD4B4" w:themeFill="accent6" w:themeFillTint="66"/>
            <w:vAlign w:val="center"/>
            <w:hideMark/>
          </w:tcPr>
          <w:p w14:paraId="7D2B9FBD" w14:textId="6030066F"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08</w:t>
            </w:r>
          </w:p>
        </w:tc>
        <w:tc>
          <w:tcPr>
            <w:tcW w:w="1978" w:type="pct"/>
            <w:gridSpan w:val="2"/>
            <w:shd w:val="clear" w:color="auto" w:fill="FBD4B4" w:themeFill="accent6" w:themeFillTint="66"/>
            <w:vAlign w:val="center"/>
            <w:hideMark/>
          </w:tcPr>
          <w:p w14:paraId="0D9C1378"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37A3952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199E83C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hideMark/>
          </w:tcPr>
          <w:p w14:paraId="7131B45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ADF7785"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1F02EA26" w14:textId="77777777" w:rsidTr="003F3A3F">
        <w:trPr>
          <w:cantSplit/>
        </w:trPr>
        <w:tc>
          <w:tcPr>
            <w:tcW w:w="351" w:type="pct"/>
            <w:gridSpan w:val="2"/>
            <w:shd w:val="clear" w:color="auto" w:fill="FBD4B4" w:themeFill="accent6" w:themeFillTint="66"/>
            <w:vAlign w:val="center"/>
            <w:hideMark/>
          </w:tcPr>
          <w:p w14:paraId="2F73F8CB" w14:textId="4E924289" w:rsidR="004D65B3" w:rsidRPr="00EE6892" w:rsidRDefault="004D65B3" w:rsidP="003F3A3F">
            <w:pPr>
              <w:spacing w:before="0" w:line="240" w:lineRule="auto"/>
              <w:jc w:val="center"/>
              <w:rPr>
                <w:rFonts w:asciiTheme="majorHAnsi" w:hAnsiTheme="majorHAnsi"/>
                <w:b/>
                <w:sz w:val="20"/>
                <w:szCs w:val="20"/>
              </w:rPr>
            </w:pPr>
            <w:r w:rsidRPr="00EE6892">
              <w:rPr>
                <w:rFonts w:asciiTheme="majorHAnsi" w:hAnsiTheme="majorHAnsi"/>
                <w:b/>
                <w:sz w:val="20"/>
                <w:szCs w:val="20"/>
              </w:rPr>
              <w:t>0</w:t>
            </w:r>
            <w:r w:rsidR="003F3A3F">
              <w:rPr>
                <w:rFonts w:asciiTheme="majorHAnsi" w:hAnsiTheme="majorHAnsi"/>
                <w:b/>
                <w:sz w:val="20"/>
                <w:szCs w:val="20"/>
              </w:rPr>
              <w:t>9</w:t>
            </w:r>
          </w:p>
        </w:tc>
        <w:tc>
          <w:tcPr>
            <w:tcW w:w="1978" w:type="pct"/>
            <w:gridSpan w:val="2"/>
            <w:shd w:val="clear" w:color="auto" w:fill="FBD4B4" w:themeFill="accent6" w:themeFillTint="66"/>
            <w:vAlign w:val="center"/>
            <w:hideMark/>
          </w:tcPr>
          <w:p w14:paraId="0F1C4E27"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cru e gás no processo de perfuração devido à falha do sistema de controle de poço com espalhamento de óleo no mar</w:t>
            </w:r>
            <w:r w:rsidR="00F51B7D" w:rsidRPr="00EE6892">
              <w:rPr>
                <w:rFonts w:asciiTheme="majorHAnsi" w:hAnsiTheme="majorHAnsi"/>
                <w:sz w:val="20"/>
                <w:szCs w:val="20"/>
              </w:rPr>
              <w:t>.</w:t>
            </w:r>
          </w:p>
        </w:tc>
        <w:tc>
          <w:tcPr>
            <w:tcW w:w="811" w:type="pct"/>
            <w:shd w:val="clear" w:color="auto" w:fill="FBD4B4" w:themeFill="accent6" w:themeFillTint="66"/>
            <w:vAlign w:val="center"/>
            <w:hideMark/>
          </w:tcPr>
          <w:p w14:paraId="4BEEEFC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Cru</w:t>
            </w:r>
          </w:p>
        </w:tc>
        <w:tc>
          <w:tcPr>
            <w:tcW w:w="660" w:type="pct"/>
            <w:shd w:val="clear" w:color="auto" w:fill="FBD4B4" w:themeFill="accent6" w:themeFillTint="66"/>
            <w:vAlign w:val="center"/>
            <w:hideMark/>
          </w:tcPr>
          <w:p w14:paraId="2872902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200 e 46.742 m³</w:t>
            </w:r>
          </w:p>
        </w:tc>
        <w:tc>
          <w:tcPr>
            <w:tcW w:w="608" w:type="pct"/>
            <w:shd w:val="clear" w:color="auto" w:fill="FBD4B4" w:themeFill="accent6" w:themeFillTint="66"/>
            <w:vAlign w:val="center"/>
            <w:hideMark/>
          </w:tcPr>
          <w:p w14:paraId="4E11B5C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876C22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77F4A829" w14:textId="77777777" w:rsidTr="003F3A3F">
        <w:trPr>
          <w:cantSplit/>
        </w:trPr>
        <w:tc>
          <w:tcPr>
            <w:tcW w:w="351" w:type="pct"/>
            <w:gridSpan w:val="2"/>
            <w:shd w:val="clear" w:color="auto" w:fill="FBD4B4" w:themeFill="accent6" w:themeFillTint="66"/>
            <w:vAlign w:val="center"/>
            <w:hideMark/>
          </w:tcPr>
          <w:p w14:paraId="4DDD6C13" w14:textId="26E2024F"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lastRenderedPageBreak/>
              <w:t>10</w:t>
            </w:r>
          </w:p>
        </w:tc>
        <w:tc>
          <w:tcPr>
            <w:tcW w:w="1978" w:type="pct"/>
            <w:gridSpan w:val="2"/>
            <w:shd w:val="clear" w:color="auto" w:fill="FBD4B4" w:themeFill="accent6" w:themeFillTint="66"/>
            <w:vAlign w:val="center"/>
            <w:hideMark/>
          </w:tcPr>
          <w:p w14:paraId="4287FE8D" w14:textId="6853C915" w:rsidR="004D65B3" w:rsidRPr="00EE6892" w:rsidRDefault="004D65B3" w:rsidP="003F3A3F">
            <w:pPr>
              <w:spacing w:before="0" w:line="240" w:lineRule="auto"/>
              <w:rPr>
                <w:rFonts w:asciiTheme="majorHAnsi" w:hAnsiTheme="majorHAnsi"/>
                <w:sz w:val="20"/>
                <w:szCs w:val="20"/>
              </w:rPr>
            </w:pPr>
            <w:r w:rsidRPr="00EE6892">
              <w:rPr>
                <w:rFonts w:asciiTheme="majorHAnsi" w:hAnsiTheme="majorHAnsi"/>
                <w:sz w:val="20"/>
                <w:szCs w:val="20"/>
              </w:rPr>
              <w:t xml:space="preserve">Pequeno vazamento de óleo combustível devido a furos, trincas ou falhas de vedação em tanques, linhas e/ou acessórios cobrindo desde o tanque de estocagem até o ponto de consumo e resultando em derrame de óleo </w:t>
            </w:r>
            <w:r w:rsidR="003F3A3F">
              <w:rPr>
                <w:rFonts w:asciiTheme="majorHAnsi" w:hAnsiTheme="majorHAnsi"/>
                <w:sz w:val="20"/>
                <w:szCs w:val="20"/>
              </w:rPr>
              <w:t>para o mar.</w:t>
            </w:r>
          </w:p>
        </w:tc>
        <w:tc>
          <w:tcPr>
            <w:tcW w:w="811" w:type="pct"/>
            <w:shd w:val="clear" w:color="auto" w:fill="FBD4B4" w:themeFill="accent6" w:themeFillTint="66"/>
            <w:vAlign w:val="center"/>
            <w:hideMark/>
          </w:tcPr>
          <w:p w14:paraId="763D456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279C8CFC"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3BD9701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1FAE2CAD"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7F587EB5" w14:textId="77777777" w:rsidTr="003F3A3F">
        <w:trPr>
          <w:cantSplit/>
        </w:trPr>
        <w:tc>
          <w:tcPr>
            <w:tcW w:w="351" w:type="pct"/>
            <w:gridSpan w:val="2"/>
            <w:shd w:val="clear" w:color="auto" w:fill="FBD4B4" w:themeFill="accent6" w:themeFillTint="66"/>
            <w:vAlign w:val="center"/>
          </w:tcPr>
          <w:p w14:paraId="7FE41963" w14:textId="71562210" w:rsidR="004D65B3" w:rsidRPr="00EE6892" w:rsidRDefault="003F3A3F" w:rsidP="0000064D">
            <w:pPr>
              <w:spacing w:before="0" w:line="240" w:lineRule="auto"/>
              <w:jc w:val="center"/>
              <w:rPr>
                <w:rFonts w:asciiTheme="majorHAnsi" w:hAnsiTheme="majorHAnsi"/>
                <w:b/>
                <w:sz w:val="20"/>
                <w:szCs w:val="20"/>
              </w:rPr>
            </w:pPr>
            <w:r>
              <w:rPr>
                <w:rFonts w:asciiTheme="majorHAnsi" w:hAnsiTheme="majorHAnsi"/>
                <w:b/>
                <w:sz w:val="20"/>
                <w:szCs w:val="20"/>
              </w:rPr>
              <w:t>11</w:t>
            </w:r>
          </w:p>
        </w:tc>
        <w:tc>
          <w:tcPr>
            <w:tcW w:w="1978" w:type="pct"/>
            <w:gridSpan w:val="2"/>
            <w:shd w:val="clear" w:color="auto" w:fill="FBD4B4" w:themeFill="accent6" w:themeFillTint="66"/>
            <w:vAlign w:val="center"/>
            <w:hideMark/>
          </w:tcPr>
          <w:p w14:paraId="6CAEEBC4"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combustível devido furos, trincas ou falhas de vedação em tanques, linhas e/ou acessórios cobrindo desde o tanque de estocagem até o ponto de consumo e resultando em derrame de óleo para o mar.</w:t>
            </w:r>
          </w:p>
        </w:tc>
        <w:tc>
          <w:tcPr>
            <w:tcW w:w="811" w:type="pct"/>
            <w:shd w:val="clear" w:color="auto" w:fill="FBD4B4" w:themeFill="accent6" w:themeFillTint="66"/>
            <w:vAlign w:val="center"/>
            <w:hideMark/>
          </w:tcPr>
          <w:p w14:paraId="0D97A15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0D151FB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hideMark/>
          </w:tcPr>
          <w:p w14:paraId="7E6E36D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653A0ED9"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3D03463C" w14:textId="77777777" w:rsidTr="00BC6E92">
        <w:trPr>
          <w:cantSplit/>
        </w:trPr>
        <w:tc>
          <w:tcPr>
            <w:tcW w:w="351" w:type="pct"/>
            <w:gridSpan w:val="2"/>
            <w:shd w:val="clear" w:color="auto" w:fill="FBD4B4" w:themeFill="accent6" w:themeFillTint="66"/>
            <w:vAlign w:val="center"/>
          </w:tcPr>
          <w:p w14:paraId="0101EAD5" w14:textId="2A4E1F37" w:rsidR="004D65B3" w:rsidRPr="00EE6892" w:rsidRDefault="00BC6E92" w:rsidP="0000064D">
            <w:pPr>
              <w:spacing w:before="0" w:line="240" w:lineRule="auto"/>
              <w:jc w:val="center"/>
              <w:rPr>
                <w:rFonts w:asciiTheme="majorHAnsi" w:hAnsiTheme="majorHAnsi"/>
                <w:b/>
                <w:sz w:val="20"/>
                <w:szCs w:val="20"/>
              </w:rPr>
            </w:pPr>
            <w:r>
              <w:rPr>
                <w:rFonts w:asciiTheme="majorHAnsi" w:hAnsiTheme="majorHAnsi"/>
                <w:b/>
                <w:sz w:val="20"/>
                <w:szCs w:val="20"/>
              </w:rPr>
              <w:t>12</w:t>
            </w:r>
          </w:p>
        </w:tc>
        <w:tc>
          <w:tcPr>
            <w:tcW w:w="1978" w:type="pct"/>
            <w:gridSpan w:val="2"/>
            <w:shd w:val="clear" w:color="auto" w:fill="FBD4B4" w:themeFill="accent6" w:themeFillTint="66"/>
            <w:vAlign w:val="center"/>
            <w:hideMark/>
          </w:tcPr>
          <w:p w14:paraId="419A9145"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combustível devido à ruptura total em tanques, linhas e acessórios cobrindo desde o tanque de estocagem até o ponto de consumo e resultando em derrame de óleo para o mar.</w:t>
            </w:r>
          </w:p>
        </w:tc>
        <w:tc>
          <w:tcPr>
            <w:tcW w:w="811" w:type="pct"/>
            <w:shd w:val="clear" w:color="auto" w:fill="FBD4B4" w:themeFill="accent6" w:themeFillTint="66"/>
            <w:vAlign w:val="center"/>
            <w:hideMark/>
          </w:tcPr>
          <w:p w14:paraId="61C3DE21"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hideMark/>
          </w:tcPr>
          <w:p w14:paraId="322D8A08" w14:textId="2C5DECB1" w:rsidR="004D65B3" w:rsidRPr="00EE6892" w:rsidRDefault="004D65B3" w:rsidP="00BC6E92">
            <w:pPr>
              <w:spacing w:before="0" w:line="240" w:lineRule="auto"/>
              <w:jc w:val="center"/>
              <w:rPr>
                <w:rFonts w:asciiTheme="majorHAnsi" w:hAnsiTheme="majorHAnsi"/>
                <w:sz w:val="20"/>
                <w:szCs w:val="20"/>
              </w:rPr>
            </w:pPr>
            <w:r w:rsidRPr="00EE6892">
              <w:rPr>
                <w:rFonts w:asciiTheme="majorHAnsi" w:hAnsiTheme="majorHAnsi"/>
                <w:sz w:val="20"/>
                <w:szCs w:val="20"/>
              </w:rPr>
              <w:t>Entre 200 e 1.</w:t>
            </w:r>
            <w:r w:rsidR="00BC6E92">
              <w:rPr>
                <w:rFonts w:asciiTheme="majorHAnsi" w:hAnsiTheme="majorHAnsi"/>
                <w:sz w:val="20"/>
                <w:szCs w:val="20"/>
              </w:rPr>
              <w:t>233,5</w:t>
            </w:r>
            <w:r w:rsidRPr="00EE6892">
              <w:rPr>
                <w:rFonts w:asciiTheme="majorHAnsi" w:hAnsiTheme="majorHAnsi"/>
                <w:sz w:val="20"/>
                <w:szCs w:val="20"/>
              </w:rPr>
              <w:t xml:space="preserve"> m³ </w:t>
            </w:r>
          </w:p>
        </w:tc>
        <w:tc>
          <w:tcPr>
            <w:tcW w:w="608" w:type="pct"/>
            <w:shd w:val="clear" w:color="auto" w:fill="FBD4B4" w:themeFill="accent6" w:themeFillTint="66"/>
            <w:vAlign w:val="center"/>
            <w:hideMark/>
          </w:tcPr>
          <w:p w14:paraId="181519E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7C900B0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71143EE" w14:textId="77777777" w:rsidTr="00C22B12">
        <w:trPr>
          <w:cantSplit/>
        </w:trPr>
        <w:tc>
          <w:tcPr>
            <w:tcW w:w="351" w:type="pct"/>
            <w:gridSpan w:val="2"/>
            <w:shd w:val="clear" w:color="auto" w:fill="FBD4B4" w:themeFill="accent6" w:themeFillTint="66"/>
            <w:vAlign w:val="center"/>
          </w:tcPr>
          <w:p w14:paraId="41AA4509" w14:textId="49C3DDC4" w:rsidR="004D65B3"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17</w:t>
            </w:r>
          </w:p>
        </w:tc>
        <w:tc>
          <w:tcPr>
            <w:tcW w:w="1978" w:type="pct"/>
            <w:gridSpan w:val="2"/>
            <w:shd w:val="clear" w:color="auto" w:fill="FBD4B4" w:themeFill="accent6" w:themeFillTint="66"/>
            <w:vAlign w:val="center"/>
            <w:hideMark/>
          </w:tcPr>
          <w:p w14:paraId="3C2750EC"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efluentes oleosos/água oleosa devido a furos, trincas ou falhas de vedação em tanques, linhas e/ou acessórios do sistema de separação de água oleosa.</w:t>
            </w:r>
          </w:p>
        </w:tc>
        <w:tc>
          <w:tcPr>
            <w:tcW w:w="811" w:type="pct"/>
            <w:shd w:val="clear" w:color="auto" w:fill="FBD4B4" w:themeFill="accent6" w:themeFillTint="66"/>
            <w:vAlign w:val="center"/>
            <w:hideMark/>
          </w:tcPr>
          <w:p w14:paraId="4B5841B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BD4B4" w:themeFill="accent6" w:themeFillTint="66"/>
            <w:vAlign w:val="center"/>
            <w:hideMark/>
          </w:tcPr>
          <w:p w14:paraId="13DE6E2A"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hideMark/>
          </w:tcPr>
          <w:p w14:paraId="573502D2"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hideMark/>
          </w:tcPr>
          <w:p w14:paraId="27BA09A8"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76C79DEC" w14:textId="77777777" w:rsidTr="00C22B12">
        <w:trPr>
          <w:cantSplit/>
        </w:trPr>
        <w:tc>
          <w:tcPr>
            <w:tcW w:w="351" w:type="pct"/>
            <w:gridSpan w:val="2"/>
            <w:shd w:val="clear" w:color="auto" w:fill="FBD4B4" w:themeFill="accent6" w:themeFillTint="66"/>
            <w:vAlign w:val="center"/>
          </w:tcPr>
          <w:p w14:paraId="5C67C964" w14:textId="55C491B9" w:rsidR="004D65B3"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18</w:t>
            </w:r>
          </w:p>
        </w:tc>
        <w:tc>
          <w:tcPr>
            <w:tcW w:w="1978" w:type="pct"/>
            <w:gridSpan w:val="2"/>
            <w:shd w:val="clear" w:color="auto" w:fill="FBD4B4" w:themeFill="accent6" w:themeFillTint="66"/>
            <w:vAlign w:val="center"/>
            <w:hideMark/>
          </w:tcPr>
          <w:p w14:paraId="14A5E98E"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efluentes oleosos/ água oleosa devido à ruptura total da linha, tanques e acessórios do sistema de separação de água oleosa.</w:t>
            </w:r>
          </w:p>
        </w:tc>
        <w:tc>
          <w:tcPr>
            <w:tcW w:w="811" w:type="pct"/>
            <w:shd w:val="clear" w:color="auto" w:fill="FBD4B4" w:themeFill="accent6" w:themeFillTint="66"/>
            <w:vAlign w:val="center"/>
            <w:hideMark/>
          </w:tcPr>
          <w:p w14:paraId="3BFDB97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BD4B4" w:themeFill="accent6" w:themeFillTint="66"/>
            <w:vAlign w:val="center"/>
            <w:hideMark/>
          </w:tcPr>
          <w:p w14:paraId="0FC0CBA5" w14:textId="7F32AA84" w:rsidR="004D65B3" w:rsidRPr="00EE6892" w:rsidRDefault="004D65B3" w:rsidP="00C22B12">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C22B12">
              <w:rPr>
                <w:rFonts w:asciiTheme="majorHAnsi" w:hAnsiTheme="majorHAnsi"/>
                <w:sz w:val="20"/>
                <w:szCs w:val="20"/>
              </w:rPr>
              <w:t>163,7</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7251425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326C10A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AFF675C" w14:textId="77777777" w:rsidTr="00F854BD">
        <w:trPr>
          <w:cantSplit/>
        </w:trPr>
        <w:tc>
          <w:tcPr>
            <w:tcW w:w="351" w:type="pct"/>
            <w:gridSpan w:val="2"/>
            <w:shd w:val="clear" w:color="auto" w:fill="F2F2F2" w:themeFill="background1" w:themeFillShade="F2"/>
            <w:vAlign w:val="center"/>
          </w:tcPr>
          <w:p w14:paraId="63025CF8" w14:textId="2C477372"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19</w:t>
            </w:r>
          </w:p>
        </w:tc>
        <w:tc>
          <w:tcPr>
            <w:tcW w:w="1978" w:type="pct"/>
            <w:gridSpan w:val="2"/>
            <w:shd w:val="clear" w:color="auto" w:fill="F2F2F2" w:themeFill="background1" w:themeFillShade="F2"/>
            <w:vAlign w:val="center"/>
            <w:hideMark/>
          </w:tcPr>
          <w:p w14:paraId="6CB58835" w14:textId="77777777" w:rsidR="004D65B3" w:rsidRPr="00EE6892" w:rsidRDefault="004D65B3" w:rsidP="00642786">
            <w:pPr>
              <w:spacing w:before="0" w:line="240" w:lineRule="auto"/>
              <w:rPr>
                <w:rFonts w:asciiTheme="majorHAnsi" w:hAnsiTheme="majorHAnsi"/>
                <w:sz w:val="20"/>
                <w:szCs w:val="20"/>
              </w:rPr>
            </w:pPr>
            <w:r w:rsidRPr="00EE6892">
              <w:rPr>
                <w:rFonts w:asciiTheme="majorHAnsi" w:hAnsiTheme="majorHAnsi"/>
                <w:sz w:val="20"/>
                <w:szCs w:val="20"/>
              </w:rPr>
              <w:t xml:space="preserve">Pequeno </w:t>
            </w:r>
            <w:r w:rsidR="00642786">
              <w:rPr>
                <w:rFonts w:asciiTheme="majorHAnsi" w:hAnsiTheme="majorHAnsi"/>
                <w:sz w:val="20"/>
                <w:szCs w:val="20"/>
              </w:rPr>
              <w:t>v</w:t>
            </w:r>
            <w:r w:rsidRPr="00EE6892">
              <w:rPr>
                <w:rFonts w:asciiTheme="majorHAnsi" w:hAnsiTheme="majorHAnsi"/>
                <w:sz w:val="20"/>
                <w:szCs w:val="20"/>
              </w:rPr>
              <w:t>azamento de óleo lubrificante devido a furos, trincas ou falhas de vedação em tanques, linhas e/ou acessórios a partir do ponto de estocagem até os pontos de consumo, resultando em liberação de óleo para áreas adjacentes.</w:t>
            </w:r>
          </w:p>
        </w:tc>
        <w:tc>
          <w:tcPr>
            <w:tcW w:w="811" w:type="pct"/>
            <w:shd w:val="clear" w:color="auto" w:fill="F2F2F2" w:themeFill="background1" w:themeFillShade="F2"/>
            <w:vAlign w:val="center"/>
            <w:hideMark/>
          </w:tcPr>
          <w:p w14:paraId="0B374B99"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Lubrificante</w:t>
            </w:r>
          </w:p>
        </w:tc>
        <w:tc>
          <w:tcPr>
            <w:tcW w:w="660" w:type="pct"/>
            <w:shd w:val="clear" w:color="auto" w:fill="F2F2F2" w:themeFill="background1" w:themeFillShade="F2"/>
            <w:vAlign w:val="center"/>
            <w:hideMark/>
          </w:tcPr>
          <w:p w14:paraId="635BE74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hideMark/>
          </w:tcPr>
          <w:p w14:paraId="57C364B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hideMark/>
          </w:tcPr>
          <w:p w14:paraId="7DFB41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4D65B3" w:rsidRPr="00EE6892" w14:paraId="482CAE73" w14:textId="77777777" w:rsidTr="00F854BD">
        <w:trPr>
          <w:cantSplit/>
        </w:trPr>
        <w:tc>
          <w:tcPr>
            <w:tcW w:w="351" w:type="pct"/>
            <w:gridSpan w:val="2"/>
            <w:shd w:val="clear" w:color="auto" w:fill="FBD4B4" w:themeFill="accent6" w:themeFillTint="66"/>
            <w:vAlign w:val="center"/>
          </w:tcPr>
          <w:p w14:paraId="232D075F" w14:textId="79C1092D"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20</w:t>
            </w:r>
          </w:p>
        </w:tc>
        <w:tc>
          <w:tcPr>
            <w:tcW w:w="1978" w:type="pct"/>
            <w:gridSpan w:val="2"/>
            <w:shd w:val="clear" w:color="auto" w:fill="FBD4B4" w:themeFill="accent6" w:themeFillTint="66"/>
            <w:vAlign w:val="center"/>
            <w:hideMark/>
          </w:tcPr>
          <w:p w14:paraId="11807DEA" w14:textId="77777777" w:rsidR="004D65B3" w:rsidRPr="00EE6892" w:rsidRDefault="004D65B3" w:rsidP="00642786">
            <w:pPr>
              <w:spacing w:before="0" w:line="240" w:lineRule="auto"/>
              <w:rPr>
                <w:rFonts w:asciiTheme="majorHAnsi" w:hAnsiTheme="majorHAnsi"/>
                <w:sz w:val="20"/>
                <w:szCs w:val="20"/>
              </w:rPr>
            </w:pPr>
            <w:r w:rsidRPr="00EE6892">
              <w:rPr>
                <w:rFonts w:asciiTheme="majorHAnsi" w:hAnsiTheme="majorHAnsi"/>
                <w:sz w:val="20"/>
                <w:szCs w:val="20"/>
              </w:rPr>
              <w:t xml:space="preserve">Médio </w:t>
            </w:r>
            <w:r w:rsidR="00642786">
              <w:rPr>
                <w:rFonts w:asciiTheme="majorHAnsi" w:hAnsiTheme="majorHAnsi"/>
                <w:sz w:val="20"/>
                <w:szCs w:val="20"/>
              </w:rPr>
              <w:t>v</w:t>
            </w:r>
            <w:r w:rsidRPr="00EE6892">
              <w:rPr>
                <w:rFonts w:asciiTheme="majorHAnsi" w:hAnsiTheme="majorHAnsi"/>
                <w:sz w:val="20"/>
                <w:szCs w:val="20"/>
              </w:rPr>
              <w:t>azamento de óleo lubrificante devido à ruptura total de tanques, linhas e acessórios a partir do tanque de estocagem até os pontos de consumo resultando em liberação de óleo para o mar.</w:t>
            </w:r>
          </w:p>
        </w:tc>
        <w:tc>
          <w:tcPr>
            <w:tcW w:w="811" w:type="pct"/>
            <w:shd w:val="clear" w:color="auto" w:fill="FBD4B4" w:themeFill="accent6" w:themeFillTint="66"/>
            <w:vAlign w:val="center"/>
            <w:hideMark/>
          </w:tcPr>
          <w:p w14:paraId="096B288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Lubrificante</w:t>
            </w:r>
          </w:p>
        </w:tc>
        <w:tc>
          <w:tcPr>
            <w:tcW w:w="660" w:type="pct"/>
            <w:shd w:val="clear" w:color="auto" w:fill="FBD4B4" w:themeFill="accent6" w:themeFillTint="66"/>
            <w:vAlign w:val="center"/>
            <w:hideMark/>
          </w:tcPr>
          <w:p w14:paraId="6EFF0840" w14:textId="35618892"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Entre 8 e </w:t>
            </w:r>
            <w:r w:rsidR="00F854BD">
              <w:rPr>
                <w:rFonts w:asciiTheme="majorHAnsi" w:hAnsiTheme="majorHAnsi"/>
                <w:sz w:val="20"/>
                <w:szCs w:val="20"/>
              </w:rPr>
              <w:t>35</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48EC8273"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345551B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29831CEA" w14:textId="77777777" w:rsidTr="00F854BD">
        <w:trPr>
          <w:cantSplit/>
        </w:trPr>
        <w:tc>
          <w:tcPr>
            <w:tcW w:w="351" w:type="pct"/>
            <w:gridSpan w:val="2"/>
            <w:shd w:val="clear" w:color="auto" w:fill="FBD4B4" w:themeFill="accent6" w:themeFillTint="66"/>
            <w:vAlign w:val="center"/>
          </w:tcPr>
          <w:p w14:paraId="752D4ADD" w14:textId="6058E23E" w:rsidR="004D65B3"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26</w:t>
            </w:r>
          </w:p>
        </w:tc>
        <w:tc>
          <w:tcPr>
            <w:tcW w:w="1978" w:type="pct"/>
            <w:gridSpan w:val="2"/>
            <w:shd w:val="clear" w:color="auto" w:fill="FBD4B4" w:themeFill="accent6" w:themeFillTint="66"/>
            <w:vAlign w:val="center"/>
            <w:hideMark/>
          </w:tcPr>
          <w:p w14:paraId="659DFF5D"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e/ou produtos químicos devido à perda de estabilidade da unidade de perfuração resultando em seu afundamento.</w:t>
            </w:r>
          </w:p>
        </w:tc>
        <w:tc>
          <w:tcPr>
            <w:tcW w:w="811" w:type="pct"/>
            <w:shd w:val="clear" w:color="auto" w:fill="FBD4B4" w:themeFill="accent6" w:themeFillTint="66"/>
            <w:vAlign w:val="center"/>
            <w:hideMark/>
          </w:tcPr>
          <w:p w14:paraId="795A6F05" w14:textId="1A26B3A8"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Óleo Diesel/ Óleo Lubrificante/ Óleo Base </w:t>
            </w:r>
          </w:p>
        </w:tc>
        <w:tc>
          <w:tcPr>
            <w:tcW w:w="660" w:type="pct"/>
            <w:shd w:val="clear" w:color="auto" w:fill="FBD4B4" w:themeFill="accent6" w:themeFillTint="66"/>
            <w:vAlign w:val="center"/>
            <w:hideMark/>
          </w:tcPr>
          <w:p w14:paraId="1D6203A9" w14:textId="0DFDE578" w:rsidR="004D65B3" w:rsidRPr="00EE6892" w:rsidRDefault="004D65B3" w:rsidP="00F854BD">
            <w:pPr>
              <w:spacing w:before="0" w:line="240" w:lineRule="auto"/>
              <w:jc w:val="center"/>
              <w:rPr>
                <w:rFonts w:asciiTheme="majorHAnsi" w:hAnsiTheme="majorHAnsi"/>
                <w:sz w:val="20"/>
                <w:szCs w:val="20"/>
              </w:rPr>
            </w:pPr>
            <w:r w:rsidRPr="00EE6892">
              <w:rPr>
                <w:rFonts w:asciiTheme="majorHAnsi" w:hAnsiTheme="majorHAnsi"/>
                <w:sz w:val="20"/>
                <w:szCs w:val="20"/>
              </w:rPr>
              <w:t xml:space="preserve">Até </w:t>
            </w:r>
            <w:r w:rsidR="00F854BD">
              <w:rPr>
                <w:rFonts w:asciiTheme="majorHAnsi" w:hAnsiTheme="majorHAnsi"/>
                <w:sz w:val="20"/>
                <w:szCs w:val="20"/>
              </w:rPr>
              <w:t>8</w:t>
            </w:r>
            <w:r w:rsidRPr="00EE6892">
              <w:rPr>
                <w:rFonts w:asciiTheme="majorHAnsi" w:hAnsiTheme="majorHAnsi"/>
                <w:sz w:val="20"/>
                <w:szCs w:val="20"/>
              </w:rPr>
              <w:t>.</w:t>
            </w:r>
            <w:r w:rsidR="00F854BD">
              <w:rPr>
                <w:rFonts w:asciiTheme="majorHAnsi" w:hAnsiTheme="majorHAnsi"/>
                <w:sz w:val="20"/>
                <w:szCs w:val="20"/>
              </w:rPr>
              <w:t>377,9</w:t>
            </w:r>
            <w:r w:rsidRPr="00EE6892">
              <w:rPr>
                <w:rFonts w:asciiTheme="majorHAnsi" w:hAnsiTheme="majorHAnsi"/>
                <w:sz w:val="20"/>
                <w:szCs w:val="20"/>
              </w:rPr>
              <w:t> m³</w:t>
            </w:r>
          </w:p>
        </w:tc>
        <w:tc>
          <w:tcPr>
            <w:tcW w:w="608" w:type="pct"/>
            <w:shd w:val="clear" w:color="auto" w:fill="FBD4B4" w:themeFill="accent6" w:themeFillTint="66"/>
            <w:vAlign w:val="center"/>
            <w:hideMark/>
          </w:tcPr>
          <w:p w14:paraId="54333326"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hideMark/>
          </w:tcPr>
          <w:p w14:paraId="4B3E20F4"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5CE3578D" w14:textId="77777777" w:rsidTr="0000064D">
        <w:trPr>
          <w:cantSplit/>
          <w:trHeight w:val="340"/>
        </w:trPr>
        <w:tc>
          <w:tcPr>
            <w:tcW w:w="5000" w:type="pct"/>
            <w:gridSpan w:val="8"/>
            <w:shd w:val="clear" w:color="auto" w:fill="A6A6A6" w:themeFill="background1" w:themeFillShade="A6"/>
            <w:vAlign w:val="center"/>
          </w:tcPr>
          <w:p w14:paraId="25F9028B" w14:textId="77777777" w:rsidR="004D65B3" w:rsidRPr="00EE6892" w:rsidRDefault="004D65B3" w:rsidP="0000064D">
            <w:pPr>
              <w:keepNext/>
              <w:keepLines/>
              <w:spacing w:before="0" w:line="240" w:lineRule="auto"/>
              <w:rPr>
                <w:rFonts w:asciiTheme="majorHAnsi" w:hAnsiTheme="majorHAnsi"/>
                <w:sz w:val="20"/>
                <w:szCs w:val="20"/>
              </w:rPr>
            </w:pPr>
            <w:r w:rsidRPr="00EE6892">
              <w:rPr>
                <w:rFonts w:asciiTheme="majorHAnsi" w:hAnsiTheme="majorHAnsi"/>
                <w:b/>
                <w:sz w:val="20"/>
                <w:szCs w:val="20"/>
              </w:rPr>
              <w:lastRenderedPageBreak/>
              <w:t>Cenários relacionados às embarcações de suporte à atividade</w:t>
            </w:r>
          </w:p>
        </w:tc>
      </w:tr>
      <w:tr w:rsidR="004D65B3" w:rsidRPr="00EE6892" w14:paraId="575C4172" w14:textId="77777777" w:rsidTr="00BC6E92">
        <w:trPr>
          <w:cantSplit/>
        </w:trPr>
        <w:tc>
          <w:tcPr>
            <w:tcW w:w="351" w:type="pct"/>
            <w:gridSpan w:val="2"/>
            <w:shd w:val="clear" w:color="auto" w:fill="FBD4B4" w:themeFill="accent6" w:themeFillTint="66"/>
            <w:vAlign w:val="center"/>
          </w:tcPr>
          <w:p w14:paraId="18A299E3" w14:textId="6C1B062C" w:rsidR="004D65B3" w:rsidRPr="00EE6892" w:rsidRDefault="004D65B3" w:rsidP="00BC6E92">
            <w:pPr>
              <w:keepNext/>
              <w:keepLines/>
              <w:spacing w:before="0" w:line="240" w:lineRule="auto"/>
              <w:jc w:val="center"/>
              <w:rPr>
                <w:rFonts w:asciiTheme="majorHAnsi" w:hAnsiTheme="majorHAnsi"/>
                <w:b/>
                <w:sz w:val="20"/>
                <w:szCs w:val="20"/>
              </w:rPr>
            </w:pPr>
            <w:r w:rsidRPr="00EE6892">
              <w:rPr>
                <w:rFonts w:asciiTheme="majorHAnsi" w:hAnsiTheme="majorHAnsi"/>
                <w:b/>
                <w:sz w:val="20"/>
                <w:szCs w:val="20"/>
              </w:rPr>
              <w:t>1</w:t>
            </w:r>
            <w:r w:rsidR="00BC6E92">
              <w:rPr>
                <w:rFonts w:asciiTheme="majorHAnsi" w:hAnsiTheme="majorHAnsi"/>
                <w:b/>
                <w:sz w:val="20"/>
                <w:szCs w:val="20"/>
              </w:rPr>
              <w:t>3</w:t>
            </w:r>
          </w:p>
        </w:tc>
        <w:tc>
          <w:tcPr>
            <w:tcW w:w="1978" w:type="pct"/>
            <w:gridSpan w:val="2"/>
            <w:shd w:val="clear" w:color="auto" w:fill="FBD4B4" w:themeFill="accent6" w:themeFillTint="66"/>
            <w:vAlign w:val="center"/>
          </w:tcPr>
          <w:p w14:paraId="30F64EE4" w14:textId="77777777" w:rsidR="004D65B3" w:rsidRPr="00EE6892" w:rsidRDefault="004D65B3" w:rsidP="0000064D">
            <w:pPr>
              <w:keepNext/>
              <w:keepLines/>
              <w:spacing w:before="0" w:line="240" w:lineRule="auto"/>
              <w:rPr>
                <w:rFonts w:asciiTheme="majorHAnsi" w:hAnsiTheme="majorHAnsi"/>
                <w:sz w:val="20"/>
                <w:szCs w:val="20"/>
              </w:rPr>
            </w:pPr>
            <w:r w:rsidRPr="00EE6892">
              <w:rPr>
                <w:rFonts w:asciiTheme="majorHAnsi" w:hAnsiTheme="majorHAnsi"/>
                <w:sz w:val="20"/>
                <w:szCs w:val="20"/>
              </w:rPr>
              <w:t>Pequeno vazamento de óleo combustível devido a trincas e furos no tanque de estocagem da embarcação de apoio com espalhamento de óleo para áreas adjacentes e consequente derrame de óleo para o mar.</w:t>
            </w:r>
          </w:p>
        </w:tc>
        <w:tc>
          <w:tcPr>
            <w:tcW w:w="811" w:type="pct"/>
            <w:shd w:val="clear" w:color="auto" w:fill="FBD4B4" w:themeFill="accent6" w:themeFillTint="66"/>
            <w:vAlign w:val="center"/>
          </w:tcPr>
          <w:p w14:paraId="743D47DB"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6DFAA440"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BD4B4" w:themeFill="accent6" w:themeFillTint="66"/>
            <w:vAlign w:val="center"/>
          </w:tcPr>
          <w:p w14:paraId="437C29A7"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tcPr>
          <w:p w14:paraId="0D56D5FF" w14:textId="77777777" w:rsidR="004D65B3" w:rsidRPr="00EE6892" w:rsidRDefault="004D65B3"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604A26B4" w14:textId="77777777" w:rsidTr="00BC6E92">
        <w:trPr>
          <w:cantSplit/>
        </w:trPr>
        <w:tc>
          <w:tcPr>
            <w:tcW w:w="351" w:type="pct"/>
            <w:gridSpan w:val="2"/>
            <w:shd w:val="clear" w:color="auto" w:fill="FBD4B4" w:themeFill="accent6" w:themeFillTint="66"/>
            <w:vAlign w:val="center"/>
          </w:tcPr>
          <w:p w14:paraId="094799E5" w14:textId="277C3BCA" w:rsidR="004D65B3" w:rsidRPr="00EE6892" w:rsidRDefault="004D65B3" w:rsidP="00BC6E92">
            <w:pPr>
              <w:spacing w:before="0" w:line="240" w:lineRule="auto"/>
              <w:jc w:val="center"/>
              <w:rPr>
                <w:rFonts w:asciiTheme="majorHAnsi" w:hAnsiTheme="majorHAnsi"/>
                <w:b/>
                <w:sz w:val="20"/>
                <w:szCs w:val="20"/>
              </w:rPr>
            </w:pPr>
            <w:r w:rsidRPr="00EE6892">
              <w:rPr>
                <w:rFonts w:asciiTheme="majorHAnsi" w:hAnsiTheme="majorHAnsi"/>
                <w:b/>
                <w:sz w:val="20"/>
                <w:szCs w:val="20"/>
              </w:rPr>
              <w:t>1</w:t>
            </w:r>
            <w:r w:rsidR="00BC6E92">
              <w:rPr>
                <w:rFonts w:asciiTheme="majorHAnsi" w:hAnsiTheme="majorHAnsi"/>
                <w:b/>
                <w:sz w:val="20"/>
                <w:szCs w:val="20"/>
              </w:rPr>
              <w:t>4</w:t>
            </w:r>
          </w:p>
        </w:tc>
        <w:tc>
          <w:tcPr>
            <w:tcW w:w="1978" w:type="pct"/>
            <w:gridSpan w:val="2"/>
            <w:shd w:val="clear" w:color="auto" w:fill="FBD4B4" w:themeFill="accent6" w:themeFillTint="66"/>
            <w:vAlign w:val="center"/>
          </w:tcPr>
          <w:p w14:paraId="1AE793C0"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Médio vazamento de óleo combustível devido a trincas e furos no tanque de estocagem da embarcação de apoio com espalhamento de óleo para áreas adjacentes e consequente derrame para o mar.</w:t>
            </w:r>
          </w:p>
        </w:tc>
        <w:tc>
          <w:tcPr>
            <w:tcW w:w="811" w:type="pct"/>
            <w:shd w:val="clear" w:color="auto" w:fill="FBD4B4" w:themeFill="accent6" w:themeFillTint="66"/>
            <w:vAlign w:val="center"/>
          </w:tcPr>
          <w:p w14:paraId="411BF103"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67F9C5C5"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8 e 200 m³</w:t>
            </w:r>
          </w:p>
        </w:tc>
        <w:tc>
          <w:tcPr>
            <w:tcW w:w="608" w:type="pct"/>
            <w:shd w:val="clear" w:color="auto" w:fill="FBD4B4" w:themeFill="accent6" w:themeFillTint="66"/>
            <w:vAlign w:val="center"/>
          </w:tcPr>
          <w:p w14:paraId="742513EB"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BD4B4" w:themeFill="accent6" w:themeFillTint="66"/>
            <w:vAlign w:val="center"/>
          </w:tcPr>
          <w:p w14:paraId="4D7A1A27"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4D65B3" w:rsidRPr="00EE6892" w14:paraId="025610CE" w14:textId="77777777" w:rsidTr="00BC6E92">
        <w:trPr>
          <w:cantSplit/>
        </w:trPr>
        <w:tc>
          <w:tcPr>
            <w:tcW w:w="351" w:type="pct"/>
            <w:gridSpan w:val="2"/>
            <w:shd w:val="clear" w:color="auto" w:fill="FBD4B4" w:themeFill="accent6" w:themeFillTint="66"/>
            <w:vAlign w:val="center"/>
          </w:tcPr>
          <w:p w14:paraId="17BBADBF" w14:textId="20C2BFD5" w:rsidR="004D65B3" w:rsidRPr="00EE6892" w:rsidRDefault="00BC6E92" w:rsidP="0000064D">
            <w:pPr>
              <w:spacing w:before="0" w:line="240" w:lineRule="auto"/>
              <w:jc w:val="center"/>
              <w:rPr>
                <w:rFonts w:asciiTheme="majorHAnsi" w:hAnsiTheme="majorHAnsi"/>
                <w:b/>
                <w:sz w:val="20"/>
                <w:szCs w:val="20"/>
              </w:rPr>
            </w:pPr>
            <w:r>
              <w:rPr>
                <w:rFonts w:asciiTheme="majorHAnsi" w:hAnsiTheme="majorHAnsi"/>
                <w:b/>
                <w:sz w:val="20"/>
                <w:szCs w:val="20"/>
              </w:rPr>
              <w:t>15</w:t>
            </w:r>
          </w:p>
        </w:tc>
        <w:tc>
          <w:tcPr>
            <w:tcW w:w="1978" w:type="pct"/>
            <w:gridSpan w:val="2"/>
            <w:shd w:val="clear" w:color="auto" w:fill="FBD4B4" w:themeFill="accent6" w:themeFillTint="66"/>
            <w:vAlign w:val="center"/>
          </w:tcPr>
          <w:p w14:paraId="16053083" w14:textId="77777777" w:rsidR="004D65B3" w:rsidRPr="00EE6892" w:rsidRDefault="004D65B3"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combustível devido à ruptura do tanque de estocagem da embarcação de apoio com espalhamento de óleo para áreas adjacentes e consequente derrame para o mar.</w:t>
            </w:r>
          </w:p>
        </w:tc>
        <w:tc>
          <w:tcPr>
            <w:tcW w:w="811" w:type="pct"/>
            <w:shd w:val="clear" w:color="auto" w:fill="FBD4B4" w:themeFill="accent6" w:themeFillTint="66"/>
            <w:vAlign w:val="center"/>
          </w:tcPr>
          <w:p w14:paraId="6022C6F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3136CB9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Entre 200 e 204 m³</w:t>
            </w:r>
          </w:p>
        </w:tc>
        <w:tc>
          <w:tcPr>
            <w:tcW w:w="608" w:type="pct"/>
            <w:shd w:val="clear" w:color="auto" w:fill="FBD4B4" w:themeFill="accent6" w:themeFillTint="66"/>
            <w:vAlign w:val="center"/>
          </w:tcPr>
          <w:p w14:paraId="1E2E2B7E"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6C473200" w14:textId="77777777" w:rsidR="004D65B3" w:rsidRPr="00EE6892" w:rsidRDefault="004D65B3"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575578D8" w14:textId="77777777" w:rsidTr="00C22B12">
        <w:trPr>
          <w:cantSplit/>
        </w:trPr>
        <w:tc>
          <w:tcPr>
            <w:tcW w:w="351" w:type="pct"/>
            <w:gridSpan w:val="2"/>
            <w:shd w:val="clear" w:color="auto" w:fill="F2F2F2" w:themeFill="background1" w:themeFillShade="F2"/>
            <w:vAlign w:val="center"/>
          </w:tcPr>
          <w:p w14:paraId="6505EFB4" w14:textId="70DB6901" w:rsidR="00C22B12"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17</w:t>
            </w:r>
          </w:p>
        </w:tc>
        <w:tc>
          <w:tcPr>
            <w:tcW w:w="1978" w:type="pct"/>
            <w:gridSpan w:val="2"/>
            <w:shd w:val="clear" w:color="auto" w:fill="F2F2F2" w:themeFill="background1" w:themeFillShade="F2"/>
            <w:vAlign w:val="center"/>
          </w:tcPr>
          <w:p w14:paraId="2FC9B212" w14:textId="2C583B02"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Pequeno vazamento de efluentes oleosos/água oleosa devido a furos, trincas ou falhas de vedação em tanques, linhas e/ou acessórios do sistema de separação de água oleosa.</w:t>
            </w:r>
          </w:p>
        </w:tc>
        <w:tc>
          <w:tcPr>
            <w:tcW w:w="811" w:type="pct"/>
            <w:shd w:val="clear" w:color="auto" w:fill="F2F2F2" w:themeFill="background1" w:themeFillShade="F2"/>
            <w:vAlign w:val="center"/>
          </w:tcPr>
          <w:p w14:paraId="67C122AB" w14:textId="4FDC87EE"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Efluentes Oleosos</w:t>
            </w:r>
          </w:p>
        </w:tc>
        <w:tc>
          <w:tcPr>
            <w:tcW w:w="660" w:type="pct"/>
            <w:shd w:val="clear" w:color="auto" w:fill="F2F2F2" w:themeFill="background1" w:themeFillShade="F2"/>
            <w:vAlign w:val="center"/>
          </w:tcPr>
          <w:p w14:paraId="775BFAEB" w14:textId="5A5784E2"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1EB612CB" w14:textId="6A91C09E"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49FBAE2B" w14:textId="717AB73D" w:rsidR="00C22B12" w:rsidRPr="00EE6892" w:rsidRDefault="00C22B12" w:rsidP="0000064D">
            <w:pPr>
              <w:spacing w:before="0" w:line="240" w:lineRule="auto"/>
              <w:jc w:val="center"/>
              <w:rPr>
                <w:rFonts w:asciiTheme="majorHAnsi" w:hAnsiTheme="majorHAnsi"/>
                <w:sz w:val="20"/>
                <w:szCs w:val="20"/>
              </w:rPr>
            </w:pPr>
            <w:r>
              <w:rPr>
                <w:rFonts w:asciiTheme="majorHAnsi" w:hAnsiTheme="majorHAnsi"/>
                <w:sz w:val="20"/>
                <w:szCs w:val="20"/>
              </w:rPr>
              <w:t>Não</w:t>
            </w:r>
          </w:p>
        </w:tc>
      </w:tr>
      <w:tr w:rsidR="00C22B12" w:rsidRPr="00EE6892" w14:paraId="1D27F906" w14:textId="77777777" w:rsidTr="00F854BD">
        <w:trPr>
          <w:cantSplit/>
        </w:trPr>
        <w:tc>
          <w:tcPr>
            <w:tcW w:w="351" w:type="pct"/>
            <w:gridSpan w:val="2"/>
            <w:shd w:val="clear" w:color="auto" w:fill="FBD4B4" w:themeFill="accent6" w:themeFillTint="66"/>
            <w:vAlign w:val="center"/>
          </w:tcPr>
          <w:p w14:paraId="3ACF6A68" w14:textId="7D434E7B" w:rsidR="00C22B12" w:rsidRPr="00EE6892" w:rsidRDefault="00F854BD" w:rsidP="0000064D">
            <w:pPr>
              <w:spacing w:before="0" w:line="240" w:lineRule="auto"/>
              <w:jc w:val="center"/>
              <w:rPr>
                <w:rFonts w:asciiTheme="majorHAnsi" w:hAnsiTheme="majorHAnsi"/>
                <w:b/>
                <w:sz w:val="20"/>
                <w:szCs w:val="20"/>
              </w:rPr>
            </w:pPr>
            <w:r>
              <w:rPr>
                <w:rFonts w:asciiTheme="majorHAnsi" w:hAnsiTheme="majorHAnsi"/>
                <w:b/>
                <w:sz w:val="20"/>
                <w:szCs w:val="20"/>
              </w:rPr>
              <w:t>27</w:t>
            </w:r>
          </w:p>
        </w:tc>
        <w:tc>
          <w:tcPr>
            <w:tcW w:w="1978" w:type="pct"/>
            <w:gridSpan w:val="2"/>
            <w:shd w:val="clear" w:color="auto" w:fill="FBD4B4" w:themeFill="accent6" w:themeFillTint="66"/>
            <w:vAlign w:val="center"/>
          </w:tcPr>
          <w:p w14:paraId="4231DAC5" w14:textId="77777777"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Grande vazamento de óleo e/ou produtos químicos devido à perda de estabilidade da embarcação de apoio resultando em seu afundamento.</w:t>
            </w:r>
          </w:p>
        </w:tc>
        <w:tc>
          <w:tcPr>
            <w:tcW w:w="811" w:type="pct"/>
            <w:shd w:val="clear" w:color="auto" w:fill="FBD4B4" w:themeFill="accent6" w:themeFillTint="66"/>
            <w:vAlign w:val="center"/>
          </w:tcPr>
          <w:p w14:paraId="0DA290E2"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309CF55C" w14:textId="660231F4" w:rsidR="00C22B12" w:rsidRPr="00EE6892" w:rsidRDefault="00C22B12" w:rsidP="00F854BD">
            <w:pPr>
              <w:spacing w:before="0" w:line="240" w:lineRule="auto"/>
              <w:jc w:val="center"/>
              <w:rPr>
                <w:rFonts w:asciiTheme="majorHAnsi" w:hAnsiTheme="majorHAnsi"/>
                <w:sz w:val="20"/>
                <w:szCs w:val="20"/>
              </w:rPr>
            </w:pPr>
            <w:r w:rsidRPr="00EE6892">
              <w:rPr>
                <w:rFonts w:asciiTheme="majorHAnsi" w:hAnsiTheme="majorHAnsi"/>
                <w:sz w:val="20"/>
                <w:szCs w:val="20"/>
              </w:rPr>
              <w:t>Até</w:t>
            </w:r>
            <w:r w:rsidR="00F854BD">
              <w:rPr>
                <w:rFonts w:asciiTheme="majorHAnsi" w:hAnsiTheme="majorHAnsi"/>
                <w:sz w:val="20"/>
                <w:szCs w:val="20"/>
              </w:rPr>
              <w:t xml:space="preserve"> 9</w:t>
            </w:r>
            <w:r w:rsidRPr="00EE6892">
              <w:rPr>
                <w:rFonts w:asciiTheme="majorHAnsi" w:hAnsiTheme="majorHAnsi"/>
                <w:sz w:val="20"/>
                <w:szCs w:val="20"/>
              </w:rPr>
              <w:t>00 m³</w:t>
            </w:r>
          </w:p>
        </w:tc>
        <w:tc>
          <w:tcPr>
            <w:tcW w:w="608" w:type="pct"/>
            <w:shd w:val="clear" w:color="auto" w:fill="FBD4B4" w:themeFill="accent6" w:themeFillTint="66"/>
            <w:vAlign w:val="center"/>
          </w:tcPr>
          <w:p w14:paraId="107D9A4C"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3D952136" w14:textId="77777777"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244E7A53" w14:textId="77777777" w:rsidTr="0000064D">
        <w:trPr>
          <w:cantSplit/>
          <w:trHeight w:val="340"/>
        </w:trPr>
        <w:tc>
          <w:tcPr>
            <w:tcW w:w="5000" w:type="pct"/>
            <w:gridSpan w:val="8"/>
            <w:shd w:val="clear" w:color="auto" w:fill="A6A6A6" w:themeFill="background1" w:themeFillShade="A6"/>
            <w:vAlign w:val="center"/>
          </w:tcPr>
          <w:p w14:paraId="21891DF1" w14:textId="77777777" w:rsidR="00C22B12" w:rsidRPr="00EE6892" w:rsidRDefault="00C22B12" w:rsidP="0000064D">
            <w:pPr>
              <w:keepNext/>
              <w:keepLines/>
              <w:spacing w:before="0" w:line="240" w:lineRule="auto"/>
              <w:rPr>
                <w:rFonts w:asciiTheme="majorHAnsi" w:hAnsiTheme="majorHAnsi"/>
                <w:sz w:val="20"/>
                <w:szCs w:val="20"/>
              </w:rPr>
            </w:pPr>
            <w:r w:rsidRPr="00EE6892">
              <w:rPr>
                <w:rFonts w:asciiTheme="majorHAnsi" w:hAnsiTheme="majorHAnsi"/>
                <w:b/>
                <w:sz w:val="20"/>
                <w:szCs w:val="20"/>
              </w:rPr>
              <w:t>Cenários relacionados à transferência de produtos oleosos</w:t>
            </w:r>
          </w:p>
        </w:tc>
      </w:tr>
      <w:tr w:rsidR="00C22B12" w:rsidRPr="00EE6892" w14:paraId="0409DAD7" w14:textId="77777777" w:rsidTr="00BC6E92">
        <w:trPr>
          <w:cantSplit/>
        </w:trPr>
        <w:tc>
          <w:tcPr>
            <w:tcW w:w="351" w:type="pct"/>
            <w:gridSpan w:val="2"/>
            <w:shd w:val="clear" w:color="auto" w:fill="F2F2F2" w:themeFill="background1" w:themeFillShade="F2"/>
            <w:vAlign w:val="center"/>
          </w:tcPr>
          <w:p w14:paraId="71B77879" w14:textId="231E3F00" w:rsidR="00C22B12" w:rsidRPr="00EE6892" w:rsidRDefault="00C22B12" w:rsidP="0000064D">
            <w:pPr>
              <w:keepNext/>
              <w:keepLines/>
              <w:spacing w:before="0" w:line="240" w:lineRule="auto"/>
              <w:jc w:val="center"/>
              <w:rPr>
                <w:rFonts w:asciiTheme="majorHAnsi" w:hAnsiTheme="majorHAnsi"/>
                <w:b/>
                <w:sz w:val="20"/>
                <w:szCs w:val="20"/>
              </w:rPr>
            </w:pPr>
            <w:r>
              <w:rPr>
                <w:rFonts w:asciiTheme="majorHAnsi" w:hAnsiTheme="majorHAnsi"/>
                <w:b/>
                <w:sz w:val="20"/>
                <w:szCs w:val="20"/>
              </w:rPr>
              <w:t>04</w:t>
            </w:r>
          </w:p>
        </w:tc>
        <w:tc>
          <w:tcPr>
            <w:tcW w:w="1978" w:type="pct"/>
            <w:gridSpan w:val="2"/>
            <w:shd w:val="clear" w:color="auto" w:fill="F2F2F2" w:themeFill="background1" w:themeFillShade="F2"/>
            <w:vAlign w:val="center"/>
          </w:tcPr>
          <w:p w14:paraId="2695AE3F" w14:textId="5A63B6C5" w:rsidR="00C22B12" w:rsidRPr="00EE6892" w:rsidRDefault="00C22B12" w:rsidP="0000064D">
            <w:pPr>
              <w:keepNext/>
              <w:keepLines/>
              <w:spacing w:before="0" w:line="240" w:lineRule="auto"/>
              <w:rPr>
                <w:rFonts w:asciiTheme="majorHAnsi" w:hAnsiTheme="majorHAnsi"/>
                <w:sz w:val="20"/>
                <w:szCs w:val="20"/>
              </w:rPr>
            </w:pPr>
            <w:r w:rsidRPr="00915A5A">
              <w:rPr>
                <w:rFonts w:ascii="Times New Roman" w:hAnsi="Times New Roman" w:cs="Times New Roman"/>
                <w:sz w:val="20"/>
                <w:szCs w:val="20"/>
              </w:rPr>
              <w:t>Pequeno vazamento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de perfuração devido a furos,</w:t>
            </w:r>
            <w:r>
              <w:rPr>
                <w:rFonts w:ascii="Times New Roman" w:hAnsi="Times New Roman" w:cs="Times New Roman"/>
                <w:sz w:val="20"/>
                <w:szCs w:val="20"/>
              </w:rPr>
              <w:t xml:space="preserve"> </w:t>
            </w:r>
            <w:r w:rsidRPr="00915A5A">
              <w:rPr>
                <w:rFonts w:ascii="Times New Roman" w:hAnsi="Times New Roman" w:cs="Times New Roman"/>
                <w:sz w:val="20"/>
                <w:szCs w:val="20"/>
              </w:rPr>
              <w:t>trincas e falhas de vedação na</w:t>
            </w:r>
            <w:r>
              <w:rPr>
                <w:rFonts w:ascii="Times New Roman" w:hAnsi="Times New Roman" w:cs="Times New Roman"/>
                <w:sz w:val="20"/>
                <w:szCs w:val="20"/>
              </w:rPr>
              <w:t xml:space="preserve"> </w:t>
            </w:r>
            <w:r w:rsidRPr="00915A5A">
              <w:rPr>
                <w:rFonts w:ascii="Times New Roman" w:hAnsi="Times New Roman" w:cs="Times New Roman"/>
                <w:sz w:val="20"/>
                <w:szCs w:val="20"/>
              </w:rPr>
              <w:t>tubulação de transferência</w:t>
            </w:r>
            <w:r>
              <w:rPr>
                <w:rFonts w:ascii="Times New Roman" w:hAnsi="Times New Roman" w:cs="Times New Roman"/>
                <w:sz w:val="20"/>
                <w:szCs w:val="20"/>
              </w:rPr>
              <w:t xml:space="preserve"> </w:t>
            </w:r>
            <w:r w:rsidRPr="00915A5A">
              <w:rPr>
                <w:rFonts w:ascii="Times New Roman" w:hAnsi="Times New Roman" w:cs="Times New Roman"/>
                <w:sz w:val="20"/>
                <w:szCs w:val="20"/>
              </w:rPr>
              <w:t>com espalhamento de fluido</w:t>
            </w:r>
            <w:r>
              <w:rPr>
                <w:rFonts w:ascii="Times New Roman" w:hAnsi="Times New Roman" w:cs="Times New Roman"/>
                <w:sz w:val="20"/>
                <w:szCs w:val="20"/>
              </w:rPr>
              <w:t xml:space="preserve"> </w:t>
            </w:r>
            <w:r w:rsidRPr="00915A5A">
              <w:rPr>
                <w:rFonts w:ascii="Times New Roman" w:hAnsi="Times New Roman" w:cs="Times New Roman"/>
                <w:sz w:val="20"/>
                <w:szCs w:val="20"/>
              </w:rPr>
              <w:t>por áreas adjacentes.</w:t>
            </w:r>
          </w:p>
        </w:tc>
        <w:tc>
          <w:tcPr>
            <w:tcW w:w="811" w:type="pct"/>
            <w:shd w:val="clear" w:color="auto" w:fill="F2F2F2" w:themeFill="background1" w:themeFillShade="F2"/>
            <w:vAlign w:val="center"/>
          </w:tcPr>
          <w:p w14:paraId="574A7D21" w14:textId="3E678041"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Fluido de Perfuração de base não aquosa</w:t>
            </w:r>
          </w:p>
        </w:tc>
        <w:tc>
          <w:tcPr>
            <w:tcW w:w="660" w:type="pct"/>
            <w:shd w:val="clear" w:color="auto" w:fill="F2F2F2" w:themeFill="background1" w:themeFillShade="F2"/>
            <w:vAlign w:val="center"/>
          </w:tcPr>
          <w:p w14:paraId="5FAF3773" w14:textId="23B00B8A"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Até 8 m³</w:t>
            </w:r>
          </w:p>
        </w:tc>
        <w:tc>
          <w:tcPr>
            <w:tcW w:w="608" w:type="pct"/>
            <w:shd w:val="clear" w:color="auto" w:fill="F2F2F2" w:themeFill="background1" w:themeFillShade="F2"/>
            <w:vAlign w:val="center"/>
          </w:tcPr>
          <w:p w14:paraId="5FEF1629" w14:textId="33B78360"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Contínuo</w:t>
            </w:r>
          </w:p>
        </w:tc>
        <w:tc>
          <w:tcPr>
            <w:tcW w:w="592" w:type="pct"/>
            <w:shd w:val="clear" w:color="auto" w:fill="F2F2F2" w:themeFill="background1" w:themeFillShade="F2"/>
            <w:vAlign w:val="center"/>
          </w:tcPr>
          <w:p w14:paraId="7232057F" w14:textId="2237D657" w:rsidR="00C22B12" w:rsidRPr="00EE6892" w:rsidRDefault="00C22B12" w:rsidP="0000064D">
            <w:pPr>
              <w:keepNext/>
              <w:keepLines/>
              <w:spacing w:before="0" w:line="240" w:lineRule="auto"/>
              <w:jc w:val="center"/>
              <w:rPr>
                <w:rFonts w:asciiTheme="majorHAnsi" w:hAnsiTheme="majorHAnsi"/>
                <w:sz w:val="20"/>
                <w:szCs w:val="20"/>
              </w:rPr>
            </w:pPr>
            <w:r w:rsidRPr="00EE6892">
              <w:rPr>
                <w:rFonts w:asciiTheme="majorHAnsi" w:hAnsiTheme="majorHAnsi"/>
                <w:sz w:val="20"/>
                <w:szCs w:val="20"/>
              </w:rPr>
              <w:t>Não</w:t>
            </w:r>
          </w:p>
        </w:tc>
      </w:tr>
      <w:tr w:rsidR="00C22B12" w:rsidRPr="00EE6892" w14:paraId="7C366391" w14:textId="77777777" w:rsidTr="00C22B12">
        <w:trPr>
          <w:cantSplit/>
        </w:trPr>
        <w:tc>
          <w:tcPr>
            <w:tcW w:w="351" w:type="pct"/>
            <w:gridSpan w:val="2"/>
            <w:shd w:val="clear" w:color="auto" w:fill="FBD4B4" w:themeFill="accent6" w:themeFillTint="66"/>
            <w:vAlign w:val="center"/>
          </w:tcPr>
          <w:p w14:paraId="6C51C73F" w14:textId="4D96BF24" w:rsidR="00C22B12" w:rsidRPr="00EE6892" w:rsidRDefault="00C22B12" w:rsidP="0000064D">
            <w:pPr>
              <w:spacing w:before="0" w:line="240" w:lineRule="auto"/>
              <w:jc w:val="center"/>
              <w:rPr>
                <w:rFonts w:asciiTheme="majorHAnsi" w:hAnsiTheme="majorHAnsi"/>
                <w:b/>
                <w:sz w:val="20"/>
                <w:szCs w:val="20"/>
              </w:rPr>
            </w:pPr>
            <w:r>
              <w:rPr>
                <w:rFonts w:asciiTheme="majorHAnsi" w:hAnsiTheme="majorHAnsi"/>
                <w:b/>
                <w:sz w:val="20"/>
                <w:szCs w:val="20"/>
              </w:rPr>
              <w:t>16</w:t>
            </w:r>
          </w:p>
        </w:tc>
        <w:tc>
          <w:tcPr>
            <w:tcW w:w="1978" w:type="pct"/>
            <w:gridSpan w:val="2"/>
            <w:shd w:val="clear" w:color="auto" w:fill="FBD4B4" w:themeFill="accent6" w:themeFillTint="66"/>
            <w:vAlign w:val="center"/>
          </w:tcPr>
          <w:p w14:paraId="70BE50F8" w14:textId="1EAC70E0" w:rsidR="00C22B12" w:rsidRPr="00C22B12" w:rsidRDefault="00C22B12" w:rsidP="00C22B12">
            <w:pPr>
              <w:autoSpaceDE w:val="0"/>
              <w:autoSpaceDN w:val="0"/>
              <w:adjustRightInd w:val="0"/>
              <w:spacing w:before="0" w:line="240" w:lineRule="auto"/>
              <w:jc w:val="left"/>
              <w:rPr>
                <w:rFonts w:ascii="Times New Roman" w:hAnsi="Times New Roman" w:cs="Times New Roman"/>
                <w:sz w:val="20"/>
                <w:szCs w:val="20"/>
              </w:rPr>
            </w:pPr>
            <w:r w:rsidRPr="00C22B12">
              <w:rPr>
                <w:rFonts w:ascii="Times New Roman" w:hAnsi="Times New Roman" w:cs="Times New Roman"/>
                <w:sz w:val="20"/>
                <w:szCs w:val="20"/>
              </w:rPr>
              <w:t>Pequeno vazamento de óleo</w:t>
            </w:r>
            <w:r>
              <w:rPr>
                <w:rFonts w:ascii="Times New Roman" w:hAnsi="Times New Roman" w:cs="Times New Roman"/>
                <w:sz w:val="20"/>
                <w:szCs w:val="20"/>
              </w:rPr>
              <w:t xml:space="preserve"> </w:t>
            </w:r>
            <w:r w:rsidRPr="00C22B12">
              <w:rPr>
                <w:rFonts w:ascii="Times New Roman" w:hAnsi="Times New Roman" w:cs="Times New Roman"/>
                <w:sz w:val="20"/>
                <w:szCs w:val="20"/>
              </w:rPr>
              <w:t>combustível devido a</w:t>
            </w:r>
            <w:r>
              <w:rPr>
                <w:rFonts w:ascii="Times New Roman" w:hAnsi="Times New Roman" w:cs="Times New Roman"/>
                <w:sz w:val="20"/>
                <w:szCs w:val="20"/>
              </w:rPr>
              <w:t xml:space="preserve"> </w:t>
            </w:r>
            <w:r w:rsidRPr="00C22B12">
              <w:rPr>
                <w:rFonts w:ascii="Times New Roman" w:hAnsi="Times New Roman" w:cs="Times New Roman"/>
                <w:sz w:val="20"/>
                <w:szCs w:val="20"/>
              </w:rPr>
              <w:t>furo/ruptura, falhas e/ou</w:t>
            </w:r>
            <w:r>
              <w:rPr>
                <w:rFonts w:ascii="Times New Roman" w:hAnsi="Times New Roman" w:cs="Times New Roman"/>
                <w:sz w:val="20"/>
                <w:szCs w:val="20"/>
              </w:rPr>
              <w:t xml:space="preserve"> </w:t>
            </w:r>
            <w:r w:rsidRPr="00C22B12">
              <w:rPr>
                <w:rFonts w:ascii="Times New Roman" w:hAnsi="Times New Roman" w:cs="Times New Roman"/>
                <w:sz w:val="20"/>
                <w:szCs w:val="20"/>
              </w:rPr>
              <w:t>desconexão de componentes</w:t>
            </w:r>
            <w:r>
              <w:rPr>
                <w:rFonts w:ascii="Times New Roman" w:hAnsi="Times New Roman" w:cs="Times New Roman"/>
                <w:sz w:val="20"/>
                <w:szCs w:val="20"/>
              </w:rPr>
              <w:t xml:space="preserve"> </w:t>
            </w:r>
            <w:r w:rsidRPr="00C22B12">
              <w:rPr>
                <w:rFonts w:ascii="Times New Roman" w:hAnsi="Times New Roman" w:cs="Times New Roman"/>
                <w:sz w:val="20"/>
                <w:szCs w:val="20"/>
              </w:rPr>
              <w:t>do sistema de transferência</w:t>
            </w:r>
            <w:r>
              <w:rPr>
                <w:rFonts w:ascii="Times New Roman" w:hAnsi="Times New Roman" w:cs="Times New Roman"/>
                <w:sz w:val="20"/>
                <w:szCs w:val="20"/>
              </w:rPr>
              <w:t xml:space="preserve"> </w:t>
            </w:r>
            <w:r w:rsidRPr="00C22B12">
              <w:rPr>
                <w:rFonts w:ascii="Times New Roman" w:hAnsi="Times New Roman" w:cs="Times New Roman"/>
                <w:sz w:val="20"/>
                <w:szCs w:val="20"/>
              </w:rPr>
              <w:t>(mangotes, válvulas e bomba</w:t>
            </w:r>
            <w:r>
              <w:rPr>
                <w:rFonts w:ascii="Times New Roman" w:hAnsi="Times New Roman" w:cs="Times New Roman"/>
                <w:sz w:val="20"/>
                <w:szCs w:val="20"/>
              </w:rPr>
              <w:t xml:space="preserve"> </w:t>
            </w:r>
            <w:r w:rsidRPr="00C22B12">
              <w:rPr>
                <w:rFonts w:ascii="Times New Roman" w:hAnsi="Times New Roman" w:cs="Times New Roman"/>
                <w:sz w:val="20"/>
                <w:szCs w:val="20"/>
              </w:rPr>
              <w:t>de transferência) com</w:t>
            </w:r>
          </w:p>
          <w:p w14:paraId="1855AF5B" w14:textId="50353640" w:rsidR="00C22B12" w:rsidRPr="00C22B12" w:rsidRDefault="00C22B12" w:rsidP="00C22B12">
            <w:pPr>
              <w:spacing w:before="0" w:line="240" w:lineRule="auto"/>
              <w:rPr>
                <w:rFonts w:asciiTheme="majorHAnsi" w:hAnsiTheme="majorHAnsi"/>
                <w:sz w:val="20"/>
                <w:szCs w:val="20"/>
              </w:rPr>
            </w:pPr>
            <w:r w:rsidRPr="00C22B12">
              <w:rPr>
                <w:rFonts w:ascii="Times New Roman" w:hAnsi="Times New Roman" w:cs="Times New Roman"/>
                <w:sz w:val="20"/>
                <w:szCs w:val="20"/>
              </w:rPr>
              <w:t>liberação de óleo para o mar.</w:t>
            </w:r>
          </w:p>
        </w:tc>
        <w:tc>
          <w:tcPr>
            <w:tcW w:w="811" w:type="pct"/>
            <w:shd w:val="clear" w:color="auto" w:fill="FBD4B4" w:themeFill="accent6" w:themeFillTint="66"/>
            <w:vAlign w:val="center"/>
          </w:tcPr>
          <w:p w14:paraId="2A34E617" w14:textId="7A3A2C10"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Óleo Diesel</w:t>
            </w:r>
          </w:p>
        </w:tc>
        <w:tc>
          <w:tcPr>
            <w:tcW w:w="660" w:type="pct"/>
            <w:shd w:val="clear" w:color="auto" w:fill="FBD4B4" w:themeFill="accent6" w:themeFillTint="66"/>
            <w:vAlign w:val="center"/>
          </w:tcPr>
          <w:p w14:paraId="4A6BC464" w14:textId="04F90857" w:rsidR="00C22B12" w:rsidRPr="00EE6892" w:rsidRDefault="00C22B12" w:rsidP="00850504">
            <w:pPr>
              <w:spacing w:before="0" w:line="240" w:lineRule="auto"/>
              <w:jc w:val="center"/>
              <w:rPr>
                <w:rFonts w:asciiTheme="majorHAnsi" w:hAnsiTheme="majorHAnsi"/>
                <w:sz w:val="20"/>
                <w:szCs w:val="20"/>
              </w:rPr>
            </w:pPr>
            <w:r w:rsidRPr="00EE6892">
              <w:rPr>
                <w:rFonts w:asciiTheme="majorHAnsi" w:hAnsiTheme="majorHAnsi"/>
                <w:sz w:val="20"/>
                <w:szCs w:val="20"/>
              </w:rPr>
              <w:t xml:space="preserve">Até </w:t>
            </w:r>
            <w:r w:rsidR="00850504">
              <w:rPr>
                <w:rFonts w:asciiTheme="majorHAnsi" w:hAnsiTheme="majorHAnsi"/>
                <w:sz w:val="20"/>
                <w:szCs w:val="20"/>
              </w:rPr>
              <w:t>8</w:t>
            </w:r>
            <w:r w:rsidRPr="00EE6892">
              <w:rPr>
                <w:rFonts w:asciiTheme="majorHAnsi" w:hAnsiTheme="majorHAnsi"/>
                <w:sz w:val="20"/>
                <w:szCs w:val="20"/>
              </w:rPr>
              <w:t xml:space="preserve"> m³</w:t>
            </w:r>
          </w:p>
        </w:tc>
        <w:tc>
          <w:tcPr>
            <w:tcW w:w="608" w:type="pct"/>
            <w:shd w:val="clear" w:color="auto" w:fill="FBD4B4" w:themeFill="accent6" w:themeFillTint="66"/>
            <w:vAlign w:val="center"/>
          </w:tcPr>
          <w:p w14:paraId="235A0779" w14:textId="3ED35356"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Instantâneo ou Contínuo</w:t>
            </w:r>
          </w:p>
        </w:tc>
        <w:tc>
          <w:tcPr>
            <w:tcW w:w="592" w:type="pct"/>
            <w:shd w:val="clear" w:color="auto" w:fill="FBD4B4" w:themeFill="accent6" w:themeFillTint="66"/>
            <w:vAlign w:val="center"/>
          </w:tcPr>
          <w:p w14:paraId="4FDD69F3" w14:textId="4C30E2A8" w:rsidR="00C22B12" w:rsidRPr="00EE6892" w:rsidRDefault="00C22B12" w:rsidP="0000064D">
            <w:pPr>
              <w:spacing w:before="0" w:line="240" w:lineRule="auto"/>
              <w:jc w:val="center"/>
              <w:rPr>
                <w:rFonts w:asciiTheme="majorHAnsi" w:hAnsiTheme="majorHAnsi"/>
                <w:sz w:val="20"/>
                <w:szCs w:val="20"/>
              </w:rPr>
            </w:pPr>
            <w:r w:rsidRPr="00EE6892">
              <w:rPr>
                <w:rFonts w:asciiTheme="majorHAnsi" w:hAnsiTheme="majorHAnsi"/>
                <w:sz w:val="20"/>
                <w:szCs w:val="20"/>
              </w:rPr>
              <w:t>Sim</w:t>
            </w:r>
          </w:p>
        </w:tc>
      </w:tr>
      <w:tr w:rsidR="00C22B12" w:rsidRPr="00EE6892" w14:paraId="7AE30152" w14:textId="77777777" w:rsidTr="00FA1E16">
        <w:trPr>
          <w:cantSplit/>
        </w:trPr>
        <w:tc>
          <w:tcPr>
            <w:tcW w:w="5000" w:type="pct"/>
            <w:gridSpan w:val="8"/>
            <w:shd w:val="clear" w:color="auto" w:fill="FFFFFF" w:themeFill="background1"/>
          </w:tcPr>
          <w:p w14:paraId="4078F1DA" w14:textId="77777777" w:rsidR="00C22B12" w:rsidRPr="00EE6892" w:rsidRDefault="00C22B12" w:rsidP="00FA1E16">
            <w:pPr>
              <w:spacing w:before="0" w:line="240" w:lineRule="auto"/>
              <w:jc w:val="left"/>
              <w:rPr>
                <w:rFonts w:asciiTheme="majorHAnsi" w:hAnsiTheme="majorHAnsi"/>
                <w:b/>
                <w:sz w:val="20"/>
                <w:szCs w:val="20"/>
              </w:rPr>
            </w:pPr>
            <w:r w:rsidRPr="00EE6892">
              <w:rPr>
                <w:rFonts w:asciiTheme="majorHAnsi" w:hAnsiTheme="majorHAnsi"/>
                <w:b/>
                <w:sz w:val="20"/>
                <w:szCs w:val="20"/>
              </w:rPr>
              <w:t xml:space="preserve">Legenda: APR – </w:t>
            </w:r>
            <w:r w:rsidRPr="00EE6892">
              <w:rPr>
                <w:rFonts w:asciiTheme="majorHAnsi" w:hAnsiTheme="majorHAnsi"/>
                <w:sz w:val="20"/>
                <w:szCs w:val="20"/>
              </w:rPr>
              <w:t>Análise Preliminar de Riscos.</w:t>
            </w:r>
          </w:p>
        </w:tc>
      </w:tr>
      <w:tr w:rsidR="00C22B12" w:rsidRPr="00EE6892" w14:paraId="15C55586" w14:textId="77777777" w:rsidTr="0000064D">
        <w:trPr>
          <w:cantSplit/>
          <w:trHeight w:val="340"/>
        </w:trPr>
        <w:tc>
          <w:tcPr>
            <w:tcW w:w="337" w:type="pct"/>
            <w:shd w:val="clear" w:color="auto" w:fill="FFFFFF" w:themeFill="background1"/>
            <w:vAlign w:val="center"/>
          </w:tcPr>
          <w:p w14:paraId="71B6B1C7" w14:textId="77777777" w:rsidR="00C22B12" w:rsidRPr="00EE6892" w:rsidRDefault="00C22B12" w:rsidP="0000064D">
            <w:pPr>
              <w:spacing w:before="0" w:line="240" w:lineRule="auto"/>
              <w:jc w:val="center"/>
              <w:rPr>
                <w:rFonts w:asciiTheme="majorHAnsi" w:hAnsiTheme="majorHAnsi"/>
                <w:b/>
                <w:sz w:val="20"/>
                <w:szCs w:val="20"/>
              </w:rPr>
            </w:pPr>
          </w:p>
        </w:tc>
        <w:tc>
          <w:tcPr>
            <w:tcW w:w="399" w:type="pct"/>
            <w:gridSpan w:val="2"/>
            <w:shd w:val="clear" w:color="auto" w:fill="FBD4B4" w:themeFill="accent6" w:themeFillTint="66"/>
            <w:vAlign w:val="center"/>
          </w:tcPr>
          <w:p w14:paraId="08CF1D67" w14:textId="77777777" w:rsidR="00C22B12" w:rsidRPr="00EE6892" w:rsidRDefault="00C22B12" w:rsidP="0000064D">
            <w:pPr>
              <w:spacing w:before="0" w:line="240" w:lineRule="auto"/>
              <w:jc w:val="center"/>
              <w:rPr>
                <w:rFonts w:asciiTheme="majorHAnsi" w:hAnsiTheme="majorHAnsi"/>
                <w:b/>
                <w:sz w:val="20"/>
                <w:szCs w:val="20"/>
              </w:rPr>
            </w:pPr>
          </w:p>
        </w:tc>
        <w:tc>
          <w:tcPr>
            <w:tcW w:w="4264" w:type="pct"/>
            <w:gridSpan w:val="5"/>
            <w:shd w:val="clear" w:color="auto" w:fill="FFFFFF" w:themeFill="background1"/>
            <w:vAlign w:val="center"/>
          </w:tcPr>
          <w:p w14:paraId="0CA7A082" w14:textId="77777777" w:rsidR="00C22B12" w:rsidRPr="00EE6892" w:rsidRDefault="00C22B12" w:rsidP="0000064D">
            <w:pPr>
              <w:spacing w:before="0" w:line="240" w:lineRule="auto"/>
              <w:rPr>
                <w:rFonts w:asciiTheme="majorHAnsi" w:hAnsiTheme="majorHAnsi"/>
                <w:sz w:val="20"/>
                <w:szCs w:val="20"/>
              </w:rPr>
            </w:pPr>
            <w:r w:rsidRPr="00EE6892">
              <w:rPr>
                <w:rFonts w:asciiTheme="majorHAnsi" w:hAnsiTheme="majorHAnsi"/>
                <w:sz w:val="20"/>
                <w:szCs w:val="20"/>
              </w:rPr>
              <w:t xml:space="preserve">Cenários com potencial de </w:t>
            </w:r>
            <w:r>
              <w:rPr>
                <w:rFonts w:asciiTheme="majorHAnsi" w:hAnsiTheme="majorHAnsi"/>
                <w:sz w:val="20"/>
                <w:szCs w:val="20"/>
              </w:rPr>
              <w:t>derramamento</w:t>
            </w:r>
            <w:r w:rsidRPr="00EE6892">
              <w:rPr>
                <w:rFonts w:asciiTheme="majorHAnsi" w:hAnsiTheme="majorHAnsi"/>
                <w:sz w:val="20"/>
                <w:szCs w:val="20"/>
              </w:rPr>
              <w:t xml:space="preserve"> de óleo para o mar.</w:t>
            </w:r>
          </w:p>
        </w:tc>
      </w:tr>
    </w:tbl>
    <w:p w14:paraId="4E6EB54B" w14:textId="77777777" w:rsidR="004D65B3" w:rsidRPr="0085705D" w:rsidRDefault="004D65B3" w:rsidP="004D65B3">
      <w:pPr>
        <w:pStyle w:val="Titulo1WOB"/>
        <w:numPr>
          <w:ilvl w:val="0"/>
          <w:numId w:val="0"/>
        </w:numPr>
        <w:ind w:left="360"/>
        <w:sectPr w:rsidR="004D65B3" w:rsidRPr="0085705D" w:rsidSect="00656D39">
          <w:headerReference w:type="even" r:id="rId24"/>
          <w:headerReference w:type="default" r:id="rId25"/>
          <w:footerReference w:type="even" r:id="rId26"/>
          <w:footerReference w:type="default" r:id="rId27"/>
          <w:pgSz w:w="16840" w:h="11906" w:orient="landscape" w:code="9"/>
          <w:pgMar w:top="1418" w:right="1418" w:bottom="1418" w:left="1418" w:header="170" w:footer="0" w:gutter="0"/>
          <w:cols w:space="708"/>
          <w:docGrid w:linePitch="360"/>
        </w:sectPr>
      </w:pPr>
    </w:p>
    <w:p w14:paraId="082DE042" w14:textId="7FC469D9" w:rsidR="004D65B3" w:rsidRPr="004D65B3" w:rsidRDefault="004D65B3" w:rsidP="00723A97">
      <w:pPr>
        <w:pStyle w:val="tier1Itext"/>
      </w:pPr>
      <w:r w:rsidRPr="004D65B3">
        <w:lastRenderedPageBreak/>
        <w:t xml:space="preserve">Conforme apresentado na </w:t>
      </w:r>
      <w:r w:rsidRPr="000206D2">
        <w:rPr>
          <w:b/>
        </w:rPr>
        <w:fldChar w:fldCharType="begin"/>
      </w:r>
      <w:r w:rsidRPr="000206D2">
        <w:rPr>
          <w:b/>
        </w:rPr>
        <w:instrText xml:space="preserve"> REF _Ref412128602 \h  \* MERGEFORMAT </w:instrText>
      </w:r>
      <w:r w:rsidRPr="000206D2">
        <w:rPr>
          <w:b/>
        </w:rPr>
      </w:r>
      <w:r w:rsidRPr="000206D2">
        <w:rPr>
          <w:b/>
        </w:rPr>
        <w:fldChar w:fldCharType="separate"/>
      </w:r>
      <w:r w:rsidR="00897470" w:rsidRPr="00897470">
        <w:rPr>
          <w:b/>
        </w:rPr>
        <w:t xml:space="preserve">Tabela </w:t>
      </w:r>
      <w:r w:rsidR="00897470" w:rsidRPr="00897470">
        <w:rPr>
          <w:b/>
          <w:noProof/>
        </w:rPr>
        <w:t>6</w:t>
      </w:r>
      <w:r w:rsidRPr="000206D2">
        <w:rPr>
          <w:b/>
        </w:rPr>
        <w:fldChar w:fldCharType="end"/>
      </w:r>
      <w:r w:rsidRPr="004D65B3">
        <w:t xml:space="preserve">, foram identificadas na Análise Preliminar de Riscos o total de </w:t>
      </w:r>
      <w:r w:rsidR="00527CB8">
        <w:t>2</w:t>
      </w:r>
      <w:r w:rsidR="00850504">
        <w:t>3</w:t>
      </w:r>
      <w:r w:rsidRPr="004D65B3">
        <w:t xml:space="preserve"> cenários com potencial de </w:t>
      </w:r>
      <w:r w:rsidR="00642786">
        <w:t>derramamento</w:t>
      </w:r>
      <w:r w:rsidRPr="004D65B3">
        <w:t xml:space="preserve"> de produto oleoso. Dentre estes, 1</w:t>
      </w:r>
      <w:r w:rsidR="00527CB8">
        <w:t>8</w:t>
      </w:r>
      <w:r w:rsidRPr="004D65B3">
        <w:t xml:space="preserve"> apresentaram potencial de atingir o mar, sendo o cenário da APR #0</w:t>
      </w:r>
      <w:r w:rsidR="00527CB8">
        <w:t>9</w:t>
      </w:r>
      <w:r w:rsidRPr="004D65B3">
        <w:t xml:space="preserve"> o correspondente à descarga de pior caso.</w:t>
      </w:r>
    </w:p>
    <w:p w14:paraId="6300E791" w14:textId="77777777" w:rsidR="004D65B3" w:rsidRPr="004D65B3" w:rsidRDefault="004D65B3" w:rsidP="00723A97">
      <w:pPr>
        <w:pStyle w:val="tier1Itext"/>
      </w:pPr>
      <w:r w:rsidRPr="004D65B3">
        <w:t>O volume da descarga de pior caso (V</w:t>
      </w:r>
      <w:r w:rsidRPr="004D65B3">
        <w:rPr>
          <w:vertAlign w:val="subscript"/>
        </w:rPr>
        <w:t>pc</w:t>
      </w:r>
      <w:r w:rsidRPr="004D65B3">
        <w:t>) é calculado a partir do volume da perda de controle do poço (</w:t>
      </w:r>
      <w:r w:rsidRPr="004D65B3">
        <w:rPr>
          <w:i/>
        </w:rPr>
        <w:t>blowout</w:t>
      </w:r>
      <w:r w:rsidRPr="004D65B3">
        <w:t>) durante 30 dias, conforme preconizado na Resolução Conama nº 398/08. Assim, com a estimativa de vazão de 9.800 bbl/dia, o volume de pior caso estimado é de:</w:t>
      </w:r>
    </w:p>
    <w:p w14:paraId="34C08A3B" w14:textId="77777777" w:rsidR="004D65B3" w:rsidRPr="004D65B3" w:rsidRDefault="004D65B3" w:rsidP="0000064D">
      <w:pPr>
        <w:pStyle w:val="OCEBullet"/>
        <w:tabs>
          <w:tab w:val="clear" w:pos="227"/>
          <w:tab w:val="clear" w:pos="709"/>
          <w:tab w:val="left" w:pos="0"/>
        </w:tabs>
        <w:spacing w:after="240" w:line="360" w:lineRule="auto"/>
        <w:ind w:left="0" w:firstLine="0"/>
        <w:jc w:val="center"/>
        <w:rPr>
          <w:rFonts w:ascii="Cambria" w:hAnsi="Cambria"/>
        </w:rPr>
      </w:pPr>
      <w:r w:rsidRPr="004D65B3">
        <w:rPr>
          <w:rFonts w:ascii="Cambria" w:hAnsi="Cambria"/>
        </w:rPr>
        <w:t>V</w:t>
      </w:r>
      <w:r w:rsidRPr="004D65B3">
        <w:rPr>
          <w:rFonts w:ascii="Cambria" w:hAnsi="Cambria"/>
          <w:vertAlign w:val="subscript"/>
        </w:rPr>
        <w:t>pc</w:t>
      </w:r>
      <w:r w:rsidRPr="004D65B3">
        <w:rPr>
          <w:rFonts w:ascii="Cambria" w:hAnsi="Cambria"/>
        </w:rPr>
        <w:t xml:space="preserve"> = 9.800 bbl/dia x 30 dias = 294.000 bbl (46.742,25 m³).</w:t>
      </w:r>
    </w:p>
    <w:p w14:paraId="5983CA21" w14:textId="3CD326E4" w:rsidR="004D65B3" w:rsidRPr="004D65B3" w:rsidRDefault="004D65B3" w:rsidP="00723A97">
      <w:pPr>
        <w:pStyle w:val="tier1Itext"/>
      </w:pPr>
      <w:r w:rsidRPr="004D65B3">
        <w:t xml:space="preserve">Outro aspecto observado na </w:t>
      </w:r>
      <w:r w:rsidRPr="000206D2">
        <w:rPr>
          <w:b/>
        </w:rPr>
        <w:fldChar w:fldCharType="begin"/>
      </w:r>
      <w:r w:rsidRPr="000206D2">
        <w:rPr>
          <w:b/>
        </w:rPr>
        <w:instrText xml:space="preserve"> REF _Ref412128602 \h  \* MERGEFORMAT </w:instrText>
      </w:r>
      <w:r w:rsidRPr="000206D2">
        <w:rPr>
          <w:b/>
        </w:rPr>
      </w:r>
      <w:r w:rsidRPr="000206D2">
        <w:rPr>
          <w:b/>
        </w:rPr>
        <w:fldChar w:fldCharType="separate"/>
      </w:r>
      <w:r w:rsidR="00897470" w:rsidRPr="00897470">
        <w:rPr>
          <w:b/>
        </w:rPr>
        <w:t xml:space="preserve">Tabela </w:t>
      </w:r>
      <w:r w:rsidR="00897470" w:rsidRPr="00897470">
        <w:rPr>
          <w:b/>
          <w:noProof/>
        </w:rPr>
        <w:t>6</w:t>
      </w:r>
      <w:r w:rsidRPr="000206D2">
        <w:rPr>
          <w:b/>
        </w:rPr>
        <w:fldChar w:fldCharType="end"/>
      </w:r>
      <w:r w:rsidRPr="004D65B3">
        <w:t xml:space="preserve"> é que 0</w:t>
      </w:r>
      <w:r w:rsidR="00850504">
        <w:t>9</w:t>
      </w:r>
      <w:r w:rsidRPr="004D65B3">
        <w:t xml:space="preserve"> (</w:t>
      </w:r>
      <w:r w:rsidR="00850504">
        <w:t>nove</w:t>
      </w:r>
      <w:r w:rsidRPr="004D65B3">
        <w:t xml:space="preserve">) cenários, isto é 40% do total com potencial </w:t>
      </w:r>
      <w:r w:rsidR="00642786">
        <w:t>derramamento</w:t>
      </w:r>
      <w:r w:rsidRPr="004D65B3">
        <w:t xml:space="preserve"> de produto oleoso são classificados como descarga pequena (até 8 m³), sendo 0</w:t>
      </w:r>
      <w:r w:rsidR="00850504">
        <w:t>5</w:t>
      </w:r>
      <w:r w:rsidRPr="004D65B3">
        <w:t xml:space="preserve"> (</w:t>
      </w:r>
      <w:r w:rsidR="00850504">
        <w:t>cinco</w:t>
      </w:r>
      <w:r w:rsidRPr="004D65B3">
        <w:t>) com potencial de atingir o mar. Analogamente, 07 (sete) cenários, isto é 3</w:t>
      </w:r>
      <w:r w:rsidR="00850504">
        <w:t>0</w:t>
      </w:r>
      <w:r w:rsidRPr="004D65B3">
        <w:t>%, são classificados como descarga média (8 e 200 m³), dentre eles 05 (cinco) com potencial de atingir o mar. Por fim, dentre os 2</w:t>
      </w:r>
      <w:r w:rsidR="00850504">
        <w:t>3</w:t>
      </w:r>
      <w:r w:rsidRPr="004D65B3">
        <w:t xml:space="preserve"> cenários identificados, 0</w:t>
      </w:r>
      <w:r w:rsidR="00850504">
        <w:t>7</w:t>
      </w:r>
      <w:r w:rsidRPr="004D65B3">
        <w:t xml:space="preserve"> (</w:t>
      </w:r>
      <w:r w:rsidR="00850504">
        <w:t>sete</w:t>
      </w:r>
      <w:r w:rsidRPr="004D65B3">
        <w:t xml:space="preserve">), ou seja </w:t>
      </w:r>
      <w:r w:rsidR="00850504">
        <w:t>30</w:t>
      </w:r>
      <w:r w:rsidRPr="004D65B3">
        <w:t xml:space="preserve">%, correspondem a de descarga grande (acima de 200 m³), sendo neste caso, todos com potencial de atingir o mar. A </w:t>
      </w:r>
      <w:r w:rsidRPr="004D65B3">
        <w:rPr>
          <w:b/>
        </w:rPr>
        <w:fldChar w:fldCharType="begin"/>
      </w:r>
      <w:r w:rsidRPr="004D65B3">
        <w:rPr>
          <w:b/>
        </w:rPr>
        <w:instrText xml:space="preserve"> REF _Ref412476071 \h  \* MERGEFORMAT </w:instrText>
      </w:r>
      <w:r w:rsidRPr="004D65B3">
        <w:rPr>
          <w:b/>
        </w:rPr>
      </w:r>
      <w:r w:rsidRPr="004D65B3">
        <w:rPr>
          <w:b/>
        </w:rPr>
        <w:fldChar w:fldCharType="separate"/>
      </w:r>
      <w:r w:rsidR="00897470" w:rsidRPr="00897470">
        <w:rPr>
          <w:b/>
        </w:rPr>
        <w:t xml:space="preserve">Tabela </w:t>
      </w:r>
      <w:r w:rsidR="00897470" w:rsidRPr="00897470">
        <w:rPr>
          <w:b/>
          <w:noProof/>
        </w:rPr>
        <w:t>7</w:t>
      </w:r>
      <w:r w:rsidRPr="004D65B3">
        <w:rPr>
          <w:b/>
        </w:rPr>
        <w:fldChar w:fldCharType="end"/>
      </w:r>
      <w:r w:rsidRPr="004D65B3">
        <w:t xml:space="preserve"> resume a proporção de cenários acidentais envolvendo descargas pequena, média e grande de produto oleoso.</w:t>
      </w:r>
    </w:p>
    <w:tbl>
      <w:tblPr>
        <w:tblStyle w:val="TableGrid"/>
        <w:tblW w:w="0" w:type="auto"/>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2445"/>
        <w:gridCol w:w="1933"/>
        <w:gridCol w:w="2239"/>
        <w:gridCol w:w="2239"/>
      </w:tblGrid>
      <w:tr w:rsidR="004D65B3" w:rsidRPr="00EE6892" w14:paraId="62FBA62C" w14:textId="77777777" w:rsidTr="000206D2">
        <w:trPr>
          <w:trHeight w:val="340"/>
          <w:jc w:val="center"/>
        </w:trPr>
        <w:tc>
          <w:tcPr>
            <w:tcW w:w="8856" w:type="dxa"/>
            <w:gridSpan w:val="4"/>
            <w:shd w:val="clear" w:color="auto" w:fill="FFFFFF" w:themeFill="background1"/>
            <w:vAlign w:val="bottom"/>
          </w:tcPr>
          <w:p w14:paraId="2FEE45E1" w14:textId="77777777" w:rsidR="004D65B3" w:rsidRPr="00EE6892" w:rsidRDefault="004D65B3" w:rsidP="00EE6892">
            <w:pPr>
              <w:pStyle w:val="Caption"/>
              <w:spacing w:before="0" w:after="0" w:line="240" w:lineRule="auto"/>
              <w:jc w:val="both"/>
              <w:rPr>
                <w:color w:val="FFFFFF" w:themeColor="background1"/>
                <w:szCs w:val="20"/>
              </w:rPr>
            </w:pPr>
            <w:bookmarkStart w:id="61" w:name="_Ref412476071"/>
            <w:bookmarkStart w:id="62" w:name="_Toc412476176"/>
            <w:bookmarkStart w:id="63" w:name="_Toc523834039"/>
            <w:r w:rsidRPr="00EE6892">
              <w:rPr>
                <w:szCs w:val="20"/>
              </w:rPr>
              <w:t xml:space="preserve">Tabela </w:t>
            </w:r>
            <w:r w:rsidR="0036087F" w:rsidRPr="00EE6892">
              <w:rPr>
                <w:szCs w:val="20"/>
              </w:rPr>
              <w:fldChar w:fldCharType="begin"/>
            </w:r>
            <w:r w:rsidR="0036087F" w:rsidRPr="00EE6892">
              <w:rPr>
                <w:szCs w:val="20"/>
              </w:rPr>
              <w:instrText xml:space="preserve"> SEQ Tabela \* ARABIC </w:instrText>
            </w:r>
            <w:r w:rsidR="0036087F" w:rsidRPr="00EE6892">
              <w:rPr>
                <w:szCs w:val="20"/>
              </w:rPr>
              <w:fldChar w:fldCharType="separate"/>
            </w:r>
            <w:r w:rsidR="00897470">
              <w:rPr>
                <w:noProof/>
                <w:szCs w:val="20"/>
              </w:rPr>
              <w:t>7</w:t>
            </w:r>
            <w:r w:rsidR="0036087F" w:rsidRPr="00EE6892">
              <w:rPr>
                <w:noProof/>
                <w:szCs w:val="20"/>
              </w:rPr>
              <w:fldChar w:fldCharType="end"/>
            </w:r>
            <w:bookmarkEnd w:id="61"/>
            <w:r w:rsidRPr="00EE6892">
              <w:rPr>
                <w:szCs w:val="20"/>
              </w:rPr>
              <w:t>: Proporção de cenários acidentais envolvendo descargas pequena, média e grande de produto oleoso</w:t>
            </w:r>
            <w:bookmarkEnd w:id="62"/>
            <w:r w:rsidR="000D65DA" w:rsidRPr="00EE6892">
              <w:rPr>
                <w:szCs w:val="20"/>
              </w:rPr>
              <w:t>.</w:t>
            </w:r>
            <w:bookmarkEnd w:id="63"/>
          </w:p>
        </w:tc>
      </w:tr>
      <w:tr w:rsidR="004D65B3" w:rsidRPr="00EE6892" w14:paraId="61C11D6B" w14:textId="77777777" w:rsidTr="0000064D">
        <w:trPr>
          <w:trHeight w:val="1417"/>
          <w:jc w:val="center"/>
        </w:trPr>
        <w:tc>
          <w:tcPr>
            <w:tcW w:w="2445" w:type="dxa"/>
            <w:shd w:val="clear" w:color="auto" w:fill="1F497D"/>
            <w:vAlign w:val="center"/>
          </w:tcPr>
          <w:p w14:paraId="6B22D33A"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Cenário</w:t>
            </w:r>
          </w:p>
        </w:tc>
        <w:tc>
          <w:tcPr>
            <w:tcW w:w="1933" w:type="dxa"/>
            <w:shd w:val="clear" w:color="auto" w:fill="1F497D"/>
            <w:vAlign w:val="center"/>
          </w:tcPr>
          <w:p w14:paraId="320E51D4"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Total e Porcentagem de Cenários¹</w:t>
            </w:r>
          </w:p>
        </w:tc>
        <w:tc>
          <w:tcPr>
            <w:tcW w:w="2239" w:type="dxa"/>
            <w:shd w:val="clear" w:color="auto" w:fill="1F497D"/>
            <w:vAlign w:val="center"/>
          </w:tcPr>
          <w:p w14:paraId="6A66124C"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e Porcentagem de Cenários COM potencial de atingir o mar¹</w:t>
            </w:r>
          </w:p>
        </w:tc>
        <w:tc>
          <w:tcPr>
            <w:tcW w:w="2239" w:type="dxa"/>
            <w:shd w:val="clear" w:color="auto" w:fill="1F497D"/>
            <w:vAlign w:val="center"/>
          </w:tcPr>
          <w:p w14:paraId="68D8D71B" w14:textId="77777777" w:rsidR="004D65B3" w:rsidRPr="00EE6892" w:rsidRDefault="004D65B3" w:rsidP="000206D2">
            <w:pPr>
              <w:pStyle w:val="tier1Itext"/>
              <w:spacing w:before="0" w:after="0" w:line="240" w:lineRule="auto"/>
              <w:jc w:val="center"/>
              <w:rPr>
                <w:b/>
                <w:color w:val="FFFFFF" w:themeColor="background1"/>
                <w:sz w:val="20"/>
                <w:szCs w:val="20"/>
              </w:rPr>
            </w:pPr>
            <w:r w:rsidRPr="00EE6892">
              <w:rPr>
                <w:b/>
                <w:color w:val="FFFFFF" w:themeColor="background1"/>
                <w:sz w:val="20"/>
                <w:szCs w:val="20"/>
              </w:rPr>
              <w:t>Número e Porcentagem de Cenários SEM potencial de atingir o mar¹</w:t>
            </w:r>
          </w:p>
        </w:tc>
      </w:tr>
      <w:tr w:rsidR="004D65B3" w:rsidRPr="00EE6892" w14:paraId="459133EB" w14:textId="77777777" w:rsidTr="00EE6892">
        <w:trPr>
          <w:trHeight w:val="624"/>
          <w:jc w:val="center"/>
        </w:trPr>
        <w:tc>
          <w:tcPr>
            <w:tcW w:w="2445" w:type="dxa"/>
            <w:shd w:val="clear" w:color="auto" w:fill="D9D9D9" w:themeFill="background1" w:themeFillShade="D9"/>
          </w:tcPr>
          <w:p w14:paraId="48928051" w14:textId="77777777" w:rsidR="004D65B3" w:rsidRPr="00EE6892" w:rsidRDefault="004D65B3" w:rsidP="000206D2">
            <w:pPr>
              <w:pStyle w:val="tier1Itext"/>
              <w:spacing w:before="0" w:after="0" w:line="240" w:lineRule="auto"/>
              <w:rPr>
                <w:sz w:val="20"/>
                <w:szCs w:val="20"/>
              </w:rPr>
            </w:pPr>
            <w:r w:rsidRPr="00EE6892">
              <w:rPr>
                <w:sz w:val="20"/>
                <w:szCs w:val="20"/>
              </w:rPr>
              <w:t>Descarga Pequena:</w:t>
            </w:r>
          </w:p>
          <w:p w14:paraId="3751733A" w14:textId="77777777" w:rsidR="004D65B3" w:rsidRPr="00EE6892" w:rsidRDefault="004D65B3" w:rsidP="000206D2">
            <w:pPr>
              <w:pStyle w:val="tier1Itext"/>
              <w:spacing w:before="0" w:after="0" w:line="240" w:lineRule="auto"/>
              <w:rPr>
                <w:sz w:val="20"/>
                <w:szCs w:val="20"/>
              </w:rPr>
            </w:pPr>
            <w:r w:rsidRPr="00EE6892">
              <w:rPr>
                <w:sz w:val="20"/>
                <w:szCs w:val="20"/>
              </w:rPr>
              <w:t>Volume ≤ 8 m³</w:t>
            </w:r>
          </w:p>
        </w:tc>
        <w:tc>
          <w:tcPr>
            <w:tcW w:w="1933" w:type="dxa"/>
            <w:shd w:val="clear" w:color="auto" w:fill="D9D9D9" w:themeFill="background1" w:themeFillShade="D9"/>
            <w:vAlign w:val="center"/>
          </w:tcPr>
          <w:p w14:paraId="4ABE3CB4" w14:textId="7686E652" w:rsidR="004D65B3" w:rsidRPr="00EE6892" w:rsidRDefault="004D65B3" w:rsidP="00850504">
            <w:pPr>
              <w:pStyle w:val="tier1Itext"/>
              <w:spacing w:before="0" w:after="0" w:line="240" w:lineRule="auto"/>
              <w:jc w:val="center"/>
              <w:rPr>
                <w:sz w:val="20"/>
                <w:szCs w:val="20"/>
              </w:rPr>
            </w:pPr>
            <w:r w:rsidRPr="00EE6892">
              <w:rPr>
                <w:sz w:val="20"/>
                <w:szCs w:val="20"/>
              </w:rPr>
              <w:t>0</w:t>
            </w:r>
            <w:r w:rsidR="00850504">
              <w:rPr>
                <w:sz w:val="20"/>
                <w:szCs w:val="20"/>
              </w:rPr>
              <w:t>9</w:t>
            </w:r>
            <w:r w:rsidRPr="00EE6892">
              <w:rPr>
                <w:sz w:val="20"/>
                <w:szCs w:val="20"/>
              </w:rPr>
              <w:t xml:space="preserve"> (40%)</w:t>
            </w:r>
          </w:p>
        </w:tc>
        <w:tc>
          <w:tcPr>
            <w:tcW w:w="2239" w:type="dxa"/>
            <w:shd w:val="clear" w:color="auto" w:fill="D9D9D9" w:themeFill="background1" w:themeFillShade="D9"/>
            <w:vAlign w:val="center"/>
          </w:tcPr>
          <w:p w14:paraId="7F2BADE9" w14:textId="39239DF4" w:rsidR="004D65B3" w:rsidRPr="00EE6892" w:rsidRDefault="004D65B3" w:rsidP="00D86BA1">
            <w:pPr>
              <w:pStyle w:val="tier1Itext"/>
              <w:spacing w:before="0" w:after="0" w:line="240" w:lineRule="auto"/>
              <w:jc w:val="center"/>
              <w:rPr>
                <w:sz w:val="20"/>
                <w:szCs w:val="20"/>
              </w:rPr>
            </w:pPr>
            <w:r w:rsidRPr="00EE6892">
              <w:rPr>
                <w:sz w:val="20"/>
                <w:szCs w:val="20"/>
              </w:rPr>
              <w:t>0</w:t>
            </w:r>
            <w:r w:rsidR="00D86BA1">
              <w:rPr>
                <w:sz w:val="20"/>
                <w:szCs w:val="20"/>
              </w:rPr>
              <w:t>5</w:t>
            </w:r>
            <w:r w:rsidRPr="00EE6892">
              <w:rPr>
                <w:sz w:val="20"/>
                <w:szCs w:val="20"/>
              </w:rPr>
              <w:t xml:space="preserve"> (2</w:t>
            </w:r>
            <w:r w:rsidR="00D86BA1">
              <w:rPr>
                <w:sz w:val="20"/>
                <w:szCs w:val="20"/>
              </w:rPr>
              <w:t>2</w:t>
            </w:r>
            <w:r w:rsidRPr="00EE6892">
              <w:rPr>
                <w:sz w:val="20"/>
                <w:szCs w:val="20"/>
              </w:rPr>
              <w:t>%)</w:t>
            </w:r>
          </w:p>
        </w:tc>
        <w:tc>
          <w:tcPr>
            <w:tcW w:w="2239" w:type="dxa"/>
            <w:shd w:val="clear" w:color="auto" w:fill="D9D9D9" w:themeFill="background1" w:themeFillShade="D9"/>
            <w:vAlign w:val="center"/>
          </w:tcPr>
          <w:p w14:paraId="49BBD2C2" w14:textId="16BAEA66" w:rsidR="004D65B3" w:rsidRPr="00EE6892" w:rsidRDefault="004D65B3" w:rsidP="00D86BA1">
            <w:pPr>
              <w:pStyle w:val="tier1Itext"/>
              <w:spacing w:before="0" w:after="0" w:line="240" w:lineRule="auto"/>
              <w:jc w:val="center"/>
              <w:rPr>
                <w:sz w:val="20"/>
                <w:szCs w:val="20"/>
              </w:rPr>
            </w:pPr>
            <w:r w:rsidRPr="00EE6892">
              <w:rPr>
                <w:sz w:val="20"/>
                <w:szCs w:val="20"/>
              </w:rPr>
              <w:t>04 (</w:t>
            </w:r>
            <w:r w:rsidR="00D86BA1">
              <w:rPr>
                <w:sz w:val="20"/>
                <w:szCs w:val="20"/>
              </w:rPr>
              <w:t>18</w:t>
            </w:r>
            <w:r w:rsidRPr="00EE6892">
              <w:rPr>
                <w:sz w:val="20"/>
                <w:szCs w:val="20"/>
              </w:rPr>
              <w:t>%)</w:t>
            </w:r>
          </w:p>
        </w:tc>
      </w:tr>
      <w:tr w:rsidR="004D65B3" w:rsidRPr="00EE6892" w14:paraId="4632DB4E" w14:textId="77777777" w:rsidTr="00EE6892">
        <w:trPr>
          <w:trHeight w:val="624"/>
          <w:jc w:val="center"/>
        </w:trPr>
        <w:tc>
          <w:tcPr>
            <w:tcW w:w="2445" w:type="dxa"/>
            <w:shd w:val="clear" w:color="auto" w:fill="D9D9D9" w:themeFill="background1" w:themeFillShade="D9"/>
          </w:tcPr>
          <w:p w14:paraId="6E81973C" w14:textId="77777777" w:rsidR="004D65B3" w:rsidRPr="00EE6892" w:rsidRDefault="004D65B3" w:rsidP="000206D2">
            <w:pPr>
              <w:pStyle w:val="tier1Itext"/>
              <w:spacing w:before="0" w:after="0" w:line="240" w:lineRule="auto"/>
              <w:rPr>
                <w:sz w:val="20"/>
                <w:szCs w:val="20"/>
              </w:rPr>
            </w:pPr>
            <w:r w:rsidRPr="00EE6892">
              <w:rPr>
                <w:sz w:val="20"/>
                <w:szCs w:val="20"/>
              </w:rPr>
              <w:t>Descarga Média:</w:t>
            </w:r>
          </w:p>
          <w:p w14:paraId="7C93C2F8" w14:textId="77777777" w:rsidR="004D65B3" w:rsidRPr="00EE6892" w:rsidRDefault="004D65B3" w:rsidP="000206D2">
            <w:pPr>
              <w:pStyle w:val="tier1Itext"/>
              <w:spacing w:before="0" w:after="0" w:line="240" w:lineRule="auto"/>
              <w:rPr>
                <w:sz w:val="20"/>
                <w:szCs w:val="20"/>
              </w:rPr>
            </w:pPr>
            <w:r w:rsidRPr="00EE6892">
              <w:rPr>
                <w:sz w:val="20"/>
                <w:szCs w:val="20"/>
              </w:rPr>
              <w:t>8 &gt; Volume ≤ 200 m³</w:t>
            </w:r>
          </w:p>
        </w:tc>
        <w:tc>
          <w:tcPr>
            <w:tcW w:w="1933" w:type="dxa"/>
            <w:shd w:val="clear" w:color="auto" w:fill="D9D9D9" w:themeFill="background1" w:themeFillShade="D9"/>
            <w:vAlign w:val="center"/>
          </w:tcPr>
          <w:p w14:paraId="4BAB8CC5" w14:textId="449F5DAC" w:rsidR="004D65B3" w:rsidRPr="00EE6892" w:rsidRDefault="004D65B3" w:rsidP="00850504">
            <w:pPr>
              <w:pStyle w:val="tier1Itext"/>
              <w:spacing w:before="0" w:after="0" w:line="240" w:lineRule="auto"/>
              <w:jc w:val="center"/>
              <w:rPr>
                <w:sz w:val="20"/>
                <w:szCs w:val="20"/>
              </w:rPr>
            </w:pPr>
            <w:r w:rsidRPr="00EE6892">
              <w:rPr>
                <w:sz w:val="20"/>
                <w:szCs w:val="20"/>
              </w:rPr>
              <w:t>07 (3</w:t>
            </w:r>
            <w:r w:rsidR="00850504">
              <w:rPr>
                <w:sz w:val="20"/>
                <w:szCs w:val="20"/>
              </w:rPr>
              <w:t>0</w:t>
            </w:r>
            <w:r w:rsidRPr="00EE6892">
              <w:rPr>
                <w:sz w:val="20"/>
                <w:szCs w:val="20"/>
              </w:rPr>
              <w:t>%)</w:t>
            </w:r>
          </w:p>
        </w:tc>
        <w:tc>
          <w:tcPr>
            <w:tcW w:w="2239" w:type="dxa"/>
            <w:shd w:val="clear" w:color="auto" w:fill="D9D9D9" w:themeFill="background1" w:themeFillShade="D9"/>
            <w:vAlign w:val="center"/>
          </w:tcPr>
          <w:p w14:paraId="0F4431F8" w14:textId="2E07AF61" w:rsidR="004D65B3" w:rsidRPr="00EE6892" w:rsidRDefault="004D65B3" w:rsidP="00D86BA1">
            <w:pPr>
              <w:pStyle w:val="tier1Itext"/>
              <w:spacing w:before="0" w:after="0" w:line="240" w:lineRule="auto"/>
              <w:jc w:val="center"/>
              <w:rPr>
                <w:sz w:val="20"/>
                <w:szCs w:val="20"/>
              </w:rPr>
            </w:pPr>
            <w:r w:rsidRPr="00EE6892">
              <w:rPr>
                <w:sz w:val="20"/>
                <w:szCs w:val="20"/>
              </w:rPr>
              <w:t>05 (</w:t>
            </w:r>
            <w:r w:rsidR="00D86BA1">
              <w:rPr>
                <w:sz w:val="20"/>
                <w:szCs w:val="20"/>
              </w:rPr>
              <w:t>22</w:t>
            </w:r>
            <w:r w:rsidRPr="00EE6892">
              <w:rPr>
                <w:sz w:val="20"/>
                <w:szCs w:val="20"/>
              </w:rPr>
              <w:t>%)</w:t>
            </w:r>
          </w:p>
        </w:tc>
        <w:tc>
          <w:tcPr>
            <w:tcW w:w="2239" w:type="dxa"/>
            <w:shd w:val="clear" w:color="auto" w:fill="D9D9D9" w:themeFill="background1" w:themeFillShade="D9"/>
            <w:vAlign w:val="center"/>
          </w:tcPr>
          <w:p w14:paraId="463DA6C0" w14:textId="1B2EEF3A" w:rsidR="004D65B3" w:rsidRPr="00EE6892" w:rsidRDefault="004D65B3" w:rsidP="00D86BA1">
            <w:pPr>
              <w:pStyle w:val="tier1Itext"/>
              <w:spacing w:before="0" w:after="0" w:line="240" w:lineRule="auto"/>
              <w:jc w:val="center"/>
              <w:rPr>
                <w:sz w:val="20"/>
                <w:szCs w:val="20"/>
              </w:rPr>
            </w:pPr>
            <w:r w:rsidRPr="00EE6892">
              <w:rPr>
                <w:sz w:val="20"/>
                <w:szCs w:val="20"/>
              </w:rPr>
              <w:t>02 (</w:t>
            </w:r>
            <w:r w:rsidR="00D86BA1">
              <w:rPr>
                <w:sz w:val="20"/>
                <w:szCs w:val="20"/>
              </w:rPr>
              <w:t>08</w:t>
            </w:r>
            <w:r w:rsidRPr="00EE6892">
              <w:rPr>
                <w:sz w:val="20"/>
                <w:szCs w:val="20"/>
              </w:rPr>
              <w:t>%)</w:t>
            </w:r>
          </w:p>
        </w:tc>
      </w:tr>
      <w:tr w:rsidR="004D65B3" w:rsidRPr="00EE6892" w14:paraId="5B82C64E" w14:textId="77777777" w:rsidTr="00EE6892">
        <w:trPr>
          <w:trHeight w:val="624"/>
          <w:jc w:val="center"/>
        </w:trPr>
        <w:tc>
          <w:tcPr>
            <w:tcW w:w="2445" w:type="dxa"/>
            <w:tcBorders>
              <w:bottom w:val="single" w:sz="12" w:space="0" w:color="FFFFFF" w:themeColor="background1"/>
            </w:tcBorders>
            <w:shd w:val="clear" w:color="auto" w:fill="D9D9D9" w:themeFill="background1" w:themeFillShade="D9"/>
          </w:tcPr>
          <w:p w14:paraId="28142B16" w14:textId="77777777" w:rsidR="004D65B3" w:rsidRPr="00EE6892" w:rsidRDefault="004D65B3" w:rsidP="000206D2">
            <w:pPr>
              <w:pStyle w:val="tier1Itext"/>
              <w:spacing w:before="0" w:after="0" w:line="240" w:lineRule="auto"/>
              <w:rPr>
                <w:sz w:val="20"/>
                <w:szCs w:val="20"/>
              </w:rPr>
            </w:pPr>
            <w:r w:rsidRPr="00EE6892">
              <w:rPr>
                <w:sz w:val="20"/>
                <w:szCs w:val="20"/>
              </w:rPr>
              <w:t>Descarga Grande:</w:t>
            </w:r>
          </w:p>
          <w:p w14:paraId="28C5A61D" w14:textId="77777777" w:rsidR="004D65B3" w:rsidRPr="00EE6892" w:rsidRDefault="004D65B3" w:rsidP="000206D2">
            <w:pPr>
              <w:pStyle w:val="tier1Itext"/>
              <w:spacing w:before="0" w:after="0" w:line="240" w:lineRule="auto"/>
              <w:rPr>
                <w:sz w:val="20"/>
                <w:szCs w:val="20"/>
              </w:rPr>
            </w:pPr>
            <w:r w:rsidRPr="00EE6892">
              <w:rPr>
                <w:sz w:val="20"/>
                <w:szCs w:val="20"/>
              </w:rPr>
              <w:t>Volume &gt; 200 m³</w:t>
            </w:r>
          </w:p>
        </w:tc>
        <w:tc>
          <w:tcPr>
            <w:tcW w:w="1933" w:type="dxa"/>
            <w:tcBorders>
              <w:bottom w:val="single" w:sz="12" w:space="0" w:color="FFFFFF" w:themeColor="background1"/>
            </w:tcBorders>
            <w:shd w:val="clear" w:color="auto" w:fill="D9D9D9" w:themeFill="background1" w:themeFillShade="D9"/>
            <w:vAlign w:val="center"/>
          </w:tcPr>
          <w:p w14:paraId="41826613" w14:textId="4F4CCF50" w:rsidR="004D65B3" w:rsidRPr="00EE6892" w:rsidRDefault="004D65B3" w:rsidP="00850504">
            <w:pPr>
              <w:pStyle w:val="tier1Itext"/>
              <w:spacing w:before="0" w:after="0" w:line="240" w:lineRule="auto"/>
              <w:jc w:val="center"/>
              <w:rPr>
                <w:sz w:val="20"/>
                <w:szCs w:val="20"/>
              </w:rPr>
            </w:pPr>
            <w:r w:rsidRPr="00EE6892">
              <w:rPr>
                <w:sz w:val="20"/>
                <w:szCs w:val="20"/>
              </w:rPr>
              <w:t>0</w:t>
            </w:r>
            <w:r w:rsidR="00850504">
              <w:rPr>
                <w:sz w:val="20"/>
                <w:szCs w:val="20"/>
              </w:rPr>
              <w:t>7</w:t>
            </w:r>
            <w:r w:rsidRPr="00EE6892">
              <w:rPr>
                <w:sz w:val="20"/>
                <w:szCs w:val="20"/>
              </w:rPr>
              <w:t xml:space="preserve"> (</w:t>
            </w:r>
            <w:r w:rsidR="00850504">
              <w:rPr>
                <w:sz w:val="20"/>
                <w:szCs w:val="20"/>
              </w:rPr>
              <w:t>30</w:t>
            </w:r>
            <w:r w:rsidRPr="00EE6892">
              <w:rPr>
                <w:sz w:val="20"/>
                <w:szCs w:val="20"/>
              </w:rPr>
              <w:t>%)</w:t>
            </w:r>
          </w:p>
        </w:tc>
        <w:tc>
          <w:tcPr>
            <w:tcW w:w="2239" w:type="dxa"/>
            <w:tcBorders>
              <w:bottom w:val="single" w:sz="12" w:space="0" w:color="FFFFFF" w:themeColor="background1"/>
            </w:tcBorders>
            <w:shd w:val="clear" w:color="auto" w:fill="D9D9D9" w:themeFill="background1" w:themeFillShade="D9"/>
            <w:vAlign w:val="center"/>
          </w:tcPr>
          <w:p w14:paraId="4292C1F1" w14:textId="78FB9184" w:rsidR="004D65B3" w:rsidRPr="00EE6892" w:rsidRDefault="004D65B3" w:rsidP="00D86BA1">
            <w:pPr>
              <w:pStyle w:val="tier1Itext"/>
              <w:spacing w:before="0" w:after="0" w:line="240" w:lineRule="auto"/>
              <w:jc w:val="center"/>
              <w:rPr>
                <w:sz w:val="20"/>
                <w:szCs w:val="20"/>
              </w:rPr>
            </w:pPr>
            <w:r w:rsidRPr="00EE6892">
              <w:rPr>
                <w:sz w:val="20"/>
                <w:szCs w:val="20"/>
              </w:rPr>
              <w:t>0</w:t>
            </w:r>
            <w:r w:rsidR="00D86BA1">
              <w:rPr>
                <w:sz w:val="20"/>
                <w:szCs w:val="20"/>
              </w:rPr>
              <w:t>7</w:t>
            </w:r>
            <w:r w:rsidRPr="00EE6892">
              <w:rPr>
                <w:sz w:val="20"/>
                <w:szCs w:val="20"/>
              </w:rPr>
              <w:t xml:space="preserve"> (</w:t>
            </w:r>
            <w:r w:rsidR="00D86BA1">
              <w:rPr>
                <w:sz w:val="20"/>
                <w:szCs w:val="20"/>
              </w:rPr>
              <w:t>30</w:t>
            </w:r>
            <w:r w:rsidRPr="00EE6892">
              <w:rPr>
                <w:sz w:val="20"/>
                <w:szCs w:val="20"/>
              </w:rPr>
              <w:t>%)</w:t>
            </w:r>
          </w:p>
        </w:tc>
        <w:tc>
          <w:tcPr>
            <w:tcW w:w="2239" w:type="dxa"/>
            <w:tcBorders>
              <w:bottom w:val="single" w:sz="12" w:space="0" w:color="FFFFFF" w:themeColor="background1"/>
            </w:tcBorders>
            <w:shd w:val="clear" w:color="auto" w:fill="D9D9D9" w:themeFill="background1" w:themeFillShade="D9"/>
            <w:vAlign w:val="center"/>
          </w:tcPr>
          <w:p w14:paraId="132708A1" w14:textId="77777777" w:rsidR="004D65B3" w:rsidRPr="00EE6892" w:rsidRDefault="004D65B3" w:rsidP="00EE6892">
            <w:pPr>
              <w:pStyle w:val="tier1Itext"/>
              <w:spacing w:before="0" w:after="0" w:line="240" w:lineRule="auto"/>
              <w:jc w:val="center"/>
              <w:rPr>
                <w:sz w:val="20"/>
                <w:szCs w:val="20"/>
              </w:rPr>
            </w:pPr>
            <w:r w:rsidRPr="00EE6892">
              <w:rPr>
                <w:sz w:val="20"/>
                <w:szCs w:val="20"/>
              </w:rPr>
              <w:t>-</w:t>
            </w:r>
          </w:p>
        </w:tc>
      </w:tr>
      <w:tr w:rsidR="004D65B3" w:rsidRPr="00EE6892" w14:paraId="367D91B8" w14:textId="77777777" w:rsidTr="00FA1E16">
        <w:trPr>
          <w:jc w:val="center"/>
        </w:trPr>
        <w:tc>
          <w:tcPr>
            <w:tcW w:w="8856" w:type="dxa"/>
            <w:gridSpan w:val="4"/>
            <w:tcBorders>
              <w:bottom w:val="nil"/>
            </w:tcBorders>
            <w:shd w:val="clear" w:color="auto" w:fill="FFFFFF" w:themeFill="background1"/>
          </w:tcPr>
          <w:p w14:paraId="42FE728E" w14:textId="5E91D1EA" w:rsidR="004D65B3" w:rsidRPr="00EE6892" w:rsidRDefault="00EE6892" w:rsidP="00D86BA1">
            <w:pPr>
              <w:pStyle w:val="tier1Itext"/>
              <w:spacing w:before="0" w:after="0" w:line="240" w:lineRule="auto"/>
              <w:jc w:val="left"/>
              <w:rPr>
                <w:sz w:val="20"/>
                <w:szCs w:val="20"/>
              </w:rPr>
            </w:pPr>
            <w:r w:rsidRPr="00EE6892">
              <w:rPr>
                <w:b/>
                <w:sz w:val="20"/>
                <w:szCs w:val="20"/>
              </w:rPr>
              <w:t>Legenda:</w:t>
            </w:r>
            <w:r w:rsidRPr="00EE6892">
              <w:rPr>
                <w:sz w:val="20"/>
                <w:szCs w:val="20"/>
              </w:rPr>
              <w:t xml:space="preserve"> </w:t>
            </w:r>
            <w:r w:rsidR="004D65B3" w:rsidRPr="00EE6892">
              <w:rPr>
                <w:sz w:val="20"/>
                <w:szCs w:val="20"/>
              </w:rPr>
              <w:t>¹ Valores percentuais referentes ao total de 2</w:t>
            </w:r>
            <w:r w:rsidR="00D86BA1">
              <w:rPr>
                <w:sz w:val="20"/>
                <w:szCs w:val="20"/>
              </w:rPr>
              <w:t>3</w:t>
            </w:r>
            <w:r w:rsidR="004D65B3" w:rsidRPr="00EE6892">
              <w:rPr>
                <w:sz w:val="20"/>
                <w:szCs w:val="20"/>
              </w:rPr>
              <w:t xml:space="preserve"> cenários com potencial </w:t>
            </w:r>
            <w:r w:rsidR="00642786">
              <w:rPr>
                <w:sz w:val="20"/>
                <w:szCs w:val="20"/>
              </w:rPr>
              <w:t>derramamento</w:t>
            </w:r>
            <w:r w:rsidR="004D65B3" w:rsidRPr="00EE6892">
              <w:rPr>
                <w:sz w:val="20"/>
                <w:szCs w:val="20"/>
              </w:rPr>
              <w:t xml:space="preserve"> de produto oleoso</w:t>
            </w:r>
          </w:p>
        </w:tc>
      </w:tr>
    </w:tbl>
    <w:p w14:paraId="0A4C1B69" w14:textId="77777777" w:rsidR="004D65B3" w:rsidRPr="004D65B3" w:rsidRDefault="004D65B3" w:rsidP="00642786">
      <w:pPr>
        <w:pStyle w:val="tier1Itext"/>
        <w:spacing w:before="360"/>
      </w:pPr>
      <w:r w:rsidRPr="004D65B3">
        <w:t xml:space="preserve">Cabe ressaltar que este Plano foi desenvolvido para atender aos cenários acidentais inerentes à atividade com potencial </w:t>
      </w:r>
      <w:r w:rsidR="00642786">
        <w:t>derramamento</w:t>
      </w:r>
      <w:r w:rsidRPr="004D65B3">
        <w:t xml:space="preserve"> de produto oleoso no mar. Os demais cenários com potencial de </w:t>
      </w:r>
      <w:r w:rsidR="00642786">
        <w:t>derramamento</w:t>
      </w:r>
      <w:r w:rsidRPr="004D65B3">
        <w:t xml:space="preserve"> restrito às instalações das unidades marítimas estão contemplados no </w:t>
      </w:r>
      <w:r w:rsidRPr="004D65B3">
        <w:rPr>
          <w:i/>
        </w:rPr>
        <w:t xml:space="preserve">Shipboard Oil Pollution Emergency Plan </w:t>
      </w:r>
      <w:r w:rsidRPr="004D65B3">
        <w:t>(SOPEP) dessas instalações.</w:t>
      </w:r>
    </w:p>
    <w:p w14:paraId="24C43D46" w14:textId="77777777" w:rsidR="000F3DA6" w:rsidRPr="00CE6488" w:rsidRDefault="000F3DA6" w:rsidP="009D01BE">
      <w:pPr>
        <w:pStyle w:val="Heading1"/>
      </w:pPr>
      <w:bookmarkStart w:id="64" w:name="_Ref414544801"/>
      <w:bookmarkStart w:id="65" w:name="_Ref414547727"/>
      <w:bookmarkStart w:id="66" w:name="_Toc523833877"/>
      <w:r w:rsidRPr="00CE6488">
        <w:lastRenderedPageBreak/>
        <w:t>ANÁLISE DE VULNERABILIDADE</w:t>
      </w:r>
      <w:bookmarkEnd w:id="64"/>
      <w:bookmarkEnd w:id="65"/>
      <w:bookmarkEnd w:id="66"/>
    </w:p>
    <w:p w14:paraId="176F6DC4" w14:textId="77777777" w:rsidR="00EE6892" w:rsidRDefault="00EE6892" w:rsidP="00EE6892">
      <w:pPr>
        <w:pStyle w:val="tier1Itext"/>
      </w:pPr>
      <w:r>
        <w:t>A</w:t>
      </w:r>
      <w:r w:rsidRPr="00420C5D">
        <w:t xml:space="preserve"> Resolução CONAMA n°</w:t>
      </w:r>
      <w:r>
        <w:t> </w:t>
      </w:r>
      <w:r w:rsidRPr="00420C5D">
        <w:t>398/2008</w:t>
      </w:r>
      <w:r>
        <w:t xml:space="preserve"> define como escopo da Análise de Vulnerabilidade a avaliação dos “</w:t>
      </w:r>
      <w:r w:rsidRPr="00623BB0">
        <w:rPr>
          <w:i/>
        </w:rPr>
        <w:t>efeitos dos incidentes de poluição por óleo sobre a segurança da vida humana e</w:t>
      </w:r>
      <w:r>
        <w:t xml:space="preserve"> (sobre) </w:t>
      </w:r>
      <w:r w:rsidRPr="00623BB0">
        <w:rPr>
          <w:i/>
        </w:rPr>
        <w:t xml:space="preserve">o meio ambiente, nas </w:t>
      </w:r>
      <w:r>
        <w:rPr>
          <w:i/>
        </w:rPr>
        <w:t xml:space="preserve">áreas </w:t>
      </w:r>
      <w:r w:rsidRPr="00623BB0">
        <w:rPr>
          <w:i/>
        </w:rPr>
        <w:t>passíveis de serem atingidas por estes incidentes</w:t>
      </w:r>
      <w:r>
        <w:t>”, devendo-se considerar:</w:t>
      </w:r>
    </w:p>
    <w:p w14:paraId="28D2A8AF" w14:textId="77777777" w:rsidR="00EE6892" w:rsidRDefault="00EE6892" w:rsidP="00EA2A77">
      <w:pPr>
        <w:pStyle w:val="tier1Itext"/>
        <w:keepLines w:val="0"/>
        <w:widowControl/>
        <w:numPr>
          <w:ilvl w:val="0"/>
          <w:numId w:val="27"/>
        </w:numPr>
        <w:tabs>
          <w:tab w:val="clear" w:pos="5529"/>
        </w:tabs>
        <w:spacing w:after="0"/>
        <w:ind w:left="714" w:hanging="357"/>
      </w:pPr>
      <w:r>
        <w:t>A probabilidade de o óleo atingir tais áreas, de acordo com os resultados da modelagem de dispersão do óleo, em particular para o volume de descarga de pior caso, na ausência de ações de contingência; e</w:t>
      </w:r>
    </w:p>
    <w:p w14:paraId="349E090F" w14:textId="77777777" w:rsidR="00EE6892" w:rsidRDefault="00EE6892" w:rsidP="00EA2A77">
      <w:pPr>
        <w:pStyle w:val="tier1Itext"/>
        <w:keepLines w:val="0"/>
        <w:widowControl/>
        <w:numPr>
          <w:ilvl w:val="0"/>
          <w:numId w:val="27"/>
        </w:numPr>
        <w:tabs>
          <w:tab w:val="clear" w:pos="5529"/>
        </w:tabs>
        <w:spacing w:before="0"/>
        <w:ind w:left="714" w:hanging="357"/>
      </w:pPr>
      <w:r>
        <w:t>A sensibilidade destas áreas ao óleo.</w:t>
      </w:r>
    </w:p>
    <w:p w14:paraId="2DCE42DE" w14:textId="77777777" w:rsidR="00EE6892" w:rsidRPr="00EE6892" w:rsidRDefault="00EE6892" w:rsidP="00EE6892">
      <w:pPr>
        <w:pStyle w:val="tier1Itext"/>
      </w:pPr>
      <w:r w:rsidRPr="00EE6892">
        <w:t xml:space="preserve">Com base nessas diretrizes, foi definida como ferramenta para a determinação da vulnerabilidade ambiental a matriz apresentada na </w:t>
      </w:r>
      <w:r w:rsidRPr="00EE6892">
        <w:fldChar w:fldCharType="begin"/>
      </w:r>
      <w:r w:rsidRPr="00EE6892">
        <w:instrText xml:space="preserve"> REF _Ref413333943 \h </w:instrText>
      </w:r>
      <w:r>
        <w:instrText xml:space="preserve"> \* MERGEFORMAT </w:instrText>
      </w:r>
      <w:r w:rsidRPr="00EE6892">
        <w:fldChar w:fldCharType="separate"/>
      </w:r>
      <w:r w:rsidR="00897470" w:rsidRPr="00897470">
        <w:rPr>
          <w:b/>
          <w:szCs w:val="22"/>
        </w:rPr>
        <w:t xml:space="preserve">Tabela </w:t>
      </w:r>
      <w:r w:rsidR="00897470" w:rsidRPr="00897470">
        <w:rPr>
          <w:b/>
          <w:noProof/>
          <w:szCs w:val="22"/>
        </w:rPr>
        <w:t>8</w:t>
      </w:r>
      <w:r w:rsidRPr="00EE6892">
        <w:fldChar w:fldCharType="end"/>
      </w:r>
      <w:r w:rsidRPr="00EE6892">
        <w:t>.</w:t>
      </w:r>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2261"/>
        <w:gridCol w:w="2260"/>
        <w:gridCol w:w="2260"/>
        <w:gridCol w:w="2260"/>
      </w:tblGrid>
      <w:tr w:rsidR="00EE6892" w:rsidRPr="00EE6892" w14:paraId="4B03D2FE" w14:textId="77777777" w:rsidTr="003B5BCC">
        <w:trPr>
          <w:trHeight w:val="283"/>
          <w:tblHeader/>
        </w:trPr>
        <w:tc>
          <w:tcPr>
            <w:tcW w:w="5000" w:type="pct"/>
            <w:gridSpan w:val="4"/>
            <w:shd w:val="clear" w:color="auto" w:fill="auto"/>
            <w:vAlign w:val="bottom"/>
          </w:tcPr>
          <w:p w14:paraId="5CE7FDE3" w14:textId="77777777" w:rsidR="00EE6892" w:rsidRPr="00EE6892" w:rsidRDefault="00EE6892" w:rsidP="00EE6892">
            <w:pPr>
              <w:spacing w:before="0" w:line="240" w:lineRule="auto"/>
              <w:rPr>
                <w:rFonts w:asciiTheme="majorHAnsi" w:hAnsiTheme="majorHAnsi" w:cs="Times New Roman"/>
                <w:b/>
                <w:color w:val="FFFFFF" w:themeColor="background1"/>
                <w:sz w:val="20"/>
                <w:szCs w:val="20"/>
                <w:lang w:eastAsia="pt-BR"/>
              </w:rPr>
            </w:pPr>
            <w:bookmarkStart w:id="67" w:name="_Ref413333943"/>
            <w:bookmarkStart w:id="68" w:name="_Toc414520084"/>
            <w:bookmarkStart w:id="69" w:name="_Toc523834040"/>
            <w:r w:rsidRPr="00EE6892">
              <w:rPr>
                <w:rFonts w:asciiTheme="majorHAnsi" w:hAnsiTheme="majorHAnsi"/>
                <w:b/>
                <w:sz w:val="20"/>
                <w:szCs w:val="20"/>
              </w:rPr>
              <w:t xml:space="preserve">Tabela </w:t>
            </w:r>
            <w:r w:rsidRPr="00EE6892">
              <w:rPr>
                <w:rFonts w:asciiTheme="majorHAnsi" w:hAnsiTheme="majorHAnsi"/>
                <w:b/>
                <w:sz w:val="20"/>
                <w:szCs w:val="20"/>
              </w:rPr>
              <w:fldChar w:fldCharType="begin"/>
            </w:r>
            <w:r w:rsidRPr="00EE6892">
              <w:rPr>
                <w:rFonts w:asciiTheme="majorHAnsi" w:hAnsiTheme="majorHAnsi"/>
                <w:b/>
                <w:sz w:val="20"/>
                <w:szCs w:val="20"/>
              </w:rPr>
              <w:instrText xml:space="preserve"> SEQ Tabela \* ARABIC </w:instrText>
            </w:r>
            <w:r w:rsidRPr="00EE6892">
              <w:rPr>
                <w:rFonts w:asciiTheme="majorHAnsi" w:hAnsiTheme="majorHAnsi"/>
                <w:b/>
                <w:sz w:val="20"/>
                <w:szCs w:val="20"/>
              </w:rPr>
              <w:fldChar w:fldCharType="separate"/>
            </w:r>
            <w:r w:rsidR="00897470">
              <w:rPr>
                <w:rFonts w:asciiTheme="majorHAnsi" w:hAnsiTheme="majorHAnsi"/>
                <w:b/>
                <w:noProof/>
                <w:sz w:val="20"/>
                <w:szCs w:val="20"/>
              </w:rPr>
              <w:t>8</w:t>
            </w:r>
            <w:r w:rsidRPr="00EE6892">
              <w:rPr>
                <w:rFonts w:asciiTheme="majorHAnsi" w:hAnsiTheme="majorHAnsi"/>
                <w:b/>
                <w:sz w:val="20"/>
                <w:szCs w:val="20"/>
              </w:rPr>
              <w:fldChar w:fldCharType="end"/>
            </w:r>
            <w:bookmarkEnd w:id="67"/>
            <w:r w:rsidRPr="00EE6892">
              <w:rPr>
                <w:rFonts w:asciiTheme="majorHAnsi" w:hAnsiTheme="majorHAnsi"/>
                <w:b/>
                <w:sz w:val="20"/>
                <w:szCs w:val="20"/>
              </w:rPr>
              <w:t>: Critérios para a avaliação da vulnerabilidade ambiental.</w:t>
            </w:r>
            <w:bookmarkEnd w:id="68"/>
            <w:bookmarkEnd w:id="69"/>
          </w:p>
        </w:tc>
      </w:tr>
      <w:tr w:rsidR="00EE6892" w:rsidRPr="00EE6892" w14:paraId="30BFEFD5" w14:textId="77777777" w:rsidTr="003B5BCC">
        <w:trPr>
          <w:trHeight w:val="400"/>
          <w:tblHeader/>
        </w:trPr>
        <w:tc>
          <w:tcPr>
            <w:tcW w:w="1250" w:type="pct"/>
            <w:vMerge w:val="restart"/>
            <w:shd w:val="clear" w:color="auto" w:fill="1F497D"/>
            <w:vAlign w:val="center"/>
          </w:tcPr>
          <w:p w14:paraId="6CC238D5"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Sensibilidade</w:t>
            </w:r>
          </w:p>
        </w:tc>
        <w:tc>
          <w:tcPr>
            <w:tcW w:w="3750" w:type="pct"/>
            <w:gridSpan w:val="3"/>
            <w:shd w:val="clear" w:color="auto" w:fill="1F497D"/>
            <w:vAlign w:val="center"/>
          </w:tcPr>
          <w:p w14:paraId="720B260F"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Probabilidade</w:t>
            </w:r>
          </w:p>
        </w:tc>
      </w:tr>
      <w:tr w:rsidR="00EE6892" w:rsidRPr="00EE6892" w14:paraId="2F560F38" w14:textId="77777777" w:rsidTr="003B5BCC">
        <w:trPr>
          <w:trHeight w:val="400"/>
          <w:tblHeader/>
        </w:trPr>
        <w:tc>
          <w:tcPr>
            <w:tcW w:w="1250" w:type="pct"/>
            <w:vMerge/>
            <w:shd w:val="clear" w:color="auto" w:fill="1F497D"/>
            <w:vAlign w:val="center"/>
          </w:tcPr>
          <w:p w14:paraId="4E6084E3"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p>
        </w:tc>
        <w:tc>
          <w:tcPr>
            <w:tcW w:w="1250" w:type="pct"/>
            <w:shd w:val="clear" w:color="auto" w:fill="1F497D"/>
            <w:vAlign w:val="center"/>
          </w:tcPr>
          <w:p w14:paraId="67D6CF61"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Baixa (&lt; 30%)</w:t>
            </w:r>
          </w:p>
        </w:tc>
        <w:tc>
          <w:tcPr>
            <w:tcW w:w="1250" w:type="pct"/>
            <w:shd w:val="clear" w:color="auto" w:fill="1F497D"/>
            <w:vAlign w:val="center"/>
          </w:tcPr>
          <w:p w14:paraId="36DEB10D"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Média (30 – 70%)</w:t>
            </w:r>
          </w:p>
        </w:tc>
        <w:tc>
          <w:tcPr>
            <w:tcW w:w="1250" w:type="pct"/>
            <w:shd w:val="clear" w:color="auto" w:fill="1F497D"/>
            <w:vAlign w:val="center"/>
          </w:tcPr>
          <w:p w14:paraId="183B2062" w14:textId="77777777" w:rsidR="00EE6892" w:rsidRPr="00EE6892" w:rsidRDefault="00EE6892" w:rsidP="00EE6892">
            <w:pPr>
              <w:spacing w:before="0" w:line="240" w:lineRule="auto"/>
              <w:jc w:val="center"/>
              <w:rPr>
                <w:rFonts w:asciiTheme="majorHAnsi" w:hAnsiTheme="majorHAnsi" w:cs="Times New Roman"/>
                <w:b/>
                <w:color w:val="FFFFFF" w:themeColor="background1"/>
                <w:sz w:val="20"/>
                <w:szCs w:val="20"/>
                <w:lang w:eastAsia="pt-BR"/>
              </w:rPr>
            </w:pPr>
            <w:r w:rsidRPr="00EE6892">
              <w:rPr>
                <w:rFonts w:asciiTheme="majorHAnsi" w:hAnsiTheme="majorHAnsi" w:cs="Times New Roman"/>
                <w:b/>
                <w:color w:val="FFFFFF" w:themeColor="background1"/>
                <w:sz w:val="20"/>
                <w:szCs w:val="20"/>
                <w:lang w:eastAsia="pt-BR"/>
              </w:rPr>
              <w:t>Alta (&gt; 70%)</w:t>
            </w:r>
          </w:p>
        </w:tc>
      </w:tr>
      <w:tr w:rsidR="00EE6892" w:rsidRPr="00EE6892" w14:paraId="5693951B" w14:textId="77777777" w:rsidTr="003B5BCC">
        <w:trPr>
          <w:trHeight w:val="340"/>
        </w:trPr>
        <w:tc>
          <w:tcPr>
            <w:tcW w:w="1250" w:type="pct"/>
            <w:shd w:val="clear" w:color="auto" w:fill="D9D9D9" w:themeFill="background1" w:themeFillShade="D9"/>
            <w:vAlign w:val="center"/>
          </w:tcPr>
          <w:p w14:paraId="139292FD" w14:textId="77777777" w:rsidR="00EE6892" w:rsidRPr="00EE6892" w:rsidRDefault="00EE6892" w:rsidP="00EE6892">
            <w:pPr>
              <w:pStyle w:val="tier1Itext"/>
              <w:spacing w:before="0" w:after="0" w:line="240" w:lineRule="auto"/>
              <w:jc w:val="center"/>
              <w:rPr>
                <w:sz w:val="20"/>
                <w:szCs w:val="20"/>
              </w:rPr>
            </w:pPr>
            <w:r w:rsidRPr="00EE6892">
              <w:rPr>
                <w:sz w:val="20"/>
                <w:szCs w:val="20"/>
              </w:rPr>
              <w:t>Baixa</w:t>
            </w:r>
          </w:p>
        </w:tc>
        <w:tc>
          <w:tcPr>
            <w:tcW w:w="1250" w:type="pct"/>
            <w:shd w:val="clear" w:color="auto" w:fill="92D050"/>
            <w:vAlign w:val="center"/>
          </w:tcPr>
          <w:p w14:paraId="791DBDDC" w14:textId="77777777" w:rsidR="00EE6892" w:rsidRPr="00EE6892" w:rsidRDefault="00EE6892" w:rsidP="00EE6892">
            <w:pPr>
              <w:pStyle w:val="tier1Itext"/>
              <w:spacing w:before="0" w:after="0" w:line="240" w:lineRule="auto"/>
              <w:jc w:val="center"/>
              <w:rPr>
                <w:sz w:val="20"/>
                <w:szCs w:val="20"/>
              </w:rPr>
            </w:pPr>
            <w:r w:rsidRPr="00EE6892">
              <w:rPr>
                <w:sz w:val="20"/>
                <w:szCs w:val="20"/>
              </w:rPr>
              <w:t>BAIXA</w:t>
            </w:r>
          </w:p>
        </w:tc>
        <w:tc>
          <w:tcPr>
            <w:tcW w:w="1250" w:type="pct"/>
            <w:shd w:val="clear" w:color="auto" w:fill="FFFF00"/>
            <w:vAlign w:val="center"/>
          </w:tcPr>
          <w:p w14:paraId="0509ABD8"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5F1227F4"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r>
      <w:tr w:rsidR="00EE6892" w:rsidRPr="00EE6892" w14:paraId="505E5D58" w14:textId="77777777" w:rsidTr="003B5BCC">
        <w:trPr>
          <w:trHeight w:val="340"/>
        </w:trPr>
        <w:tc>
          <w:tcPr>
            <w:tcW w:w="1250" w:type="pct"/>
            <w:shd w:val="clear" w:color="auto" w:fill="D9D9D9" w:themeFill="background1" w:themeFillShade="D9"/>
            <w:vAlign w:val="center"/>
          </w:tcPr>
          <w:p w14:paraId="76CC0200"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0B75A800"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FF00"/>
            <w:vAlign w:val="center"/>
          </w:tcPr>
          <w:p w14:paraId="3BBAADFD"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0000"/>
            <w:vAlign w:val="center"/>
          </w:tcPr>
          <w:p w14:paraId="03B1A046"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r>
      <w:tr w:rsidR="00EE6892" w:rsidRPr="00EE6892" w14:paraId="601C5DFF" w14:textId="77777777" w:rsidTr="003B5BCC">
        <w:trPr>
          <w:trHeight w:val="340"/>
        </w:trPr>
        <w:tc>
          <w:tcPr>
            <w:tcW w:w="1250" w:type="pct"/>
            <w:shd w:val="clear" w:color="auto" w:fill="D9D9D9" w:themeFill="background1" w:themeFillShade="D9"/>
            <w:vAlign w:val="center"/>
          </w:tcPr>
          <w:p w14:paraId="4F2FD07C"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c>
          <w:tcPr>
            <w:tcW w:w="1250" w:type="pct"/>
            <w:shd w:val="clear" w:color="auto" w:fill="FFFF00"/>
            <w:vAlign w:val="center"/>
          </w:tcPr>
          <w:p w14:paraId="785E04E1" w14:textId="77777777" w:rsidR="00EE6892" w:rsidRPr="00EE6892" w:rsidRDefault="00EE6892" w:rsidP="00EE6892">
            <w:pPr>
              <w:pStyle w:val="tier1Itext"/>
              <w:spacing w:before="0" w:after="0" w:line="240" w:lineRule="auto"/>
              <w:jc w:val="center"/>
              <w:rPr>
                <w:sz w:val="20"/>
                <w:szCs w:val="20"/>
              </w:rPr>
            </w:pPr>
            <w:r w:rsidRPr="00EE6892">
              <w:rPr>
                <w:sz w:val="20"/>
                <w:szCs w:val="20"/>
              </w:rPr>
              <w:t>MÉDIA</w:t>
            </w:r>
          </w:p>
        </w:tc>
        <w:tc>
          <w:tcPr>
            <w:tcW w:w="1250" w:type="pct"/>
            <w:shd w:val="clear" w:color="auto" w:fill="FF0000"/>
            <w:vAlign w:val="center"/>
          </w:tcPr>
          <w:p w14:paraId="49EE11CA"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c>
          <w:tcPr>
            <w:tcW w:w="1250" w:type="pct"/>
            <w:shd w:val="clear" w:color="auto" w:fill="FF0000"/>
            <w:vAlign w:val="center"/>
          </w:tcPr>
          <w:p w14:paraId="4D2D5B82" w14:textId="77777777" w:rsidR="00EE6892" w:rsidRPr="00EE6892" w:rsidRDefault="00EE6892" w:rsidP="00EE6892">
            <w:pPr>
              <w:pStyle w:val="tier1Itext"/>
              <w:spacing w:before="0" w:after="0" w:line="240" w:lineRule="auto"/>
              <w:jc w:val="center"/>
              <w:rPr>
                <w:sz w:val="20"/>
                <w:szCs w:val="20"/>
              </w:rPr>
            </w:pPr>
            <w:r w:rsidRPr="00EE6892">
              <w:rPr>
                <w:sz w:val="20"/>
                <w:szCs w:val="20"/>
              </w:rPr>
              <w:t>ALTA</w:t>
            </w:r>
          </w:p>
        </w:tc>
      </w:tr>
    </w:tbl>
    <w:p w14:paraId="3B4EDC53" w14:textId="77777777" w:rsidR="00EE6892" w:rsidRDefault="00EE6892" w:rsidP="00EE6892">
      <w:pPr>
        <w:pStyle w:val="tier1Itext"/>
        <w:spacing w:before="360"/>
      </w:pPr>
      <w:r>
        <w:t>Para a análise da vulnerabilidade das áreas passíveis de serem atingidas por um eventual incidente de poluição por óleo, decorrente das atividades da BP Energy no Bloco FZA-M-59, foram utilizados os dados do Diagnóstico Ambiental do EIA, e os resultados das modelagens de dispersão de óleo para os cenários acidentais descritos no item </w:t>
      </w:r>
      <w:r>
        <w:fldChar w:fldCharType="begin"/>
      </w:r>
      <w:r>
        <w:instrText xml:space="preserve"> REF _Ref414525557 \r \h </w:instrText>
      </w:r>
      <w:r>
        <w:fldChar w:fldCharType="separate"/>
      </w:r>
      <w:r w:rsidR="00897470">
        <w:t>3</w:t>
      </w:r>
      <w:r>
        <w:fldChar w:fldCharType="end"/>
      </w:r>
      <w:r>
        <w:t>.</w:t>
      </w:r>
    </w:p>
    <w:p w14:paraId="5B672A14" w14:textId="1E7525F5" w:rsidR="00EE6892" w:rsidRDefault="00EE6892" w:rsidP="00EE6892">
      <w:pPr>
        <w:pStyle w:val="tier1Itext"/>
      </w:pPr>
      <w:r>
        <w:t xml:space="preserve">Nestas simulações foram considerados os parâmetros hidrodinâmicos regionais, nas condições sazonais de verão e </w:t>
      </w:r>
      <w:r w:rsidRPr="00E9093F">
        <w:t xml:space="preserve">inverno, e as características do </w:t>
      </w:r>
      <w:r w:rsidR="00642786" w:rsidRPr="00E9093F">
        <w:t>derramamento</w:t>
      </w:r>
      <w:r w:rsidRPr="00E9093F">
        <w:t xml:space="preserve">, para os 03 (três) potenciais volumes de descarga: pequena, média e de pior caso. </w:t>
      </w:r>
      <w:r w:rsidR="00460D2A" w:rsidRPr="00E9093F">
        <w:t xml:space="preserve">A informação sobre o relatório </w:t>
      </w:r>
      <w:r w:rsidRPr="00E9093F">
        <w:t>da Modelagem de Dispersão de Óleo</w:t>
      </w:r>
      <w:r w:rsidR="00460D2A" w:rsidRPr="00E9093F">
        <w:t>, onde podem ser vistos os resultados que suportam a análise feita,</w:t>
      </w:r>
      <w:r w:rsidRPr="00E9093F">
        <w:t xml:space="preserve"> </w:t>
      </w:r>
      <w:r w:rsidR="00460D2A" w:rsidRPr="00E9093F">
        <w:t xml:space="preserve">é </w:t>
      </w:r>
      <w:r w:rsidRPr="00E9093F">
        <w:t>apresentad</w:t>
      </w:r>
      <w:r w:rsidR="008914EB" w:rsidRPr="00E9093F">
        <w:t>a</w:t>
      </w:r>
      <w:r w:rsidRPr="00E9093F">
        <w:t xml:space="preserve"> no</w:t>
      </w:r>
      <w:r w:rsidR="00AA3B10" w:rsidRPr="00E9093F">
        <w:t xml:space="preserve"> </w:t>
      </w:r>
      <w:r w:rsidR="00AA3B10" w:rsidRPr="00E9093F">
        <w:rPr>
          <w:b/>
        </w:rPr>
        <w:t xml:space="preserve">ANEXO </w:t>
      </w:r>
      <w:r w:rsidR="00FA49B6" w:rsidRPr="00E9093F">
        <w:rPr>
          <w:b/>
        </w:rPr>
        <w:t>B</w:t>
      </w:r>
      <w:r w:rsidRPr="00E9093F">
        <w:t>.</w:t>
      </w:r>
    </w:p>
    <w:p w14:paraId="1FC61783" w14:textId="77777777" w:rsidR="00EE6892" w:rsidRDefault="00EE6892" w:rsidP="00EE6892">
      <w:pPr>
        <w:pStyle w:val="tier1Itext"/>
      </w:pPr>
      <w:r>
        <w:t>No que diz respeito à avaliação da sensibilidade das áreas passíveis de serem atingidas por óleo, a Resolução CONAMA n° 398/2008 também determina a necessidade de avaliação da vulnerabilidade, quando aplicável, de:</w:t>
      </w:r>
    </w:p>
    <w:p w14:paraId="0D80B2B1" w14:textId="77777777" w:rsidR="00EE6892" w:rsidRDefault="00EE6892" w:rsidP="00EA2A77">
      <w:pPr>
        <w:pStyle w:val="tier1Itext"/>
        <w:keepLines w:val="0"/>
        <w:widowControl/>
        <w:numPr>
          <w:ilvl w:val="0"/>
          <w:numId w:val="28"/>
        </w:numPr>
        <w:tabs>
          <w:tab w:val="clear" w:pos="5529"/>
        </w:tabs>
        <w:spacing w:after="0"/>
        <w:ind w:left="714" w:hanging="357"/>
      </w:pPr>
      <w:r>
        <w:t>Pontos de captação de água;</w:t>
      </w:r>
    </w:p>
    <w:p w14:paraId="1D53E953"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Áreas residenciais, de recreação e outras concentrações humanas;</w:t>
      </w:r>
    </w:p>
    <w:p w14:paraId="372AD165"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lastRenderedPageBreak/>
        <w:t>Áreas ecologicamente sensíveis tais como manguezais, bancos de corais, áreas inundáveis, estuários, locais de desova, nidificação, reprodução, alimentação de espécies silvestres locais e migratórias</w:t>
      </w:r>
      <w:r>
        <w:t xml:space="preserve"> etc.;</w:t>
      </w:r>
    </w:p>
    <w:p w14:paraId="00AFEB08"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t>Fauna e flora locais;</w:t>
      </w:r>
    </w:p>
    <w:p w14:paraId="77D8557D"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Áreas de im</w:t>
      </w:r>
      <w:r>
        <w:t>portância socioeconômica;</w:t>
      </w:r>
    </w:p>
    <w:p w14:paraId="41549678" w14:textId="77777777" w:rsidR="00EE6892" w:rsidRPr="00E93BAC" w:rsidRDefault="00EE6892" w:rsidP="00EA2A77">
      <w:pPr>
        <w:pStyle w:val="tier1Itext"/>
        <w:keepLines w:val="0"/>
        <w:widowControl/>
        <w:numPr>
          <w:ilvl w:val="0"/>
          <w:numId w:val="28"/>
        </w:numPr>
        <w:tabs>
          <w:tab w:val="clear" w:pos="5529"/>
        </w:tabs>
        <w:spacing w:before="0" w:after="0"/>
        <w:ind w:left="714" w:hanging="357"/>
      </w:pPr>
      <w:r w:rsidRPr="00E93BAC">
        <w:t>Rotas de transporte aquavi</w:t>
      </w:r>
      <w:r>
        <w:t>ário, rodoviário e ferroviário; e</w:t>
      </w:r>
    </w:p>
    <w:p w14:paraId="651D5AEC" w14:textId="77777777" w:rsidR="00EE6892" w:rsidRPr="00E93BAC" w:rsidRDefault="00EE6892" w:rsidP="00EA2A77">
      <w:pPr>
        <w:pStyle w:val="tier1Itext"/>
        <w:keepLines w:val="0"/>
        <w:widowControl/>
        <w:numPr>
          <w:ilvl w:val="0"/>
          <w:numId w:val="28"/>
        </w:numPr>
        <w:tabs>
          <w:tab w:val="clear" w:pos="5529"/>
        </w:tabs>
        <w:spacing w:before="0"/>
        <w:ind w:left="714" w:hanging="357"/>
      </w:pPr>
      <w:r w:rsidRPr="00E93BAC">
        <w:t>Unidades de conservação, terras indígenas, sítios arqueológicos, áreas tomba</w:t>
      </w:r>
      <w:r>
        <w:t>das e comunidades tradicionais.</w:t>
      </w:r>
    </w:p>
    <w:p w14:paraId="32360E11" w14:textId="77777777" w:rsidR="00EE6892" w:rsidRDefault="00EE6892" w:rsidP="00AA3B10">
      <w:pPr>
        <w:pStyle w:val="tier1Itext"/>
        <w:rPr>
          <w:bCs/>
          <w:iCs/>
          <w:noProof/>
        </w:rPr>
      </w:pPr>
      <w:r w:rsidRPr="00064814">
        <w:rPr>
          <w:bCs/>
          <w:iCs/>
          <w:noProof/>
        </w:rPr>
        <w:t xml:space="preserve">De acordo com a modelagem de dispersão de óleo, no entanto, as áreas passíveis de serem atingidas por uma descarga de pior caso incluem apenas áreas oceânicas da região Norte do Brasil, sem probabilidade de toque de óleo na costa. </w:t>
      </w:r>
      <w:r>
        <w:rPr>
          <w:bCs/>
          <w:iCs/>
          <w:noProof/>
        </w:rPr>
        <w:t>Ou seja</w:t>
      </w:r>
      <w:r w:rsidRPr="00064814">
        <w:rPr>
          <w:bCs/>
          <w:iCs/>
          <w:noProof/>
        </w:rPr>
        <w:t xml:space="preserve">, componentes costeiros, </w:t>
      </w:r>
      <w:r>
        <w:rPr>
          <w:bCs/>
          <w:iCs/>
          <w:noProof/>
        </w:rPr>
        <w:t xml:space="preserve">como unidades de conservação, áreas utilizadas para a pesca artesanal e ambientes costeiros ecologicamente sensíveis, </w:t>
      </w:r>
      <w:r w:rsidRPr="00064814">
        <w:rPr>
          <w:bCs/>
          <w:iCs/>
          <w:noProof/>
        </w:rPr>
        <w:t>não estariam vulneráveis a um eventual incidente com derramamento de óleo no mar.</w:t>
      </w:r>
    </w:p>
    <w:p w14:paraId="5EC65F17" w14:textId="77777777" w:rsidR="00EE6892" w:rsidRDefault="00EE6892" w:rsidP="00AA3B10">
      <w:pPr>
        <w:pStyle w:val="tier1Itext"/>
        <w:rPr>
          <w:bCs/>
          <w:iCs/>
          <w:noProof/>
        </w:rPr>
      </w:pPr>
      <w:r>
        <w:rPr>
          <w:bCs/>
          <w:iCs/>
          <w:noProof/>
          <w:szCs w:val="22"/>
        </w:rPr>
        <w:t xml:space="preserve">Além disso, de acordo com o Macrodiagnóstico da Zona Econômica Exclusiva (MMA, 2008), as principais rotas comerciais de navegação </w:t>
      </w:r>
      <w:r w:rsidRPr="005D7184">
        <w:rPr>
          <w:bCs/>
          <w:iCs/>
          <w:noProof/>
          <w:szCs w:val="22"/>
        </w:rPr>
        <w:t>com destino ou provenientes do Porto de Belém</w:t>
      </w:r>
      <w:r>
        <w:rPr>
          <w:bCs/>
          <w:iCs/>
          <w:noProof/>
          <w:szCs w:val="22"/>
        </w:rPr>
        <w:t xml:space="preserve"> são realizadas em profundidades e distâncias da costa inferiores às da área potencialmente atingida por um </w:t>
      </w:r>
      <w:r w:rsidR="00642786">
        <w:rPr>
          <w:bCs/>
          <w:iCs/>
          <w:noProof/>
          <w:szCs w:val="22"/>
        </w:rPr>
        <w:t>derramamento</w:t>
      </w:r>
      <w:r>
        <w:rPr>
          <w:bCs/>
          <w:iCs/>
          <w:noProof/>
          <w:szCs w:val="22"/>
        </w:rPr>
        <w:t xml:space="preserve"> de pior caso. Desta forma, as rotas de navegação também não estariam vulneráveis </w:t>
      </w:r>
      <w:r w:rsidRPr="00064814">
        <w:rPr>
          <w:bCs/>
          <w:iCs/>
          <w:noProof/>
        </w:rPr>
        <w:t>a um eventual incidente</w:t>
      </w:r>
      <w:r>
        <w:rPr>
          <w:bCs/>
          <w:iCs/>
          <w:noProof/>
        </w:rPr>
        <w:t xml:space="preserve"> desta natureza</w:t>
      </w:r>
      <w:r>
        <w:rPr>
          <w:bCs/>
          <w:iCs/>
          <w:noProof/>
          <w:szCs w:val="22"/>
        </w:rPr>
        <w:t>.</w:t>
      </w:r>
    </w:p>
    <w:p w14:paraId="7B3AE90B" w14:textId="5A99364B" w:rsidR="00EE6892" w:rsidRPr="00AA3B10" w:rsidRDefault="00EE6892" w:rsidP="00AA3B10">
      <w:pPr>
        <w:pStyle w:val="tier1Itext"/>
        <w:rPr>
          <w:bCs/>
          <w:iCs/>
          <w:noProof/>
          <w:szCs w:val="22"/>
        </w:rPr>
      </w:pPr>
      <w:r w:rsidRPr="00AA3B10">
        <w:rPr>
          <w:szCs w:val="22"/>
        </w:rPr>
        <w:t>Partindo dessas premissas</w:t>
      </w:r>
      <w:r w:rsidRPr="00AA3B10">
        <w:rPr>
          <w:bCs/>
          <w:iCs/>
          <w:noProof/>
          <w:szCs w:val="22"/>
        </w:rPr>
        <w:t>, essa Análise de Vulnerabilidade considerou para aplicação d</w:t>
      </w:r>
      <w:r w:rsidRPr="00AA3B10">
        <w:rPr>
          <w:szCs w:val="22"/>
        </w:rPr>
        <w:t xml:space="preserve">a matriz apresentada na </w:t>
      </w:r>
      <w:r w:rsidRPr="00AA3B10">
        <w:rPr>
          <w:szCs w:val="22"/>
        </w:rPr>
        <w:fldChar w:fldCharType="begin"/>
      </w:r>
      <w:r w:rsidRPr="00AA3B10">
        <w:rPr>
          <w:szCs w:val="22"/>
        </w:rPr>
        <w:instrText xml:space="preserve"> REF _Ref413333943 \h </w:instrText>
      </w:r>
      <w:r w:rsidR="00AA3B10">
        <w:rPr>
          <w:szCs w:val="22"/>
        </w:rPr>
        <w:instrText xml:space="preserve"> \* MERGEFORMAT </w:instrText>
      </w:r>
      <w:r w:rsidRPr="00AA3B10">
        <w:rPr>
          <w:szCs w:val="22"/>
        </w:rPr>
      </w:r>
      <w:r w:rsidRPr="00AA3B10">
        <w:rPr>
          <w:szCs w:val="22"/>
        </w:rPr>
        <w:fldChar w:fldCharType="separate"/>
      </w:r>
      <w:r w:rsidR="00897470" w:rsidRPr="00897470">
        <w:rPr>
          <w:b/>
          <w:szCs w:val="22"/>
        </w:rPr>
        <w:t xml:space="preserve">Tabela </w:t>
      </w:r>
      <w:r w:rsidR="00897470" w:rsidRPr="00897470">
        <w:rPr>
          <w:b/>
          <w:noProof/>
          <w:szCs w:val="22"/>
        </w:rPr>
        <w:t>8</w:t>
      </w:r>
      <w:r w:rsidRPr="00AA3B10">
        <w:rPr>
          <w:szCs w:val="22"/>
        </w:rPr>
        <w:fldChar w:fldCharType="end"/>
      </w:r>
      <w:r w:rsidRPr="00AA3B10">
        <w:rPr>
          <w:szCs w:val="22"/>
        </w:rPr>
        <w:t xml:space="preserve">, </w:t>
      </w:r>
      <w:r w:rsidRPr="00AA3B10">
        <w:rPr>
          <w:bCs/>
          <w:iCs/>
          <w:noProof/>
          <w:szCs w:val="22"/>
        </w:rPr>
        <w:t>apenas os elementos da fauna marinha potencialmente impactados, visto que não foram identificados representantes dos demais componentes ambientais relevantes descritos pela Resolução CONAMA n° 398/2008 na região (como bancos submarinos, ilhas oceânicas</w:t>
      </w:r>
      <w:r w:rsidR="00153F3F">
        <w:rPr>
          <w:bCs/>
          <w:iCs/>
          <w:noProof/>
          <w:szCs w:val="22"/>
        </w:rPr>
        <w:t>, recifes biogênicos submersos</w:t>
      </w:r>
      <w:r w:rsidRPr="00AA3B10">
        <w:rPr>
          <w:bCs/>
          <w:iCs/>
          <w:noProof/>
          <w:szCs w:val="22"/>
        </w:rPr>
        <w:t xml:space="preserve"> ou unidades de conservação marinhas). Os resultados obtidos a partir da aplicação da matriz são </w:t>
      </w:r>
      <w:r w:rsidRPr="00AA3B10">
        <w:rPr>
          <w:szCs w:val="22"/>
        </w:rPr>
        <w:t xml:space="preserve">brevemente apresentados </w:t>
      </w:r>
      <w:r w:rsidRPr="00F73874">
        <w:rPr>
          <w:szCs w:val="22"/>
        </w:rPr>
        <w:t>na</w:t>
      </w:r>
      <w:r w:rsidR="00F73874" w:rsidRPr="00F73874">
        <w:rPr>
          <w:szCs w:val="22"/>
        </w:rPr>
        <w:t xml:space="preserve"> </w:t>
      </w:r>
      <w:r w:rsidR="00F73874" w:rsidRPr="00F73874">
        <w:rPr>
          <w:szCs w:val="22"/>
        </w:rPr>
        <w:fldChar w:fldCharType="begin"/>
      </w:r>
      <w:r w:rsidR="00F73874" w:rsidRPr="00F73874">
        <w:rPr>
          <w:szCs w:val="22"/>
        </w:rPr>
        <w:instrText xml:space="preserve"> REF _Ref415472288 \h </w:instrText>
      </w:r>
      <w:r w:rsidR="00F73874">
        <w:rPr>
          <w:szCs w:val="22"/>
        </w:rPr>
        <w:instrText xml:space="preserve"> \* MERGEFORMAT </w:instrText>
      </w:r>
      <w:r w:rsidR="00F73874" w:rsidRPr="00F73874">
        <w:rPr>
          <w:szCs w:val="22"/>
        </w:rPr>
      </w:r>
      <w:r w:rsidR="00F73874" w:rsidRPr="00F73874">
        <w:rPr>
          <w:szCs w:val="22"/>
        </w:rPr>
        <w:fldChar w:fldCharType="separate"/>
      </w:r>
      <w:r w:rsidR="00897470" w:rsidRPr="00897470">
        <w:rPr>
          <w:b/>
          <w:szCs w:val="22"/>
        </w:rPr>
        <w:t xml:space="preserve">Tabela </w:t>
      </w:r>
      <w:r w:rsidR="00897470" w:rsidRPr="00897470">
        <w:rPr>
          <w:b/>
          <w:noProof/>
          <w:szCs w:val="22"/>
        </w:rPr>
        <w:t>9</w:t>
      </w:r>
      <w:r w:rsidR="00F73874" w:rsidRPr="00F73874">
        <w:rPr>
          <w:szCs w:val="22"/>
        </w:rPr>
        <w:fldChar w:fldCharType="end"/>
      </w:r>
      <w:r w:rsidRPr="00F73874">
        <w:rPr>
          <w:szCs w:val="22"/>
        </w:rPr>
        <w:t>, a</w:t>
      </w:r>
      <w:r w:rsidRPr="00AA3B10">
        <w:rPr>
          <w:szCs w:val="22"/>
        </w:rPr>
        <w:t xml:space="preserve"> seguir.</w:t>
      </w:r>
    </w:p>
    <w:p w14:paraId="4F29D9E7" w14:textId="77777777" w:rsidR="00121F26" w:rsidRDefault="00121F26" w:rsidP="00121F26">
      <w:pPr>
        <w:pStyle w:val="tier1Itext"/>
      </w:pPr>
      <w:bookmarkStart w:id="70" w:name="_Ref413337126"/>
      <w:bookmarkStart w:id="71" w:name="_Toc414520085"/>
      <w:r>
        <w:rPr>
          <w:rFonts w:eastAsiaTheme="minorEastAsia"/>
        </w:rPr>
        <w:br w:type="page"/>
      </w:r>
    </w:p>
    <w:tbl>
      <w:tblPr>
        <w:tblStyle w:val="TableGrid"/>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4A0" w:firstRow="1" w:lastRow="0" w:firstColumn="1" w:lastColumn="0" w:noHBand="0" w:noVBand="1"/>
      </w:tblPr>
      <w:tblGrid>
        <w:gridCol w:w="3127"/>
        <w:gridCol w:w="1953"/>
        <w:gridCol w:w="1023"/>
        <w:gridCol w:w="971"/>
        <w:gridCol w:w="1967"/>
      </w:tblGrid>
      <w:tr w:rsidR="00EE6892" w:rsidRPr="00AA3B10" w14:paraId="2F2BD97D" w14:textId="77777777" w:rsidTr="003B5BCC">
        <w:trPr>
          <w:trHeight w:val="400"/>
          <w:tblHeader/>
        </w:trPr>
        <w:tc>
          <w:tcPr>
            <w:tcW w:w="5000" w:type="pct"/>
            <w:gridSpan w:val="5"/>
            <w:shd w:val="clear" w:color="auto" w:fill="auto"/>
            <w:vAlign w:val="bottom"/>
          </w:tcPr>
          <w:p w14:paraId="1E0B3639" w14:textId="65C845C7" w:rsidR="00EE6892" w:rsidRPr="00AA3B10" w:rsidRDefault="00EE6892" w:rsidP="00AA3B10">
            <w:pPr>
              <w:spacing w:before="0" w:line="240" w:lineRule="auto"/>
              <w:rPr>
                <w:rFonts w:asciiTheme="majorHAnsi" w:hAnsiTheme="majorHAnsi" w:cs="Times New Roman"/>
                <w:b/>
                <w:color w:val="FFFFFF" w:themeColor="background1"/>
                <w:sz w:val="20"/>
                <w:szCs w:val="20"/>
                <w:lang w:eastAsia="pt-BR"/>
              </w:rPr>
            </w:pPr>
            <w:bookmarkStart w:id="72" w:name="_Ref415472288"/>
            <w:bookmarkStart w:id="73" w:name="_Toc523834041"/>
            <w:r w:rsidRPr="00AA3B10">
              <w:rPr>
                <w:rFonts w:asciiTheme="majorHAnsi" w:hAnsiTheme="majorHAnsi"/>
                <w:b/>
                <w:sz w:val="20"/>
                <w:szCs w:val="20"/>
              </w:rPr>
              <w:lastRenderedPageBreak/>
              <w:t xml:space="preserve">Tabela </w:t>
            </w:r>
            <w:r w:rsidRPr="00AA3B10">
              <w:rPr>
                <w:rFonts w:asciiTheme="majorHAnsi" w:hAnsiTheme="majorHAnsi"/>
                <w:b/>
                <w:sz w:val="20"/>
                <w:szCs w:val="20"/>
              </w:rPr>
              <w:fldChar w:fldCharType="begin"/>
            </w:r>
            <w:r w:rsidRPr="00AA3B10">
              <w:rPr>
                <w:rFonts w:asciiTheme="majorHAnsi" w:hAnsiTheme="majorHAnsi"/>
                <w:b/>
                <w:sz w:val="20"/>
                <w:szCs w:val="20"/>
              </w:rPr>
              <w:instrText xml:space="preserve"> SEQ Tabela \* ARABIC </w:instrText>
            </w:r>
            <w:r w:rsidRPr="00AA3B10">
              <w:rPr>
                <w:rFonts w:asciiTheme="majorHAnsi" w:hAnsiTheme="majorHAnsi"/>
                <w:b/>
                <w:sz w:val="20"/>
                <w:szCs w:val="20"/>
              </w:rPr>
              <w:fldChar w:fldCharType="separate"/>
            </w:r>
            <w:r w:rsidR="00897470">
              <w:rPr>
                <w:rFonts w:asciiTheme="majorHAnsi" w:hAnsiTheme="majorHAnsi"/>
                <w:b/>
                <w:noProof/>
                <w:sz w:val="20"/>
                <w:szCs w:val="20"/>
              </w:rPr>
              <w:t>9</w:t>
            </w:r>
            <w:r w:rsidRPr="00AA3B10">
              <w:rPr>
                <w:rFonts w:asciiTheme="majorHAnsi" w:hAnsiTheme="majorHAnsi"/>
                <w:b/>
                <w:sz w:val="20"/>
                <w:szCs w:val="20"/>
              </w:rPr>
              <w:fldChar w:fldCharType="end"/>
            </w:r>
            <w:bookmarkEnd w:id="70"/>
            <w:bookmarkEnd w:id="72"/>
            <w:r w:rsidRPr="00AA3B10">
              <w:rPr>
                <w:rFonts w:asciiTheme="majorHAnsi" w:hAnsiTheme="majorHAnsi"/>
                <w:b/>
                <w:sz w:val="20"/>
                <w:szCs w:val="20"/>
              </w:rPr>
              <w:t xml:space="preserve">: Vulnerabilidade dos componentes ambientais potencialmente impactados no caso de um </w:t>
            </w:r>
            <w:r w:rsidR="00642786">
              <w:rPr>
                <w:rFonts w:asciiTheme="majorHAnsi" w:hAnsiTheme="majorHAnsi"/>
                <w:b/>
                <w:sz w:val="20"/>
                <w:szCs w:val="20"/>
              </w:rPr>
              <w:t>derramamento</w:t>
            </w:r>
            <w:r w:rsidRPr="00AA3B10">
              <w:rPr>
                <w:rFonts w:asciiTheme="majorHAnsi" w:hAnsiTheme="majorHAnsi"/>
                <w:b/>
                <w:sz w:val="20"/>
                <w:szCs w:val="20"/>
              </w:rPr>
              <w:t xml:space="preserve"> de óleo de pior caso em decorrência das atividades no Bloco FZA-M-59.</w:t>
            </w:r>
            <w:bookmarkEnd w:id="71"/>
            <w:bookmarkEnd w:id="73"/>
          </w:p>
        </w:tc>
      </w:tr>
      <w:tr w:rsidR="00EE6892" w:rsidRPr="00AA3B10" w14:paraId="2739E7E3" w14:textId="77777777" w:rsidTr="00121F26">
        <w:trPr>
          <w:trHeight w:val="400"/>
          <w:tblHeader/>
        </w:trPr>
        <w:tc>
          <w:tcPr>
            <w:tcW w:w="1729" w:type="pct"/>
            <w:shd w:val="clear" w:color="auto" w:fill="1F497D"/>
            <w:vAlign w:val="center"/>
          </w:tcPr>
          <w:p w14:paraId="40434D67"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Componente ambiental</w:t>
            </w:r>
          </w:p>
        </w:tc>
        <w:tc>
          <w:tcPr>
            <w:tcW w:w="1080" w:type="pct"/>
            <w:shd w:val="clear" w:color="auto" w:fill="1F497D"/>
            <w:vAlign w:val="center"/>
          </w:tcPr>
          <w:p w14:paraId="70FD3CB6"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Sensibilidade</w:t>
            </w:r>
          </w:p>
        </w:tc>
        <w:tc>
          <w:tcPr>
            <w:tcW w:w="1103" w:type="pct"/>
            <w:gridSpan w:val="2"/>
            <w:shd w:val="clear" w:color="auto" w:fill="1F497D"/>
            <w:vAlign w:val="center"/>
          </w:tcPr>
          <w:p w14:paraId="3E0EF938"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Probabilidade de alcance por óleo</w:t>
            </w:r>
          </w:p>
        </w:tc>
        <w:tc>
          <w:tcPr>
            <w:tcW w:w="1088" w:type="pct"/>
            <w:shd w:val="clear" w:color="auto" w:fill="1F497D"/>
            <w:vAlign w:val="center"/>
          </w:tcPr>
          <w:p w14:paraId="5F7BB0C9" w14:textId="77777777" w:rsidR="00EE6892" w:rsidRPr="00AA3B10" w:rsidRDefault="00EE6892" w:rsidP="00AA3B10">
            <w:pPr>
              <w:spacing w:before="0" w:line="240" w:lineRule="auto"/>
              <w:jc w:val="center"/>
              <w:rPr>
                <w:rFonts w:asciiTheme="majorHAnsi" w:hAnsiTheme="majorHAnsi" w:cs="Times New Roman"/>
                <w:b/>
                <w:color w:val="FFFFFF" w:themeColor="background1"/>
                <w:sz w:val="20"/>
                <w:szCs w:val="20"/>
                <w:lang w:eastAsia="pt-BR"/>
              </w:rPr>
            </w:pPr>
            <w:r w:rsidRPr="00AA3B10">
              <w:rPr>
                <w:rFonts w:asciiTheme="majorHAnsi" w:hAnsiTheme="majorHAnsi" w:cs="Times New Roman"/>
                <w:b/>
                <w:color w:val="FFFFFF" w:themeColor="background1"/>
                <w:sz w:val="20"/>
                <w:szCs w:val="20"/>
                <w:lang w:eastAsia="pt-BR"/>
              </w:rPr>
              <w:t>Vulnerabilidade</w:t>
            </w:r>
          </w:p>
        </w:tc>
      </w:tr>
      <w:tr w:rsidR="00EE6892" w:rsidRPr="00AA3B10" w14:paraId="17EBC3BA" w14:textId="77777777" w:rsidTr="00121F26">
        <w:trPr>
          <w:trHeight w:val="340"/>
        </w:trPr>
        <w:tc>
          <w:tcPr>
            <w:tcW w:w="1729" w:type="pct"/>
            <w:shd w:val="clear" w:color="auto" w:fill="D9D9D9" w:themeFill="background1" w:themeFillShade="D9"/>
            <w:vAlign w:val="center"/>
          </w:tcPr>
          <w:p w14:paraId="7381B346"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Plâncton</w:t>
            </w:r>
          </w:p>
          <w:p w14:paraId="51C76D07"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92D050"/>
            <w:vAlign w:val="center"/>
          </w:tcPr>
          <w:p w14:paraId="6AAE9542"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103" w:type="pct"/>
            <w:gridSpan w:val="2"/>
            <w:shd w:val="clear" w:color="auto" w:fill="FF0000"/>
            <w:vAlign w:val="center"/>
          </w:tcPr>
          <w:p w14:paraId="46A0FE83" w14:textId="77777777" w:rsidR="00EE6892" w:rsidRPr="00AA3B10" w:rsidRDefault="00EE6892" w:rsidP="00AA3B10">
            <w:pPr>
              <w:pStyle w:val="tier1Itext"/>
              <w:spacing w:before="0" w:after="0" w:line="240" w:lineRule="auto"/>
              <w:jc w:val="center"/>
              <w:rPr>
                <w:sz w:val="20"/>
                <w:szCs w:val="20"/>
              </w:rPr>
            </w:pPr>
            <w:r w:rsidRPr="00C74C44">
              <w:rPr>
                <w:color w:val="FFFFFF" w:themeColor="background1"/>
                <w:sz w:val="20"/>
                <w:szCs w:val="20"/>
              </w:rPr>
              <w:t>ALTA</w:t>
            </w:r>
          </w:p>
        </w:tc>
        <w:tc>
          <w:tcPr>
            <w:tcW w:w="1088" w:type="pct"/>
            <w:shd w:val="clear" w:color="auto" w:fill="FFFF00"/>
            <w:vAlign w:val="center"/>
          </w:tcPr>
          <w:p w14:paraId="2950B2E5"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1C5FF26D" w14:textId="77777777" w:rsidTr="00121F26">
        <w:trPr>
          <w:trHeight w:val="340"/>
        </w:trPr>
        <w:tc>
          <w:tcPr>
            <w:tcW w:w="1729" w:type="pct"/>
            <w:shd w:val="clear" w:color="auto" w:fill="D9D9D9" w:themeFill="background1" w:themeFillShade="D9"/>
            <w:vAlign w:val="center"/>
          </w:tcPr>
          <w:p w14:paraId="4AC06374"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Plâncton</w:t>
            </w:r>
          </w:p>
          <w:p w14:paraId="51B42B69"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92D050"/>
            <w:vAlign w:val="center"/>
          </w:tcPr>
          <w:p w14:paraId="07F245EC"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103" w:type="pct"/>
            <w:gridSpan w:val="2"/>
            <w:shd w:val="clear" w:color="auto" w:fill="92D050"/>
            <w:vAlign w:val="center"/>
          </w:tcPr>
          <w:p w14:paraId="74711BFD"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92D050"/>
            <w:vAlign w:val="center"/>
          </w:tcPr>
          <w:p w14:paraId="324BAE06"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r>
      <w:tr w:rsidR="00EE6892" w:rsidRPr="00AA3B10" w14:paraId="21CB1752" w14:textId="77777777" w:rsidTr="00121F26">
        <w:trPr>
          <w:trHeight w:val="340"/>
        </w:trPr>
        <w:tc>
          <w:tcPr>
            <w:tcW w:w="1729" w:type="pct"/>
            <w:shd w:val="clear" w:color="auto" w:fill="D9D9D9" w:themeFill="background1" w:themeFillShade="D9"/>
            <w:vAlign w:val="center"/>
          </w:tcPr>
          <w:p w14:paraId="27E3F5B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Bentos</w:t>
            </w:r>
          </w:p>
          <w:p w14:paraId="6F558D0C"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4010E7F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639FCA1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0417D82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36C9EC13" w14:textId="77777777" w:rsidTr="00121F26">
        <w:trPr>
          <w:trHeight w:val="340"/>
        </w:trPr>
        <w:tc>
          <w:tcPr>
            <w:tcW w:w="1729" w:type="pct"/>
            <w:shd w:val="clear" w:color="auto" w:fill="D9D9D9" w:themeFill="background1" w:themeFillShade="D9"/>
            <w:vAlign w:val="center"/>
          </w:tcPr>
          <w:p w14:paraId="074A7A8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Bentos</w:t>
            </w:r>
          </w:p>
          <w:p w14:paraId="4F4A9F46"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7CCD164B"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62DD4197"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5D2A31EB"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6B018263" w14:textId="77777777" w:rsidTr="00121F26">
        <w:trPr>
          <w:trHeight w:val="340"/>
        </w:trPr>
        <w:tc>
          <w:tcPr>
            <w:tcW w:w="1729" w:type="pct"/>
            <w:shd w:val="clear" w:color="auto" w:fill="D9D9D9" w:themeFill="background1" w:themeFillShade="D9"/>
            <w:vAlign w:val="center"/>
          </w:tcPr>
          <w:p w14:paraId="7B72575C"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Ictiofauna</w:t>
            </w:r>
          </w:p>
          <w:p w14:paraId="6C8E690B"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2E60B851"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4F8BD5DD"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4298625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14787293" w14:textId="77777777" w:rsidTr="00121F26">
        <w:trPr>
          <w:trHeight w:val="340"/>
        </w:trPr>
        <w:tc>
          <w:tcPr>
            <w:tcW w:w="1729" w:type="pct"/>
            <w:shd w:val="clear" w:color="auto" w:fill="D9D9D9" w:themeFill="background1" w:themeFillShade="D9"/>
            <w:vAlign w:val="center"/>
          </w:tcPr>
          <w:p w14:paraId="33F4078D"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Ictiofauna</w:t>
            </w:r>
          </w:p>
          <w:p w14:paraId="33D2822B"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2DD86C36"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62BC1D1F"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65B60F5E"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3539B6AF" w14:textId="77777777" w:rsidTr="00121F26">
        <w:trPr>
          <w:trHeight w:val="340"/>
        </w:trPr>
        <w:tc>
          <w:tcPr>
            <w:tcW w:w="1729" w:type="pct"/>
            <w:shd w:val="clear" w:color="auto" w:fill="D9D9D9" w:themeFill="background1" w:themeFillShade="D9"/>
            <w:vAlign w:val="center"/>
          </w:tcPr>
          <w:p w14:paraId="6BD03AAE"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Tartarugas Marinhas</w:t>
            </w:r>
          </w:p>
          <w:p w14:paraId="2E6817C7" w14:textId="77777777" w:rsidR="00EE6892" w:rsidRPr="00AA3B10" w:rsidRDefault="00EE6892" w:rsidP="00AA3B10">
            <w:pPr>
              <w:pStyle w:val="tier1Itext"/>
              <w:spacing w:before="0" w:after="0" w:line="240" w:lineRule="auto"/>
              <w:jc w:val="center"/>
              <w:rPr>
                <w:sz w:val="20"/>
                <w:szCs w:val="20"/>
              </w:rPr>
            </w:pPr>
            <w:r w:rsidRPr="00AA3B10">
              <w:rPr>
                <w:sz w:val="20"/>
                <w:szCs w:val="20"/>
              </w:rPr>
              <w:t xml:space="preserve">(na região adjacente à fonte do </w:t>
            </w:r>
            <w:r w:rsidR="00642786">
              <w:rPr>
                <w:sz w:val="20"/>
                <w:szCs w:val="20"/>
              </w:rPr>
              <w:t>derramamento</w:t>
            </w:r>
            <w:r w:rsidRPr="00AA3B10">
              <w:rPr>
                <w:sz w:val="20"/>
                <w:szCs w:val="20"/>
              </w:rPr>
              <w:t>)</w:t>
            </w:r>
          </w:p>
        </w:tc>
        <w:tc>
          <w:tcPr>
            <w:tcW w:w="1080" w:type="pct"/>
            <w:shd w:val="clear" w:color="auto" w:fill="FF0000"/>
            <w:vAlign w:val="center"/>
          </w:tcPr>
          <w:p w14:paraId="6A64FCCA"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566" w:type="pct"/>
            <w:shd w:val="clear" w:color="auto" w:fill="FFFF00"/>
            <w:vAlign w:val="center"/>
          </w:tcPr>
          <w:p w14:paraId="3F42C6DF" w14:textId="3B76DDD8" w:rsidR="00EE6892" w:rsidRPr="00AA3B10" w:rsidRDefault="00EE6892" w:rsidP="00153F3F">
            <w:pPr>
              <w:pStyle w:val="tier1Itext"/>
              <w:spacing w:before="0" w:after="0" w:line="240" w:lineRule="auto"/>
              <w:jc w:val="center"/>
              <w:rPr>
                <w:sz w:val="20"/>
                <w:szCs w:val="20"/>
              </w:rPr>
            </w:pPr>
            <w:r w:rsidRPr="00AA3B10">
              <w:rPr>
                <w:sz w:val="20"/>
                <w:szCs w:val="20"/>
              </w:rPr>
              <w:t>MÉDIA</w:t>
            </w:r>
            <w:r w:rsidR="00153F3F">
              <w:rPr>
                <w:sz w:val="20"/>
                <w:szCs w:val="20"/>
              </w:rPr>
              <w:t xml:space="preserve"> </w:t>
            </w:r>
            <w:r w:rsidR="00C74C44">
              <w:rPr>
                <w:sz w:val="20"/>
                <w:szCs w:val="20"/>
                <w:vertAlign w:val="superscript"/>
              </w:rPr>
              <w:t>1</w:t>
            </w:r>
          </w:p>
        </w:tc>
        <w:tc>
          <w:tcPr>
            <w:tcW w:w="537" w:type="pct"/>
            <w:shd w:val="clear" w:color="auto" w:fill="FF0000"/>
            <w:vAlign w:val="center"/>
          </w:tcPr>
          <w:p w14:paraId="7FD42BA7" w14:textId="01A0CFEC" w:rsidR="00EE6892" w:rsidRPr="00AA3B10" w:rsidRDefault="00153F3F" w:rsidP="00AA3B10">
            <w:pPr>
              <w:pStyle w:val="tier1Itext"/>
              <w:spacing w:before="0" w:after="0" w:line="240" w:lineRule="auto"/>
              <w:jc w:val="center"/>
              <w:rPr>
                <w:sz w:val="20"/>
                <w:szCs w:val="20"/>
              </w:rPr>
            </w:pPr>
            <w:r w:rsidRPr="00C74C44">
              <w:rPr>
                <w:color w:val="FFFFFF" w:themeColor="background1"/>
                <w:sz w:val="20"/>
                <w:szCs w:val="20"/>
              </w:rPr>
              <w:t>ALTA</w:t>
            </w:r>
            <w:r w:rsidR="00C74C44" w:rsidRPr="00C74C44">
              <w:rPr>
                <w:color w:val="FFFFFF" w:themeColor="background1"/>
                <w:sz w:val="20"/>
                <w:szCs w:val="20"/>
                <w:vertAlign w:val="superscript"/>
              </w:rPr>
              <w:t>2</w:t>
            </w:r>
          </w:p>
        </w:tc>
        <w:tc>
          <w:tcPr>
            <w:tcW w:w="1088" w:type="pct"/>
            <w:shd w:val="clear" w:color="auto" w:fill="FF0000"/>
            <w:vAlign w:val="center"/>
          </w:tcPr>
          <w:p w14:paraId="099BB349" w14:textId="77777777" w:rsidR="00EE6892" w:rsidRPr="00AA3B10" w:rsidRDefault="00EE6892" w:rsidP="00AA3B10">
            <w:pPr>
              <w:pStyle w:val="tier1Itext"/>
              <w:spacing w:before="0" w:after="0" w:line="240" w:lineRule="auto"/>
              <w:jc w:val="center"/>
              <w:rPr>
                <w:sz w:val="20"/>
                <w:szCs w:val="20"/>
              </w:rPr>
            </w:pPr>
            <w:r w:rsidRPr="00C74C44">
              <w:rPr>
                <w:color w:val="FFFFFF" w:themeColor="background1"/>
                <w:sz w:val="20"/>
                <w:szCs w:val="20"/>
              </w:rPr>
              <w:t>ALTA</w:t>
            </w:r>
          </w:p>
        </w:tc>
      </w:tr>
      <w:tr w:rsidR="00EE6892" w:rsidRPr="00AA3B10" w14:paraId="713B6991" w14:textId="77777777" w:rsidTr="00121F26">
        <w:trPr>
          <w:trHeight w:val="340"/>
        </w:trPr>
        <w:tc>
          <w:tcPr>
            <w:tcW w:w="1729" w:type="pct"/>
            <w:shd w:val="clear" w:color="auto" w:fill="D9D9D9" w:themeFill="background1" w:themeFillShade="D9"/>
            <w:vAlign w:val="center"/>
          </w:tcPr>
          <w:p w14:paraId="0222362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Tartarugas Marinhas</w:t>
            </w:r>
          </w:p>
          <w:p w14:paraId="75839907" w14:textId="77777777" w:rsidR="00EE6892" w:rsidRPr="00AA3B10" w:rsidRDefault="00EE6892" w:rsidP="00AA3B10">
            <w:pPr>
              <w:pStyle w:val="tier1Itext"/>
              <w:spacing w:before="0" w:after="0" w:line="240" w:lineRule="auto"/>
              <w:jc w:val="center"/>
              <w:rPr>
                <w:sz w:val="20"/>
                <w:szCs w:val="20"/>
              </w:rPr>
            </w:pPr>
            <w:r w:rsidRPr="00AA3B10">
              <w:rPr>
                <w:sz w:val="20"/>
                <w:szCs w:val="20"/>
              </w:rPr>
              <w:t>(nas regiões distantes da fonte)</w:t>
            </w:r>
          </w:p>
        </w:tc>
        <w:tc>
          <w:tcPr>
            <w:tcW w:w="1080" w:type="pct"/>
            <w:shd w:val="clear" w:color="auto" w:fill="FF0000"/>
            <w:vAlign w:val="center"/>
          </w:tcPr>
          <w:p w14:paraId="5492AA37"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92D050"/>
            <w:vAlign w:val="center"/>
          </w:tcPr>
          <w:p w14:paraId="1998D686" w14:textId="77777777" w:rsidR="00EE6892" w:rsidRPr="00AA3B10" w:rsidRDefault="00EE6892" w:rsidP="00AA3B10">
            <w:pPr>
              <w:pStyle w:val="tier1Itext"/>
              <w:spacing w:before="0" w:after="0" w:line="240" w:lineRule="auto"/>
              <w:jc w:val="center"/>
              <w:rPr>
                <w:sz w:val="20"/>
                <w:szCs w:val="20"/>
              </w:rPr>
            </w:pPr>
            <w:r w:rsidRPr="00AA3B10">
              <w:rPr>
                <w:sz w:val="20"/>
                <w:szCs w:val="20"/>
              </w:rPr>
              <w:t>BAIXA</w:t>
            </w:r>
          </w:p>
        </w:tc>
        <w:tc>
          <w:tcPr>
            <w:tcW w:w="1088" w:type="pct"/>
            <w:shd w:val="clear" w:color="auto" w:fill="FFFF00"/>
            <w:vAlign w:val="center"/>
          </w:tcPr>
          <w:p w14:paraId="176AA4A7" w14:textId="77777777" w:rsidR="00EE6892" w:rsidRPr="00AA3B10" w:rsidRDefault="00EE6892" w:rsidP="00AA3B10">
            <w:pPr>
              <w:pStyle w:val="tier1Itext"/>
              <w:spacing w:before="0" w:after="0" w:line="240" w:lineRule="auto"/>
              <w:jc w:val="center"/>
              <w:rPr>
                <w:sz w:val="20"/>
                <w:szCs w:val="20"/>
              </w:rPr>
            </w:pPr>
            <w:r w:rsidRPr="00AA3B10">
              <w:rPr>
                <w:sz w:val="20"/>
                <w:szCs w:val="20"/>
              </w:rPr>
              <w:t>MÉDIA</w:t>
            </w:r>
          </w:p>
        </w:tc>
      </w:tr>
      <w:tr w:rsidR="00EE6892" w:rsidRPr="00AA3B10" w14:paraId="43002104" w14:textId="77777777" w:rsidTr="00121F26">
        <w:trPr>
          <w:trHeight w:val="340"/>
        </w:trPr>
        <w:tc>
          <w:tcPr>
            <w:tcW w:w="1729" w:type="pct"/>
            <w:shd w:val="clear" w:color="auto" w:fill="D9D9D9" w:themeFill="background1" w:themeFillShade="D9"/>
            <w:vAlign w:val="center"/>
          </w:tcPr>
          <w:p w14:paraId="0F4DC3C9"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Avifauna</w:t>
            </w:r>
          </w:p>
        </w:tc>
        <w:tc>
          <w:tcPr>
            <w:tcW w:w="1080" w:type="pct"/>
            <w:shd w:val="clear" w:color="auto" w:fill="FF0000"/>
            <w:vAlign w:val="center"/>
          </w:tcPr>
          <w:p w14:paraId="355C9CE9"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3CFC5489"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3743E6F5"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r w:rsidR="00EE6892" w:rsidRPr="00AA3B10" w14:paraId="5A118B0A" w14:textId="77777777" w:rsidTr="00121F26">
        <w:trPr>
          <w:trHeight w:val="340"/>
        </w:trPr>
        <w:tc>
          <w:tcPr>
            <w:tcW w:w="1729" w:type="pct"/>
            <w:shd w:val="clear" w:color="auto" w:fill="D9D9D9" w:themeFill="background1" w:themeFillShade="D9"/>
            <w:vAlign w:val="center"/>
          </w:tcPr>
          <w:p w14:paraId="76FF7263" w14:textId="77777777" w:rsidR="00EE6892" w:rsidRPr="00AA3B10" w:rsidRDefault="00EE6892" w:rsidP="00AA3B10">
            <w:pPr>
              <w:pStyle w:val="tier1Itext"/>
              <w:spacing w:before="0" w:after="0" w:line="240" w:lineRule="auto"/>
              <w:jc w:val="center"/>
              <w:rPr>
                <w:b/>
                <w:sz w:val="20"/>
                <w:szCs w:val="20"/>
              </w:rPr>
            </w:pPr>
            <w:r w:rsidRPr="00AA3B10">
              <w:rPr>
                <w:b/>
                <w:sz w:val="20"/>
                <w:szCs w:val="20"/>
              </w:rPr>
              <w:t>Cetáceos</w:t>
            </w:r>
          </w:p>
        </w:tc>
        <w:tc>
          <w:tcPr>
            <w:tcW w:w="1080" w:type="pct"/>
            <w:shd w:val="clear" w:color="auto" w:fill="FF0000"/>
            <w:vAlign w:val="center"/>
          </w:tcPr>
          <w:p w14:paraId="40D43B4C"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103" w:type="pct"/>
            <w:gridSpan w:val="2"/>
            <w:shd w:val="clear" w:color="auto" w:fill="FF0000"/>
            <w:vAlign w:val="center"/>
          </w:tcPr>
          <w:p w14:paraId="28F3ABDA"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c>
          <w:tcPr>
            <w:tcW w:w="1088" w:type="pct"/>
            <w:shd w:val="clear" w:color="auto" w:fill="FF0000"/>
            <w:vAlign w:val="center"/>
          </w:tcPr>
          <w:p w14:paraId="27148A7C" w14:textId="77777777" w:rsidR="00EE6892" w:rsidRPr="00C74C44" w:rsidRDefault="00EE6892" w:rsidP="00AA3B10">
            <w:pPr>
              <w:pStyle w:val="tier1Itext"/>
              <w:spacing w:before="0" w:after="0" w:line="240" w:lineRule="auto"/>
              <w:jc w:val="center"/>
              <w:rPr>
                <w:color w:val="FFFFFF" w:themeColor="background1"/>
                <w:sz w:val="20"/>
                <w:szCs w:val="20"/>
              </w:rPr>
            </w:pPr>
            <w:r w:rsidRPr="00C74C44">
              <w:rPr>
                <w:color w:val="FFFFFF" w:themeColor="background1"/>
                <w:sz w:val="20"/>
                <w:szCs w:val="20"/>
              </w:rPr>
              <w:t>ALTA</w:t>
            </w:r>
          </w:p>
        </w:tc>
      </w:tr>
    </w:tbl>
    <w:p w14:paraId="6E0FF039" w14:textId="19E2BEDB" w:rsidR="00EE6892" w:rsidRPr="00AA3B10" w:rsidRDefault="00EE6892" w:rsidP="00EE6892">
      <w:pPr>
        <w:pStyle w:val="tier1Itext"/>
        <w:spacing w:before="0" w:after="0" w:line="240" w:lineRule="auto"/>
        <w:rPr>
          <w:sz w:val="20"/>
          <w:szCs w:val="20"/>
        </w:rPr>
      </w:pPr>
      <w:r w:rsidRPr="00AA3B10">
        <w:rPr>
          <w:b/>
          <w:sz w:val="20"/>
          <w:szCs w:val="20"/>
        </w:rPr>
        <w:t>Legenda:</w:t>
      </w:r>
      <w:r w:rsidR="00153F3F">
        <w:rPr>
          <w:b/>
          <w:sz w:val="20"/>
          <w:szCs w:val="20"/>
        </w:rPr>
        <w:t xml:space="preserve"> </w:t>
      </w:r>
      <w:r w:rsidR="00C74C44" w:rsidRPr="00C74C44">
        <w:rPr>
          <w:sz w:val="20"/>
          <w:szCs w:val="20"/>
          <w:vertAlign w:val="superscript"/>
        </w:rPr>
        <w:t>1</w:t>
      </w:r>
      <w:r w:rsidRPr="00AA3B10">
        <w:rPr>
          <w:sz w:val="20"/>
          <w:szCs w:val="20"/>
        </w:rPr>
        <w:t xml:space="preserve"> Probabilidade de 30 a 70% de alcance por óleo, no caso de um incidente de poluição por óleo no mar, considerando a descarga de pior caso – regiões próximas à fonte do </w:t>
      </w:r>
      <w:r w:rsidR="00642786">
        <w:rPr>
          <w:sz w:val="20"/>
          <w:szCs w:val="20"/>
        </w:rPr>
        <w:t>derramamento</w:t>
      </w:r>
      <w:r w:rsidRPr="00AA3B10">
        <w:rPr>
          <w:sz w:val="20"/>
          <w:szCs w:val="20"/>
        </w:rPr>
        <w:t xml:space="preserve">. </w:t>
      </w:r>
      <w:r w:rsidR="00C74C44" w:rsidRPr="00C74C44">
        <w:rPr>
          <w:sz w:val="20"/>
          <w:szCs w:val="20"/>
          <w:vertAlign w:val="superscript"/>
        </w:rPr>
        <w:t>2</w:t>
      </w:r>
      <w:r w:rsidRPr="00AA3B10">
        <w:rPr>
          <w:sz w:val="20"/>
          <w:szCs w:val="20"/>
        </w:rPr>
        <w:t xml:space="preserve"> Probabilidade de &gt;70% de alcance por óleo – regiões adjacentes à fonte do </w:t>
      </w:r>
      <w:r w:rsidR="00642786">
        <w:rPr>
          <w:sz w:val="20"/>
          <w:szCs w:val="20"/>
        </w:rPr>
        <w:t>derramamento</w:t>
      </w:r>
      <w:r w:rsidRPr="00AA3B10">
        <w:rPr>
          <w:sz w:val="20"/>
          <w:szCs w:val="20"/>
        </w:rPr>
        <w:t>.</w:t>
      </w:r>
    </w:p>
    <w:p w14:paraId="747FA2A1" w14:textId="6137F602" w:rsidR="00EE6892" w:rsidRPr="00AA3B10" w:rsidRDefault="00EE6892" w:rsidP="00AA3B10">
      <w:pPr>
        <w:pStyle w:val="tier1Itext"/>
        <w:keepLines w:val="0"/>
        <w:spacing w:before="360"/>
      </w:pPr>
      <w:r w:rsidRPr="00AA3B10">
        <w:t xml:space="preserve">Como pode ser </w:t>
      </w:r>
      <w:r w:rsidRPr="00F73874">
        <w:rPr>
          <w:szCs w:val="22"/>
        </w:rPr>
        <w:t>observado na</w:t>
      </w:r>
      <w:r w:rsidR="00F73874" w:rsidRPr="00F73874">
        <w:rPr>
          <w:szCs w:val="22"/>
        </w:rPr>
        <w:t xml:space="preserve"> </w:t>
      </w:r>
      <w:r w:rsidR="00F73874" w:rsidRPr="00F73874">
        <w:rPr>
          <w:szCs w:val="22"/>
        </w:rPr>
        <w:fldChar w:fldCharType="begin"/>
      </w:r>
      <w:r w:rsidR="00F73874" w:rsidRPr="00F73874">
        <w:rPr>
          <w:szCs w:val="22"/>
        </w:rPr>
        <w:instrText xml:space="preserve"> REF _Ref415472288 \h </w:instrText>
      </w:r>
      <w:r w:rsidR="00F73874">
        <w:rPr>
          <w:szCs w:val="22"/>
        </w:rPr>
        <w:instrText xml:space="preserve"> \* MERGEFORMAT </w:instrText>
      </w:r>
      <w:r w:rsidR="00F73874" w:rsidRPr="00F73874">
        <w:rPr>
          <w:szCs w:val="22"/>
        </w:rPr>
      </w:r>
      <w:r w:rsidR="00F73874" w:rsidRPr="00F73874">
        <w:rPr>
          <w:szCs w:val="22"/>
        </w:rPr>
        <w:fldChar w:fldCharType="separate"/>
      </w:r>
      <w:r w:rsidR="00897470" w:rsidRPr="00897470">
        <w:rPr>
          <w:b/>
          <w:szCs w:val="22"/>
        </w:rPr>
        <w:t xml:space="preserve">Tabela </w:t>
      </w:r>
      <w:r w:rsidR="00897470" w:rsidRPr="00897470">
        <w:rPr>
          <w:b/>
          <w:noProof/>
          <w:szCs w:val="22"/>
        </w:rPr>
        <w:t>9</w:t>
      </w:r>
      <w:r w:rsidR="00F73874" w:rsidRPr="00F73874">
        <w:rPr>
          <w:szCs w:val="22"/>
        </w:rPr>
        <w:fldChar w:fldCharType="end"/>
      </w:r>
      <w:r w:rsidRPr="00F73874">
        <w:rPr>
          <w:szCs w:val="22"/>
        </w:rPr>
        <w:t>, na ocorrência</w:t>
      </w:r>
      <w:r w:rsidRPr="00AA3B10">
        <w:t xml:space="preserve"> de um eventual derramamento de óleo de pior caso durante as atividades de perfuração marítima no Bloco FZA-M-59, o bentos, a icitiofauna e as tartarugas marinhas, na região adjacente à fonte do </w:t>
      </w:r>
      <w:r w:rsidR="00642786">
        <w:t>derramamento</w:t>
      </w:r>
      <w:r w:rsidRPr="00AA3B10">
        <w:t>, além da avifauna e dos cetáceos, de forma geral, apresentariam alta vulnerabilidade, devendo, portanto, ser considerados na definição e implementação das estratégias de resposta ao incidente. Esta Análise (incluindo os Mapas de Vulnerabilidade), que foi elaborada pela AECOM do Brasil, é apresentada na íntegra no</w:t>
      </w:r>
      <w:r w:rsidR="00AA3B10">
        <w:t xml:space="preserve"> </w:t>
      </w:r>
      <w:r w:rsidR="00AA3B10" w:rsidRPr="00AA3B10">
        <w:rPr>
          <w:b/>
        </w:rPr>
        <w:t xml:space="preserve">ANEXO </w:t>
      </w:r>
      <w:r w:rsidR="00FA49B6">
        <w:rPr>
          <w:b/>
        </w:rPr>
        <w:t>C</w:t>
      </w:r>
      <w:r w:rsidRPr="00AA3B10">
        <w:t>, e discutida com maior detalhamento no item II.12.4.2 do EIA/RIMA da atividade de perfuração no Bloco FZA-M-59, do qual este Plano de Emergência Individual também é parte.</w:t>
      </w:r>
    </w:p>
    <w:p w14:paraId="5F8EF84B" w14:textId="77777777" w:rsidR="000F3DA6" w:rsidRPr="00CE6488" w:rsidRDefault="000F3DA6" w:rsidP="009D01BE">
      <w:pPr>
        <w:pStyle w:val="Heading1"/>
        <w:rPr>
          <w:lang w:val="pt-BR"/>
        </w:rPr>
      </w:pPr>
      <w:bookmarkStart w:id="74" w:name="_Ref414612264"/>
      <w:bookmarkStart w:id="75" w:name="_Ref414612304"/>
      <w:bookmarkStart w:id="76" w:name="_Ref414612477"/>
      <w:bookmarkStart w:id="77" w:name="_Ref414612487"/>
      <w:bookmarkStart w:id="78" w:name="_Toc523833878"/>
      <w:r w:rsidRPr="00CE6488">
        <w:rPr>
          <w:lang w:val="pt-BR"/>
        </w:rPr>
        <w:lastRenderedPageBreak/>
        <w:t>ESTRUTURA ORGANIZACIONAL DE RESPOSTA (EOR)</w:t>
      </w:r>
      <w:bookmarkEnd w:id="74"/>
      <w:bookmarkEnd w:id="75"/>
      <w:bookmarkEnd w:id="76"/>
      <w:bookmarkEnd w:id="77"/>
      <w:bookmarkEnd w:id="78"/>
    </w:p>
    <w:p w14:paraId="0AD82E31" w14:textId="77777777" w:rsidR="00F3740A" w:rsidRPr="00F3740A" w:rsidRDefault="00F3740A" w:rsidP="00723A97">
      <w:pPr>
        <w:pStyle w:val="tier1Itext"/>
      </w:pPr>
      <w:r w:rsidRPr="00F3740A">
        <w:t>A Estrutura Organizacional de Resposta (EOR) a uma emergência da BP Energy é composta por um arcabouço fixo e funci</w:t>
      </w:r>
      <w:r w:rsidR="000D65DA">
        <w:t>onal organizado em três níveis:</w:t>
      </w:r>
      <w:r w:rsidRPr="00F3740A">
        <w:t xml:space="preserve"> uma Equipe de Gerenciamento de Incidentes (IMT, do termo em inglês “</w:t>
      </w:r>
      <w:r w:rsidRPr="00F3740A">
        <w:rPr>
          <w:i/>
        </w:rPr>
        <w:t>Incident Management Team</w:t>
      </w:r>
      <w:r w:rsidRPr="00F3740A">
        <w:t>”) - responsável pela execução das operações de resposta à emergência; uma Equipe de Suporte à Continuidade da Capacidade Operacional (BST, do termo em inglês “</w:t>
      </w:r>
      <w:r w:rsidRPr="00F3740A">
        <w:rPr>
          <w:i/>
        </w:rPr>
        <w:t>Business Support Team</w:t>
      </w:r>
      <w:r w:rsidRPr="00F3740A">
        <w:t>”) responsável pela condução da resposta à crise; e a Equipe de Suporte Executivo (EST, do termo em inglês “</w:t>
      </w:r>
      <w:r w:rsidRPr="00F3740A">
        <w:rPr>
          <w:i/>
        </w:rPr>
        <w:t>Executive Support Team</w:t>
      </w:r>
      <w:r w:rsidRPr="00F3740A">
        <w:t>”) responsável pela gestão da resposta à crise no nível do Grupo BP. Neste sistema também é considerada a chamada Equipe de Resposta Tática (TRT, do termo em inglês “</w:t>
      </w:r>
      <w:r w:rsidRPr="00F3740A">
        <w:rPr>
          <w:i/>
        </w:rPr>
        <w:t>Tactical Response Team</w:t>
      </w:r>
      <w:r w:rsidRPr="00F3740A">
        <w:t>”).</w:t>
      </w:r>
    </w:p>
    <w:p w14:paraId="2270B238" w14:textId="2BE33C3F" w:rsidR="00F3740A" w:rsidRPr="00F3740A" w:rsidRDefault="00F3740A" w:rsidP="00723A97">
      <w:pPr>
        <w:pStyle w:val="tier1Itext"/>
      </w:pPr>
      <w:r w:rsidRPr="00F3740A">
        <w:t>"Equipe de Resposta Tática” é um título genérico que a BP utiliza para classificar os indivíduos altamente treinados que estão presentes em um local de incidente ou que se deslocam para ele, a fim de iniciar e manter operações táticas de resposta “</w:t>
      </w:r>
      <w:r w:rsidRPr="00F3740A">
        <w:rPr>
          <w:i/>
        </w:rPr>
        <w:t>in situ</w:t>
      </w:r>
      <w:r w:rsidRPr="00F3740A">
        <w:t xml:space="preserve">”, dependendo da natureza e complexidade do incidente. A TRT geralmente é composta pelos primeiros indivíduos a responder um incidente e, uma vez que a maioria dos incidentes é de pequena magnitude e pode ser tratada por uma ou algumas pessoas em um curto espaço de tempo, costuma lidar com estas situações sem a necessidade de acionamento completo e formal da Equipe de Gerenciamento de Incidentes (IMT). Se a IMT for acionada, a TRT </w:t>
      </w:r>
      <w:r w:rsidR="00C74C44">
        <w:t>se</w:t>
      </w:r>
      <w:r w:rsidRPr="00F3740A">
        <w:t>rá integrada a ela e tornar</w:t>
      </w:r>
      <w:r w:rsidR="00493FDD">
        <w:t>-se-</w:t>
      </w:r>
      <w:r w:rsidRPr="00F3740A">
        <w:t>á parte da Seção de Operações da IMT.</w:t>
      </w:r>
      <w:r w:rsidR="00C74C44">
        <w:t xml:space="preserve"> As funções na TRT são normalmente desempenhadas por membros da tripulação da ENSCO DS-9, chefiados pelo </w:t>
      </w:r>
      <w:r w:rsidR="00611A02">
        <w:t>C</w:t>
      </w:r>
      <w:r w:rsidR="00C74C44">
        <w:t>apitão da unidade, comandante inicial do incidente.</w:t>
      </w:r>
    </w:p>
    <w:p w14:paraId="5871CC75" w14:textId="197E17FD" w:rsidR="00F3740A" w:rsidRPr="00F3740A" w:rsidRDefault="00F3740A" w:rsidP="00723A97">
      <w:pPr>
        <w:pStyle w:val="tier1Itext"/>
      </w:pPr>
      <w:r w:rsidRPr="00F3740A">
        <w:t>A EOR</w:t>
      </w:r>
      <w:r w:rsidR="00611A02">
        <w:t xml:space="preserve"> </w:t>
      </w:r>
      <w:r w:rsidRPr="00F3740A">
        <w:t xml:space="preserve">apresenta uma natureza flexível e dinâmica, capaz de ser mobilizada de forma escalonada, para atender a cada cenário acidental – às especificidades do incidente e das ações de resposta projetadas a partir </w:t>
      </w:r>
      <w:r w:rsidR="00493FDD">
        <w:t>da</w:t>
      </w:r>
      <w:r w:rsidRPr="00F3740A">
        <w:t xml:space="preserve"> avaliação</w:t>
      </w:r>
      <w:r w:rsidR="00493FDD">
        <w:t xml:space="preserve"> de seu</w:t>
      </w:r>
      <w:r w:rsidRPr="00F3740A">
        <w:t xml:space="preserve"> potencial. Por exemplo, incidentes de pequena magnitude e complexidade poderão ser gerenciados e concluídos no nível da TRT (parcial ou integral), demandando apenas o apoio da IMT para as notificações regulatórias. </w:t>
      </w:r>
      <w:r w:rsidRPr="00F3740A">
        <w:rPr>
          <w:rFonts w:cstheme="majorHAnsi"/>
        </w:rPr>
        <w:t>Desta forma, entende-se que a IMT sempre será comunicada</w:t>
      </w:r>
      <w:r w:rsidR="001E2663">
        <w:rPr>
          <w:rFonts w:cstheme="majorHAnsi"/>
        </w:rPr>
        <w:t>,</w:t>
      </w:r>
      <w:r w:rsidRPr="00F3740A">
        <w:rPr>
          <w:rFonts w:cstheme="majorHAnsi"/>
        </w:rPr>
        <w:t xml:space="preserve"> em todos os incidentes, podendo ser ativada mesmo naqueles considerados casos de descargas menores. </w:t>
      </w:r>
      <w:r w:rsidRPr="00F3740A">
        <w:t xml:space="preserve">Por outro lado, incidentes de maior complexidade e magnitude poderão exigir ações em várias frentes </w:t>
      </w:r>
      <w:r w:rsidR="00493FDD" w:rsidRPr="00F3740A">
        <w:t xml:space="preserve">simultâneas </w:t>
      </w:r>
      <w:r w:rsidRPr="00F3740A">
        <w:t>de resposta requerendo, portanto, o esforço conjunto da IMT (com a TRT integrada), da BST e até da EST (caso necessária).</w:t>
      </w:r>
    </w:p>
    <w:p w14:paraId="20BD9499" w14:textId="1A8A15D0" w:rsidR="00F3740A" w:rsidRPr="00F3740A" w:rsidRDefault="00F3740A" w:rsidP="00723A97">
      <w:pPr>
        <w:pStyle w:val="tier1Itext"/>
      </w:pPr>
      <w:r w:rsidRPr="00F3740A">
        <w:lastRenderedPageBreak/>
        <w:t>A</w:t>
      </w:r>
      <w:r w:rsidRPr="00F3740A">
        <w:rPr>
          <w:b/>
        </w:rPr>
        <w:t xml:space="preserve"> </w:t>
      </w:r>
      <w:r w:rsidRPr="00F3740A">
        <w:rPr>
          <w:b/>
        </w:rPr>
        <w:fldChar w:fldCharType="begin"/>
      </w:r>
      <w:r w:rsidRPr="00F3740A">
        <w:rPr>
          <w:b/>
        </w:rPr>
        <w:instrText xml:space="preserve"> REF _Ref411616260 \h  \* MERGEFORMAT </w:instrText>
      </w:r>
      <w:r w:rsidRPr="00F3740A">
        <w:rPr>
          <w:b/>
        </w:rPr>
      </w:r>
      <w:r w:rsidRPr="00F3740A">
        <w:rPr>
          <w:b/>
        </w:rPr>
        <w:fldChar w:fldCharType="separate"/>
      </w:r>
      <w:r w:rsidR="00897470" w:rsidRPr="00897470">
        <w:rPr>
          <w:b/>
        </w:rPr>
        <w:t xml:space="preserve">Figura </w:t>
      </w:r>
      <w:r w:rsidR="00897470" w:rsidRPr="00897470">
        <w:rPr>
          <w:b/>
          <w:noProof/>
        </w:rPr>
        <w:t>3</w:t>
      </w:r>
      <w:r w:rsidRPr="00F3740A">
        <w:rPr>
          <w:b/>
        </w:rPr>
        <w:fldChar w:fldCharType="end"/>
      </w:r>
      <w:r w:rsidRPr="00F3740A">
        <w:t xml:space="preserve"> apresenta o organograma simplificado da </w:t>
      </w:r>
      <w:r w:rsidR="001E2663">
        <w:t>IMT</w:t>
      </w:r>
      <w:r w:rsidRPr="00F3740A">
        <w:t xml:space="preserve"> da BP Energy para resposta a incidentes de qualquer natureza, inclusive aqueles com derramamento de óleo no mar. Esta estrutura </w:t>
      </w:r>
      <w:r w:rsidR="001E2663">
        <w:t>é</w:t>
      </w:r>
      <w:r w:rsidR="001E2663" w:rsidRPr="00F3740A">
        <w:t xml:space="preserve"> organizada e atua de forma coerente com os princípios de organização e gestão do Sistema de Comando de Incidentes (ICS</w:t>
      </w:r>
      <w:r w:rsidR="001E2663">
        <w:t>, do termo em inglês “</w:t>
      </w:r>
      <w:r w:rsidR="001E2663" w:rsidRPr="0095786B">
        <w:rPr>
          <w:i/>
        </w:rPr>
        <w:t>Incident Command System</w:t>
      </w:r>
      <w:r w:rsidR="001E2663">
        <w:t>”</w:t>
      </w:r>
      <w:r w:rsidR="001E2663" w:rsidRPr="00F3740A">
        <w:t>)</w:t>
      </w:r>
      <w:r w:rsidR="001E2663">
        <w:t xml:space="preserve">, podendo </w:t>
      </w:r>
      <w:r w:rsidRPr="00F3740A">
        <w:t>ser simplificada ou expandida conforme a complexidade do incidente e o andamento das ações de resposta.</w:t>
      </w:r>
    </w:p>
    <w:p w14:paraId="23FA813C" w14:textId="77777777" w:rsidR="00F3740A" w:rsidRPr="001F002C" w:rsidRDefault="00F3740A" w:rsidP="001915DE">
      <w:pPr>
        <w:pStyle w:val="Caption"/>
        <w:spacing w:before="0" w:after="0" w:line="240" w:lineRule="auto"/>
        <w:rPr>
          <w:noProof/>
        </w:rPr>
      </w:pPr>
      <w:r w:rsidRPr="00F3740A">
        <w:rPr>
          <w:noProof/>
        </w:rPr>
        <w:t xml:space="preserve"> </w:t>
      </w:r>
      <w:r w:rsidR="009B51A1">
        <w:rPr>
          <w:noProof/>
          <w:lang w:val="en-US"/>
        </w:rPr>
        <w:drawing>
          <wp:inline distT="0" distB="0" distL="0" distR="0" wp14:anchorId="18850E1B" wp14:editId="437AD5F5">
            <wp:extent cx="5208771" cy="6177691"/>
            <wp:effectExtent l="0" t="0" r="0" b="0"/>
            <wp:docPr id="1073742020" name="Imagem 107374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14649" cy="6184662"/>
                    </a:xfrm>
                    <a:prstGeom prst="rect">
                      <a:avLst/>
                    </a:prstGeom>
                    <a:noFill/>
                  </pic:spPr>
                </pic:pic>
              </a:graphicData>
            </a:graphic>
          </wp:inline>
        </w:drawing>
      </w:r>
    </w:p>
    <w:p w14:paraId="5C3C917E" w14:textId="1D958B90" w:rsidR="00F3740A" w:rsidRPr="00F3740A" w:rsidRDefault="00F3740A" w:rsidP="001915DE">
      <w:pPr>
        <w:pStyle w:val="Caption"/>
        <w:spacing w:before="0" w:after="0" w:line="240" w:lineRule="auto"/>
      </w:pPr>
      <w:bookmarkStart w:id="79" w:name="_Ref411616260"/>
      <w:bookmarkStart w:id="80" w:name="_Toc411616261"/>
      <w:bookmarkStart w:id="81" w:name="_Toc523833968"/>
      <w:r w:rsidRPr="00F3740A">
        <w:t xml:space="preserve">Figura </w:t>
      </w:r>
      <w:fldSimple w:instr=" SEQ Figura \* ARABIC ">
        <w:r w:rsidR="00897470">
          <w:rPr>
            <w:noProof/>
          </w:rPr>
          <w:t>3</w:t>
        </w:r>
      </w:fldSimple>
      <w:bookmarkEnd w:id="79"/>
      <w:r w:rsidRPr="00F3740A">
        <w:t xml:space="preserve">: Organograma da </w:t>
      </w:r>
      <w:r w:rsidR="001E2663">
        <w:t>IMT</w:t>
      </w:r>
      <w:r w:rsidR="00611A02">
        <w:t>, com indicação também da TRT</w:t>
      </w:r>
      <w:r w:rsidR="00A829B1">
        <w:t xml:space="preserve"> </w:t>
      </w:r>
      <w:r w:rsidR="00A829B1" w:rsidRPr="00946134">
        <w:t>(</w:t>
      </w:r>
      <w:r w:rsidR="00B86422">
        <w:t>Fonte: Witt|O’Brien’s</w:t>
      </w:r>
      <w:r w:rsidR="00A829B1" w:rsidRPr="00946134">
        <w:t>)</w:t>
      </w:r>
      <w:r w:rsidRPr="00F3740A">
        <w:t>.</w:t>
      </w:r>
      <w:bookmarkEnd w:id="80"/>
      <w:bookmarkEnd w:id="81"/>
    </w:p>
    <w:p w14:paraId="3E73934C" w14:textId="77777777" w:rsidR="001E2663" w:rsidRDefault="001E2663" w:rsidP="00723A97">
      <w:pPr>
        <w:pStyle w:val="tier1Itext"/>
      </w:pPr>
    </w:p>
    <w:p w14:paraId="64EE02BC" w14:textId="77777777" w:rsidR="00F3740A" w:rsidRPr="00F3740A" w:rsidRDefault="00F3740A" w:rsidP="00723A97">
      <w:pPr>
        <w:pStyle w:val="tier1Itext"/>
      </w:pPr>
      <w:r w:rsidRPr="00F3740A">
        <w:lastRenderedPageBreak/>
        <w:t xml:space="preserve">Em um pequeno incidente, como, por exemplo, um pequeno </w:t>
      </w:r>
      <w:r w:rsidR="00642786">
        <w:t>derramamento</w:t>
      </w:r>
      <w:r w:rsidRPr="00F3740A">
        <w:t xml:space="preserve"> de óleo, uma única pessoa envolvida na resposta na cena do incidente pode cumprir as obrigações de todas as funções dos Chefes das Seções de Planejamento, Operações, Logística e Finanças. Por outro lado, um incidente de grande porte pode exigir mais pessoas nas funções dos times da IMT (Comando, Geral e de Suporte) para gerenciar a magnitude dos problemas diretamente relacionados com o incidente.</w:t>
      </w:r>
    </w:p>
    <w:p w14:paraId="19EBD81E" w14:textId="72E6A711" w:rsidR="00F3740A" w:rsidRPr="00F3740A" w:rsidRDefault="00F3740A" w:rsidP="00723A97">
      <w:pPr>
        <w:pStyle w:val="tier1Itext"/>
      </w:pPr>
      <w:r w:rsidRPr="00F3740A">
        <w:t xml:space="preserve">Em incidentes de grande porte (como a Descarga de Pior Caso), sobretudo naqueles em que estão envolvidas múltiplas estratégias de resposta e consideradas ações de defesa e limpeza de costa, a empresa pode se valer da mobilização de uma filial, que terá uma estrutura dimensionada para o controle local das atividades de resposta. A filial é uma reprodução </w:t>
      </w:r>
      <w:r w:rsidR="001E2663">
        <w:t xml:space="preserve">em escala adequada </w:t>
      </w:r>
      <w:r w:rsidRPr="00F3740A">
        <w:t>da IMT, com as funções especificadas como necessário, e trabalha de forma integrada com os times locais (divisões e grupos de ação) e com a própria IMT, reforçando a representatividade desta localmente.</w:t>
      </w:r>
    </w:p>
    <w:p w14:paraId="07CEA702" w14:textId="15A43CED" w:rsidR="00F3740A" w:rsidRPr="00F3740A" w:rsidRDefault="00F3740A" w:rsidP="00723A97">
      <w:pPr>
        <w:pStyle w:val="tier1Itext"/>
      </w:pPr>
      <w:r w:rsidRPr="00F3740A">
        <w:t xml:space="preserve">Nesta classe de incidentes, o Sistema de Gerenciamento de Resposta à Emergência da BP também considera o apoio da Equipe de Resposta </w:t>
      </w:r>
      <w:r w:rsidRPr="005A2203">
        <w:t>Mútua (</w:t>
      </w:r>
      <w:r w:rsidRPr="00EE0E12">
        <w:t>MRT</w:t>
      </w:r>
      <w:r w:rsidRPr="005A2203">
        <w:t>), uma equipe</w:t>
      </w:r>
      <w:r w:rsidRPr="00F3740A">
        <w:t xml:space="preserve"> de pessoal treinado e experiente em resposta a incidentes, baseados em outros negócios da empresa no país e em projetos no mundo todo, que está disponível para ser ativada e responder em nome da BP Energy. A vantagem desta equipe é que</w:t>
      </w:r>
      <w:r w:rsidR="001E2663">
        <w:t>,</w:t>
      </w:r>
      <w:r w:rsidRPr="00F3740A">
        <w:t xml:space="preserve"> além do treinamento e experiência na utilização do ICS, ela também está alinhada com os procedimentos operacionais da empresa, o que garante recursos humanos capacitados adicionais, principalmente, mas não limitados aos times de Logística e Finanças.</w:t>
      </w:r>
    </w:p>
    <w:p w14:paraId="2620952C" w14:textId="77777777" w:rsidR="000F3DA6" w:rsidRPr="009E316F" w:rsidRDefault="006D5C78" w:rsidP="009D01BE">
      <w:pPr>
        <w:pStyle w:val="Heading2"/>
        <w:rPr>
          <w:lang w:val="pt-BR"/>
        </w:rPr>
      </w:pPr>
      <w:bookmarkStart w:id="82" w:name="_Toc523833879"/>
      <w:r w:rsidRPr="009E316F">
        <w:rPr>
          <w:lang w:val="pt-BR"/>
        </w:rPr>
        <w:t>Equipe de Gerenciamento de Incidentes (IMT)</w:t>
      </w:r>
      <w:bookmarkEnd w:id="82"/>
    </w:p>
    <w:p w14:paraId="4B07765A" w14:textId="77777777" w:rsidR="00F3740A" w:rsidRPr="00F3740A" w:rsidRDefault="00F3740A" w:rsidP="00723A97">
      <w:pPr>
        <w:pStyle w:val="tier1Itext"/>
      </w:pPr>
      <w:r w:rsidRPr="00F3740A">
        <w:t>A Equipe de Gerenciamento de Incidentes (IMT) é liderada pelo Comandante do Incidente (IC) e está dividida em três níveis hierárquicos: (i) a Equipe de Comando, (ii) a Equipe Geral, e (iii) a Equipe de Suporte. Suas principais funções são os seguintes:</w:t>
      </w:r>
    </w:p>
    <w:p w14:paraId="78542B77"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F3740A">
        <w:rPr>
          <w:rFonts w:asciiTheme="majorHAnsi" w:hAnsiTheme="majorHAnsi"/>
        </w:rPr>
        <w:t>Garantir e monitorar a segurança dos envolvidos nas ações de resposta;</w:t>
      </w:r>
    </w:p>
    <w:p w14:paraId="50146D17"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Gerenciar os impactos do incidente;</w:t>
      </w:r>
    </w:p>
    <w:p w14:paraId="3AA9E4BF"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 xml:space="preserve">Direcionar a resposta tática ao incidente; e </w:t>
      </w:r>
    </w:p>
    <w:p w14:paraId="22B9419D"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F3740A">
        <w:rPr>
          <w:rFonts w:asciiTheme="majorHAnsi" w:hAnsiTheme="majorHAnsi"/>
        </w:rPr>
        <w:t>Prover informações para a Equipe de Suporte à Continuidade da Capacidade Operacional (BST) sobre as atividades de resposta.</w:t>
      </w:r>
    </w:p>
    <w:p w14:paraId="3816EFCA" w14:textId="77777777" w:rsidR="00F3740A" w:rsidRPr="00F3740A" w:rsidRDefault="00F3740A" w:rsidP="00723A97">
      <w:pPr>
        <w:pStyle w:val="tier1Itext"/>
      </w:pPr>
      <w:r w:rsidRPr="00F3740A">
        <w:lastRenderedPageBreak/>
        <w:t>Todas as suas ações estarão em pleno alinhamento com o Plano de Gerenciamento de Incidente da BP Energy, que descreve como a IMT se estrutura e opera para gerir as questões que um incidente pode representar para as operações da BP no Brasil; e como ela apoia as operações táticas no campo e se coordenada com a BST. Este Plano de Emergência Individual faz parte deste documento, sobretudo relacionado com a gestão dos incidentes que envolvem derramamentos de óleo para o meio ambiente.</w:t>
      </w:r>
    </w:p>
    <w:p w14:paraId="0A40AA23" w14:textId="77777777" w:rsidR="00F3740A" w:rsidRPr="00F3740A" w:rsidRDefault="00F3740A" w:rsidP="00723A97">
      <w:pPr>
        <w:pStyle w:val="tier1Itext"/>
      </w:pPr>
      <w:r w:rsidRPr="00F3740A" w:rsidDel="00170F91">
        <w:t xml:space="preserve">É importante ter em mente que os Chefes das Seções de Planejamento, Logística e Finanças e as suas organizações das Equipes de Suporte existem para apoiar a Seção de Operações. </w:t>
      </w:r>
      <w:r w:rsidRPr="00F3740A">
        <w:t>As Seções de Planejamento, de Logística e de Finanças são construídas de cima para baixo, o que significa que os Chefes são trazidos para gerenciar todas as responsabilidades específicas de sua seção e acionarão as equipes adicionais da Equipe de Suporte, conforme necessário. Por outro lado, o Chefe da Seção de Operações desenvolve a organização das ações de resposta</w:t>
      </w:r>
      <w:r w:rsidR="002F5952">
        <w:t xml:space="preserve"> </w:t>
      </w:r>
      <w:r w:rsidR="002F5952" w:rsidRPr="00F3740A">
        <w:t>necessárias</w:t>
      </w:r>
      <w:r w:rsidRPr="00F3740A">
        <w:t xml:space="preserve"> de baixo para cima, sempre assegurando que as operações estão cobrindo de forma adequada as operações táticas e permanecendo </w:t>
      </w:r>
      <w:r w:rsidR="005A72E5">
        <w:t>nos limites do nível de gestão.</w:t>
      </w:r>
    </w:p>
    <w:p w14:paraId="6DCBA9FF" w14:textId="77777777" w:rsidR="00F3740A" w:rsidRPr="00F3740A" w:rsidRDefault="00F3740A" w:rsidP="00723A97">
      <w:pPr>
        <w:pStyle w:val="tier1Itext"/>
      </w:pPr>
      <w:r w:rsidRPr="00F3740A">
        <w:t xml:space="preserve">Se um incidente (qualquer que seja sua magnitude) for requerer habilidades ou conhecimentos específicos a serem trazidos para auxiliar nas respostas e/ou decisões da IMT, uma equipe </w:t>
      </w:r>
      <w:r w:rsidR="002F5952">
        <w:t>com</w:t>
      </w:r>
      <w:r w:rsidR="002F5952" w:rsidRPr="00F3740A">
        <w:t xml:space="preserve"> </w:t>
      </w:r>
      <w:r w:rsidRPr="00F3740A">
        <w:t xml:space="preserve">pessoal especializado pode ser mobilizada pelo Chefe da Seção de Planejamento (PSC) e será referida na estrutura do Sistema de Comando de Incidentes </w:t>
      </w:r>
      <w:r w:rsidRPr="00C04FFD">
        <w:t>(ICS) como</w:t>
      </w:r>
      <w:r w:rsidRPr="00F3740A">
        <w:t xml:space="preserve"> “Especialistas Técnicos”.</w:t>
      </w:r>
    </w:p>
    <w:p w14:paraId="39459F10" w14:textId="77777777" w:rsidR="00F3740A" w:rsidRPr="00F3740A" w:rsidRDefault="00F3740A" w:rsidP="00723A97">
      <w:pPr>
        <w:pStyle w:val="tier1Itext"/>
        <w:rPr>
          <w:lang w:eastAsia="pt-BR"/>
        </w:rPr>
      </w:pPr>
      <w:r w:rsidRPr="00F3740A">
        <w:t>Os Especialistas Técnicos fornecem conhecimentos que não podem ser encontrados na organização do ICS. Eles fornecem experiência e aconselhamento sobre os aspectos que envolvem um incidente, sendo profissionais em que a IMT confia, a fim de garantir que as operações sejam realizadas da forma mais segura e eficiente possível. Eles podem trabalhar em qualquer lugar que suas habilidades forem necessárias na IMT/TRT, mas todos se reportando à Seção de Planejamento.</w:t>
      </w:r>
    </w:p>
    <w:p w14:paraId="3EF3F35E" w14:textId="77777777" w:rsidR="00037F51" w:rsidRPr="009E316F" w:rsidRDefault="00A968B6" w:rsidP="009D01BE">
      <w:pPr>
        <w:pStyle w:val="Heading2"/>
        <w:rPr>
          <w:lang w:val="pt-BR"/>
        </w:rPr>
      </w:pPr>
      <w:bookmarkStart w:id="83" w:name="_Toc523833880"/>
      <w:r w:rsidRPr="009E316F">
        <w:rPr>
          <w:lang w:val="pt-BR"/>
        </w:rPr>
        <w:t>Equipe de Resposta Tática</w:t>
      </w:r>
      <w:r w:rsidR="00037F51" w:rsidRPr="009E316F">
        <w:rPr>
          <w:lang w:val="pt-BR"/>
        </w:rPr>
        <w:t xml:space="preserve"> (</w:t>
      </w:r>
      <w:r w:rsidRPr="009E316F">
        <w:rPr>
          <w:lang w:val="pt-BR"/>
        </w:rPr>
        <w:t>TRT</w:t>
      </w:r>
      <w:r w:rsidR="00037F51" w:rsidRPr="009E316F">
        <w:rPr>
          <w:lang w:val="pt-BR"/>
        </w:rPr>
        <w:t>)</w:t>
      </w:r>
      <w:bookmarkEnd w:id="83"/>
    </w:p>
    <w:p w14:paraId="2FCC2CB9" w14:textId="77777777" w:rsidR="00F3740A" w:rsidRPr="00F3740A" w:rsidRDefault="00F3740A" w:rsidP="00723A97">
      <w:pPr>
        <w:pStyle w:val="tier1Itext"/>
      </w:pPr>
      <w:r w:rsidRPr="00F3740A">
        <w:t>Conforme mencionado anteriormente, “Equipe de Resposta Tática” é um título genérico que a BP utiliza para classificar os indivíduos altamente treinados e organizados que estão presentes na cena de um incidente ou que se deslocam para ela, a fim de montar e manter as operações de resposta táticas práticas. A Equipe de Resposta Tática (TRT) geralmente é composta pelos primeiros indivíduos envolvidos na resposta e, uma vez que a maioria dos incidentes é de pequena magnitude e pode ser tratada por uma ou poucas pessoas em um curto espaço de tempo, costuma lidar com incidentes sem a assistência de acionamento completo e formal da IMT. Se esta for acionada, a TRT será integrada a ela e se tornará parte da Seção de Operações da IMT.</w:t>
      </w:r>
    </w:p>
    <w:p w14:paraId="46DC8B4D" w14:textId="77777777" w:rsidR="00F3740A" w:rsidRPr="00F3740A" w:rsidRDefault="00F3740A" w:rsidP="00723A97">
      <w:pPr>
        <w:pStyle w:val="tier1Itext"/>
      </w:pPr>
      <w:r w:rsidRPr="00F3740A">
        <w:lastRenderedPageBreak/>
        <w:t>Normalmente, a TRT tem sua composição ligeiramente modificada de acordo com a natureza do incidente (combate a incêndios, evacuação, resposta a derramamento de óleo, emergência médica) no que diz respeito aos grupos especializados e treinados mobilizados</w:t>
      </w:r>
      <w:r w:rsidR="005A72E5">
        <w:t xml:space="preserve"> para as unidades operacionais.</w:t>
      </w:r>
    </w:p>
    <w:p w14:paraId="15D8D780" w14:textId="1CDB786D" w:rsidR="00F3740A" w:rsidRPr="00F3740A" w:rsidRDefault="00F3740A" w:rsidP="00723A97">
      <w:pPr>
        <w:pStyle w:val="tier1Itext"/>
      </w:pPr>
      <w:r w:rsidRPr="00F3740A">
        <w:t>Esta equipe é liderada por um Comandante Local do Incidente (</w:t>
      </w:r>
      <w:r w:rsidRPr="00F3740A">
        <w:rPr>
          <w:i/>
        </w:rPr>
        <w:t>On Scene Commander</w:t>
      </w:r>
      <w:r w:rsidRPr="00F3740A">
        <w:t xml:space="preserve"> </w:t>
      </w:r>
      <w:r w:rsidR="00F41F95">
        <w:t>–</w:t>
      </w:r>
      <w:r w:rsidRPr="00F3740A">
        <w:t xml:space="preserve"> </w:t>
      </w:r>
      <w:r w:rsidR="00ED59A7">
        <w:t>IC Local</w:t>
      </w:r>
      <w:r w:rsidRPr="00F3740A">
        <w:t xml:space="preserve">), que serve como o Comandante </w:t>
      </w:r>
      <w:r w:rsidR="00F41F95">
        <w:t xml:space="preserve">inicial </w:t>
      </w:r>
      <w:r w:rsidRPr="00F3740A">
        <w:t xml:space="preserve">do Incidente. Na unidade de perfuração, o Capitão </w:t>
      </w:r>
      <w:r w:rsidR="001E2663">
        <w:t xml:space="preserve">da DS-9 </w:t>
      </w:r>
      <w:r w:rsidRPr="00F3740A">
        <w:t xml:space="preserve">desempenhará o papel de </w:t>
      </w:r>
      <w:r w:rsidR="00ED59A7">
        <w:t>IC Local</w:t>
      </w:r>
      <w:r w:rsidRPr="00F3740A">
        <w:t>; o representante da BP Energy a bordo (</w:t>
      </w:r>
      <w:r w:rsidRPr="00F3740A">
        <w:rPr>
          <w:i/>
        </w:rPr>
        <w:t xml:space="preserve">Well Site </w:t>
      </w:r>
      <w:r w:rsidR="00E14494">
        <w:rPr>
          <w:i/>
        </w:rPr>
        <w:t>Supervisor</w:t>
      </w:r>
      <w:r w:rsidRPr="00F3740A">
        <w:t xml:space="preserve">) </w:t>
      </w:r>
      <w:r w:rsidR="001E2663">
        <w:t xml:space="preserve">também </w:t>
      </w:r>
      <w:r w:rsidRPr="00ED59A7">
        <w:t xml:space="preserve">poderá ser o </w:t>
      </w:r>
      <w:r w:rsidR="00942345">
        <w:t>IC Local/</w:t>
      </w:r>
      <w:r w:rsidR="00ED59A7" w:rsidRPr="00ED59A7">
        <w:t xml:space="preserve">OSC </w:t>
      </w:r>
      <w:r w:rsidRPr="00ED59A7">
        <w:t>Delegado, sendo</w:t>
      </w:r>
      <w:r w:rsidRPr="00F3740A">
        <w:t xml:space="preserve"> o ponto focal de contato entre a instalação e o apoio em terra da IMT.</w:t>
      </w:r>
    </w:p>
    <w:p w14:paraId="3AD00AC3" w14:textId="77777777" w:rsidR="005B5638" w:rsidRDefault="00F3740A" w:rsidP="005A72E5">
      <w:pPr>
        <w:pStyle w:val="tier1Itext"/>
      </w:pPr>
      <w:r w:rsidRPr="00F3740A">
        <w:t xml:space="preserve">Suas responsabilidades incluem a organização e gestão das operações de respostas táticas na cena do incidente de uma forma segura e eficaz (acionamento e gestão de ações do SOPEP) e a comunicação ou o acionamento do PEI, nos casos em que o óleo atinge o mar, através do contato com o IC/IMT. Quando do acionamento da IMT, o </w:t>
      </w:r>
      <w:r w:rsidR="00ED59A7">
        <w:t>IC Local</w:t>
      </w:r>
      <w:r w:rsidRPr="00F3740A">
        <w:t xml:space="preserve"> fará a transferência do comando para o IC/IMT e continuará atuando nas ações de resposta, porém como Chefe Delegado da Seção de Operações</w:t>
      </w:r>
      <w:r w:rsidR="00ED59A7">
        <w:t xml:space="preserve"> (OSC Delegado)</w:t>
      </w:r>
      <w:r w:rsidRPr="00F3740A">
        <w:t>.</w:t>
      </w:r>
      <w:r w:rsidR="00F41F95">
        <w:t xml:space="preserve"> </w:t>
      </w:r>
      <w:r w:rsidRPr="00F3740A">
        <w:t>No escopo da Seção de Operações, a organização de resposta poderá mobilizar quantos delegados do Chefe de Seção forem necessários para gerenciar as operações simultâneas.</w:t>
      </w:r>
    </w:p>
    <w:p w14:paraId="5A39BCB2" w14:textId="77777777" w:rsidR="005B5638" w:rsidRDefault="00F3740A" w:rsidP="00121F26">
      <w:pPr>
        <w:pStyle w:val="tier1Itext"/>
      </w:pPr>
      <w:r w:rsidRPr="00F3740A">
        <w:t xml:space="preserve">O </w:t>
      </w:r>
      <w:r w:rsidR="00ED59A7">
        <w:t xml:space="preserve">IC Local/OSC </w:t>
      </w:r>
      <w:r w:rsidRPr="00F3740A">
        <w:t>Delegado deve fornecer ao Chefe da Seção de Operações (OSC) as informações para preenchimento do formulário ICS 201</w:t>
      </w:r>
      <w:r w:rsidRPr="00F3740A">
        <w:rPr>
          <w:vertAlign w:val="superscript"/>
        </w:rPr>
        <w:footnoteReference w:id="6"/>
      </w:r>
      <w:r w:rsidRPr="00F3740A">
        <w:t xml:space="preserve"> (formulário “Relatório Geral do Incidente”) no início do evento e o formulário preenchido, quando possível, com o resumo da evolução do incidente antes de ca</w:t>
      </w:r>
      <w:r w:rsidR="005A72E5">
        <w:t>da reunião de avaliação da IMT.</w:t>
      </w:r>
    </w:p>
    <w:p w14:paraId="7408DB0B" w14:textId="77777777" w:rsidR="00F3740A" w:rsidRPr="00F3740A" w:rsidRDefault="00F3740A" w:rsidP="005A72E5">
      <w:pPr>
        <w:pStyle w:val="tier1Itext"/>
      </w:pPr>
      <w:r w:rsidRPr="00F3740A">
        <w:t>Esses relatórios fornecem informações atualizadas sobre a natureza, a localização e o andamento do estado de controle da(s) fonte(s), características do(s) material(</w:t>
      </w:r>
      <w:r w:rsidR="0028568C">
        <w:t>a</w:t>
      </w:r>
      <w:r w:rsidRPr="00F3740A">
        <w:t>is) derramado(s)/emitido(s), organização da resposta tática discretizada ao nível das ações, natureza e andamento destas ações de resposta. Também lista os recursos disponíveis, atribuídos e os já solicitados (com seu tempo estimado de chegada [ETA]), discriminados por frente de combate e progresso das ações de resposta, assim como os recursos inoperantes/fora de serviço.</w:t>
      </w:r>
    </w:p>
    <w:p w14:paraId="12C821CC" w14:textId="77777777" w:rsidR="00F3740A" w:rsidRPr="00F3740A" w:rsidRDefault="00F3740A" w:rsidP="005A72E5">
      <w:pPr>
        <w:pStyle w:val="tier1Itext"/>
      </w:pPr>
      <w:r w:rsidRPr="00F3740A">
        <w:lastRenderedPageBreak/>
        <w:t xml:space="preserve">Em um incidente de derramamento de óleo no mar, o </w:t>
      </w:r>
      <w:r w:rsidR="00ED59A7">
        <w:t>IC Local</w:t>
      </w:r>
      <w:r w:rsidRPr="00F3740A">
        <w:t xml:space="preserve">/OSC Delegado também conta com outras funções em sua Equipe de Suporte como os Capitães das embarcações dedicadas e de apoio, o oficial de segurança da instalação, o operador de rádio, a equipe específica do SOPEP e, se necessário, o médico de bordo. Outra possível função a ser acionada é a de Ajudante (Escrevente), que auxiliará o </w:t>
      </w:r>
      <w:r w:rsidR="00ED59A7">
        <w:t>IC Local</w:t>
      </w:r>
      <w:r w:rsidRPr="00F3740A">
        <w:t>/OSC Delegado com a gestão e registro das informações.</w:t>
      </w:r>
    </w:p>
    <w:p w14:paraId="22C538B2" w14:textId="77777777" w:rsidR="00F3740A" w:rsidRPr="00F3740A" w:rsidRDefault="00F3740A" w:rsidP="005A72E5">
      <w:pPr>
        <w:pStyle w:val="tier1Itext"/>
        <w:rPr>
          <w:rFonts w:cstheme="majorHAnsi"/>
          <w:szCs w:val="22"/>
        </w:rPr>
      </w:pPr>
      <w:r w:rsidRPr="00F3740A">
        <w:rPr>
          <w:rFonts w:cstheme="majorHAnsi"/>
          <w:szCs w:val="22"/>
        </w:rPr>
        <w:t xml:space="preserve">Dentre as principais responsabilidades do </w:t>
      </w:r>
      <w:r w:rsidR="00ED59A7">
        <w:rPr>
          <w:rFonts w:cstheme="majorHAnsi"/>
          <w:szCs w:val="22"/>
        </w:rPr>
        <w:t>IC Local</w:t>
      </w:r>
      <w:r w:rsidRPr="00F3740A">
        <w:rPr>
          <w:rFonts w:cstheme="majorHAnsi"/>
          <w:szCs w:val="22"/>
        </w:rPr>
        <w:t>/OSC Delegado estão:</w:t>
      </w:r>
    </w:p>
    <w:p w14:paraId="031CD73D"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F3740A">
        <w:rPr>
          <w:rFonts w:asciiTheme="majorHAnsi" w:hAnsiTheme="majorHAnsi"/>
        </w:rPr>
        <w:t>A implementação das medidas de segurança necessárias para proteger a área;</w:t>
      </w:r>
    </w:p>
    <w:p w14:paraId="0479F915"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solicitação ao Comandante(s) da(s) embarcação(ões) dedicada e/ou de apoio para conduzir uma análise dos perigos antes de se adentrar ao local da mancha e iniciar as operações (verificação da inflamabilidade ou toxicidade da atmosfera local);</w:t>
      </w:r>
    </w:p>
    <w:p w14:paraId="56555DC4"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implementação das medidas necessárias para controlar/cessar a fonte de óleo – tarefa inicialmente analisada pela Equipe de Resposta do SOPEP quando no caso de vazamentos ocorridos no interior da instalação;</w:t>
      </w:r>
    </w:p>
    <w:p w14:paraId="23FB0F72"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obtenção de informações atualizadas de correntes, estado do mar e climatológicas para auxiliar na previsão do deslocamento inicial do derramamento;</w:t>
      </w:r>
    </w:p>
    <w:p w14:paraId="718C5E8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confirmação do inventário de equipamentos de resposta disponíveis na instalação e nas embarcações próximas;</w:t>
      </w:r>
    </w:p>
    <w:p w14:paraId="31126FC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determinação se a embarcação de apoio é necessária no auxílio das operações de resposta;</w:t>
      </w:r>
    </w:p>
    <w:p w14:paraId="2B560061"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determinação se recursos adicionais serão necessários para a resposta local;</w:t>
      </w:r>
    </w:p>
    <w:p w14:paraId="1D5944BC"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elaboração e aprovação do Plano Inicial de Resposta ao Incidente que estabelecerá as medidas defensivas, propósitos e implementação de ações previstas, comunicando as ações de resposta à instalação e à tripulação e atribuindo tarefas para a equipe de resposta SOPEP nas instalações;</w:t>
      </w:r>
    </w:p>
    <w:p w14:paraId="04AE9C52"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coordenação da(s) equipe(s) de resposta nas instalações;</w:t>
      </w:r>
    </w:p>
    <w:p w14:paraId="39AF95DC"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F3740A">
        <w:rPr>
          <w:rFonts w:asciiTheme="majorHAnsi" w:hAnsiTheme="majorHAnsi"/>
        </w:rPr>
        <w:t>A comunicação com instalações próximas para informar sobre o incidente, a fim de que sejam adotadas as medidas preventivas adequadas; e</w:t>
      </w:r>
    </w:p>
    <w:p w14:paraId="2014E8DF" w14:textId="77777777" w:rsidR="00F3740A" w:rsidRPr="00F3740A" w:rsidRDefault="00F3740A"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F3740A">
        <w:rPr>
          <w:rFonts w:asciiTheme="majorHAnsi" w:hAnsiTheme="majorHAnsi"/>
        </w:rPr>
        <w:t>O registro de todas as ações e comunicações.</w:t>
      </w:r>
    </w:p>
    <w:p w14:paraId="5D368595" w14:textId="77777777" w:rsidR="00F6044C" w:rsidRPr="009E316F" w:rsidRDefault="00A968B6" w:rsidP="009D01BE">
      <w:pPr>
        <w:pStyle w:val="Heading2"/>
        <w:rPr>
          <w:lang w:val="pt-BR"/>
        </w:rPr>
      </w:pPr>
      <w:bookmarkStart w:id="84" w:name="_Toc523833881"/>
      <w:r w:rsidRPr="009E316F">
        <w:rPr>
          <w:lang w:val="pt-BR"/>
        </w:rPr>
        <w:lastRenderedPageBreak/>
        <w:t xml:space="preserve">Equipe de Suporte à </w:t>
      </w:r>
      <w:r w:rsidR="00EC39C3" w:rsidRPr="009E316F">
        <w:rPr>
          <w:lang w:val="pt-BR"/>
        </w:rPr>
        <w:t xml:space="preserve">Continuidade da Capacidade Operacional </w:t>
      </w:r>
      <w:r w:rsidRPr="009E316F">
        <w:rPr>
          <w:lang w:val="pt-BR"/>
        </w:rPr>
        <w:t>(BST)</w:t>
      </w:r>
      <w:bookmarkEnd w:id="84"/>
    </w:p>
    <w:p w14:paraId="0FAF856A" w14:textId="77777777" w:rsidR="00F3740A" w:rsidRPr="00F3740A" w:rsidRDefault="00F3740A" w:rsidP="00723A97">
      <w:pPr>
        <w:pStyle w:val="tier1Itext"/>
      </w:pPr>
      <w:r w:rsidRPr="00F3740A">
        <w:t>A Equipe de Suporte à Continuidade da Capacidade Operacional (BST), que realiza as operações de resposta a crises no nível da gestão da BP Energy, tem como principais responsabilidades a prestação de apoio à IMT, avaliando a necessidade de aporte de recursos adicionais às operações de resposta à emergência, e a gestão dos impactos do incidente sobre as operações da empresa, identificando, avaliando e tratando de forma pró-ativa as implicações de uma potencial crise e destas operações de resposta na manutenção da capacidade operacional da BP Energy.</w:t>
      </w:r>
    </w:p>
    <w:p w14:paraId="5B9DF6A4" w14:textId="77777777" w:rsidR="00F3740A" w:rsidRPr="00F3740A" w:rsidRDefault="00F3740A" w:rsidP="00723A97">
      <w:pPr>
        <w:pStyle w:val="tier1Itext"/>
      </w:pPr>
      <w:r w:rsidRPr="00F3740A">
        <w:t>Por causa da natureza do seu trabalho, o porte da BST é pequeno em comparação com a IMT típica. Apesar de ser de certa forma semelhante à estrutura desta última, a sua organização não se baseia no ICS.</w:t>
      </w:r>
    </w:p>
    <w:p w14:paraId="560BE830" w14:textId="77777777" w:rsidR="00F3740A" w:rsidRPr="00F3740A" w:rsidRDefault="00F3740A" w:rsidP="00723A97">
      <w:pPr>
        <w:pStyle w:val="tier1Itext"/>
      </w:pPr>
      <w:r w:rsidRPr="00F3740A">
        <w:t>É coordenada por um Gerente, apoiado por assessores cujas responsabilidades são semelhantes aos seus correspondentes temáticos no contexto da Equipe de Comando da IMT, mas com foco na manutenção da capacidade operacional da empresa e nas relações com as partes interessadas externas, em vez de participar diretamente na gestão do incidente.</w:t>
      </w:r>
    </w:p>
    <w:p w14:paraId="21D767E2" w14:textId="77777777" w:rsidR="00F3740A" w:rsidRPr="00F3740A" w:rsidRDefault="00F3740A" w:rsidP="00723A97">
      <w:pPr>
        <w:pStyle w:val="tier1Itext"/>
      </w:pPr>
      <w:r w:rsidRPr="00F3740A">
        <w:t>A BST realizará suas operações em pleno alinhamento com as diretrizes do Grupo de Gerenciamento de Crise &amp; Continuidade e Resposta a Emergência (CCM/ER) da BP e apoiada pelo Plano de Manutenção da Capacidade Operacional (BCP) para as operações da BP Energy.</w:t>
      </w:r>
    </w:p>
    <w:p w14:paraId="5FB918E6" w14:textId="0043CE12" w:rsidR="00F3740A" w:rsidRPr="00F3740A" w:rsidRDefault="00F3740A" w:rsidP="00723A97">
      <w:pPr>
        <w:pStyle w:val="tier1Itext"/>
      </w:pPr>
      <w:r w:rsidRPr="00F3740A">
        <w:t xml:space="preserve">Informações detalhadas a respeito </w:t>
      </w:r>
      <w:r w:rsidR="00611A02">
        <w:t xml:space="preserve">do processo de </w:t>
      </w:r>
      <w:r w:rsidRPr="00F3740A">
        <w:t xml:space="preserve">qualificação necessária para desempenho da sua função, obtida por meio de treinamentos e exercícios, estão descritas no </w:t>
      </w:r>
      <w:r w:rsidR="00D66D31" w:rsidRPr="00D66D31">
        <w:rPr>
          <w:b/>
        </w:rPr>
        <w:t>APÊNDICE</w:t>
      </w:r>
      <w:r w:rsidRPr="00D66D31">
        <w:rPr>
          <w:b/>
        </w:rPr>
        <w:t xml:space="preserve"> C</w:t>
      </w:r>
      <w:r w:rsidRPr="00F3740A">
        <w:t>.</w:t>
      </w:r>
    </w:p>
    <w:p w14:paraId="5AFD1A8D" w14:textId="77777777" w:rsidR="000F3DA6" w:rsidRPr="00CE6488" w:rsidRDefault="00F6044C" w:rsidP="009D01BE">
      <w:pPr>
        <w:pStyle w:val="Heading1"/>
        <w:rPr>
          <w:lang w:val="pt-BR"/>
        </w:rPr>
      </w:pPr>
      <w:bookmarkStart w:id="85" w:name="_Ref414455983"/>
      <w:bookmarkStart w:id="86" w:name="_Ref414455994"/>
      <w:bookmarkStart w:id="87" w:name="_Ref414534840"/>
      <w:bookmarkStart w:id="88" w:name="_Ref414537621"/>
      <w:bookmarkStart w:id="89" w:name="_Toc523833882"/>
      <w:r w:rsidRPr="00CE6488">
        <w:rPr>
          <w:lang w:val="pt-BR"/>
        </w:rPr>
        <w:t>C</w:t>
      </w:r>
      <w:r w:rsidR="00037F51" w:rsidRPr="00CE6488">
        <w:rPr>
          <w:lang w:val="pt-BR"/>
        </w:rPr>
        <w:t>OMUNICAÇÃO INICIAL E MOBILIZAÇÃO DA EOR</w:t>
      </w:r>
      <w:bookmarkEnd w:id="85"/>
      <w:bookmarkEnd w:id="86"/>
      <w:bookmarkEnd w:id="87"/>
      <w:bookmarkEnd w:id="88"/>
      <w:bookmarkEnd w:id="89"/>
    </w:p>
    <w:p w14:paraId="3AF07BC0" w14:textId="524E167B" w:rsidR="000C2F25" w:rsidRPr="000C2F25" w:rsidRDefault="004D4A24" w:rsidP="00723A97">
      <w:pPr>
        <w:pStyle w:val="tier1Itext"/>
      </w:pPr>
      <w:r>
        <w:t>A</w:t>
      </w:r>
      <w:r w:rsidR="000C2F25" w:rsidRPr="000C2F25">
        <w:t xml:space="preserve">ssim que uma comunicação inicial </w:t>
      </w:r>
      <w:r>
        <w:t xml:space="preserve">de </w:t>
      </w:r>
      <w:r w:rsidRPr="000C2F25">
        <w:t xml:space="preserve">um incidente </w:t>
      </w:r>
      <w:r>
        <w:t>com</w:t>
      </w:r>
      <w:r w:rsidRPr="000C2F25">
        <w:t xml:space="preserve"> vazamento de óleo </w:t>
      </w:r>
      <w:r w:rsidR="000C2F25" w:rsidRPr="000C2F25">
        <w:t>for feita para o Capitão</w:t>
      </w:r>
      <w:r>
        <w:t>, o</w:t>
      </w:r>
      <w:r w:rsidRPr="000C2F25">
        <w:t xml:space="preserve"> SOPEP da unidade será imediatamente acionado</w:t>
      </w:r>
      <w:r w:rsidR="000C2F25" w:rsidRPr="000C2F25">
        <w:t xml:space="preserve">. O Comandante do Incidente (IC) local avalia a necessidade do acionamento da Equipe de Resposta Tática (TRT) e, caso positivo, orienta a </w:t>
      </w:r>
      <w:r>
        <w:t>mesma a</w:t>
      </w:r>
      <w:r w:rsidR="000C2F25" w:rsidRPr="000C2F25">
        <w:t xml:space="preserve"> iniciar as ações de resposta que consideram:</w:t>
      </w:r>
    </w:p>
    <w:p w14:paraId="36C83723" w14:textId="77777777" w:rsidR="000C2F25" w:rsidRPr="000C2F25" w:rsidRDefault="000C2F25" w:rsidP="00EA2A77">
      <w:pPr>
        <w:pStyle w:val="itemx"/>
        <w:numPr>
          <w:ilvl w:val="0"/>
          <w:numId w:val="23"/>
        </w:numPr>
        <w:tabs>
          <w:tab w:val="left" w:pos="1122"/>
        </w:tabs>
        <w:spacing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 xml:space="preserve">O estabelecimento de medidas de segurança para iniciar as operações de resposta </w:t>
      </w:r>
      <w:r w:rsidR="005A72E5">
        <w:rPr>
          <w:rFonts w:asciiTheme="majorHAnsi" w:hAnsiTheme="majorHAnsi" w:cstheme="majorHAnsi"/>
          <w:sz w:val="22"/>
          <w:szCs w:val="22"/>
          <w:lang w:val="pt-BR"/>
        </w:rPr>
        <w:t>–</w:t>
      </w:r>
      <w:r w:rsidRPr="000C2F25">
        <w:rPr>
          <w:rFonts w:asciiTheme="majorHAnsi" w:hAnsiTheme="majorHAnsi" w:cstheme="majorHAnsi"/>
          <w:sz w:val="22"/>
          <w:szCs w:val="22"/>
          <w:lang w:val="pt-BR"/>
        </w:rPr>
        <w:t xml:space="preserve"> objetivando a preservação da segurança das equipes de resposta e tripulações das unidades;</w:t>
      </w:r>
    </w:p>
    <w:p w14:paraId="39F81102" w14:textId="77777777" w:rsidR="000C2F25" w:rsidRPr="000C2F25" w:rsidRDefault="000C2F25" w:rsidP="00EA2A77">
      <w:pPr>
        <w:pStyle w:val="itemx"/>
        <w:numPr>
          <w:ilvl w:val="0"/>
          <w:numId w:val="23"/>
        </w:numPr>
        <w:tabs>
          <w:tab w:val="left" w:pos="1122"/>
        </w:tabs>
        <w:spacing w:before="0"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O controle e eliminação da fonte do vazamento (quando esta está a bordo);</w:t>
      </w:r>
    </w:p>
    <w:p w14:paraId="7CB144A7" w14:textId="77777777" w:rsidR="000C2F25" w:rsidRPr="000C2F25" w:rsidRDefault="000C2F25" w:rsidP="00EA2A77">
      <w:pPr>
        <w:pStyle w:val="itemx"/>
        <w:numPr>
          <w:ilvl w:val="0"/>
          <w:numId w:val="23"/>
        </w:numPr>
        <w:tabs>
          <w:tab w:val="left" w:pos="1122"/>
        </w:tabs>
        <w:spacing w:before="0" w:after="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t>A contingência do óleo derramado a bordo, evitando que ele atinja o mar (sempre que for possível e seguro fazê-lo); e</w:t>
      </w:r>
    </w:p>
    <w:p w14:paraId="37A3AD16" w14:textId="77777777" w:rsidR="000C2F25" w:rsidRPr="000C2F25" w:rsidRDefault="000C2F25" w:rsidP="00EA2A77">
      <w:pPr>
        <w:pStyle w:val="itemx"/>
        <w:numPr>
          <w:ilvl w:val="0"/>
          <w:numId w:val="23"/>
        </w:numPr>
        <w:tabs>
          <w:tab w:val="left" w:pos="1122"/>
        </w:tabs>
        <w:spacing w:before="0" w:after="240" w:line="360" w:lineRule="auto"/>
        <w:ind w:left="714" w:hanging="357"/>
        <w:rPr>
          <w:rFonts w:asciiTheme="majorHAnsi" w:hAnsiTheme="majorHAnsi" w:cstheme="majorHAnsi"/>
          <w:sz w:val="22"/>
          <w:szCs w:val="22"/>
          <w:lang w:val="pt-BR"/>
        </w:rPr>
      </w:pPr>
      <w:r w:rsidRPr="000C2F25">
        <w:rPr>
          <w:rFonts w:asciiTheme="majorHAnsi" w:hAnsiTheme="majorHAnsi" w:cstheme="majorHAnsi"/>
          <w:sz w:val="22"/>
          <w:szCs w:val="22"/>
          <w:lang w:val="pt-BR"/>
        </w:rPr>
        <w:lastRenderedPageBreak/>
        <w:t>A limpeza do derramamento a bordo.</w:t>
      </w:r>
    </w:p>
    <w:p w14:paraId="1D33E68F" w14:textId="3FD62E38" w:rsidR="000C2F25" w:rsidRPr="000C2F25" w:rsidRDefault="000C2F25" w:rsidP="00723A97">
      <w:pPr>
        <w:pStyle w:val="tier1Itext"/>
      </w:pPr>
      <w:r w:rsidRPr="000C2F25">
        <w:t xml:space="preserve">Em todos os casos de derramamento, </w:t>
      </w:r>
      <w:r w:rsidR="004D4A24">
        <w:t>a</w:t>
      </w:r>
      <w:r w:rsidRPr="000C2F25">
        <w:t xml:space="preserve">o Comandante do Incidente da TRT será </w:t>
      </w:r>
      <w:r w:rsidR="004D4A24">
        <w:t xml:space="preserve">atribuído a função de </w:t>
      </w:r>
      <w:r w:rsidRPr="000C2F25">
        <w:t>IC inicial (ou primário). Ele será encarregado de reunir as informações disponíveis para a comunicação inicial</w:t>
      </w:r>
      <w:r w:rsidRPr="000C2F25">
        <w:rPr>
          <w:rStyle w:val="FootnoteReference"/>
          <w:rFonts w:cstheme="majorHAnsi"/>
          <w:szCs w:val="22"/>
        </w:rPr>
        <w:footnoteReference w:id="7"/>
      </w:r>
      <w:r w:rsidRPr="000C2F25">
        <w:t xml:space="preserve"> </w:t>
      </w:r>
      <w:r w:rsidR="004D4A24">
        <w:t xml:space="preserve">com o IC </w:t>
      </w:r>
      <w:r w:rsidRPr="000C2F25">
        <w:t>da IMT.</w:t>
      </w:r>
    </w:p>
    <w:p w14:paraId="6B20ACF3" w14:textId="6A0B9C56" w:rsidR="000C2F25" w:rsidRPr="000C2F25" w:rsidRDefault="000C2F25" w:rsidP="00723A97">
      <w:pPr>
        <w:pStyle w:val="tier1Itext"/>
      </w:pPr>
      <w:r w:rsidRPr="00EE0E12">
        <w:t>Em todo evento em que o óleo derramado chegar ao mar, o PEI deve ser acionado.</w:t>
      </w:r>
      <w:r w:rsidRPr="000C2F25">
        <w:rPr>
          <w:b/>
        </w:rPr>
        <w:t xml:space="preserve"> </w:t>
      </w:r>
      <w:r w:rsidRPr="000C2F25">
        <w:t xml:space="preserve">Independente do acionamento da TRT ou da </w:t>
      </w:r>
      <w:r w:rsidR="004D4A24">
        <w:t xml:space="preserve">própria </w:t>
      </w:r>
      <w:r w:rsidRPr="000C2F25">
        <w:t xml:space="preserve">IMT, alguns dos procedimentos descritos no </w:t>
      </w:r>
      <w:r w:rsidR="004D4A24">
        <w:t>plano</w:t>
      </w:r>
      <w:r w:rsidRPr="000C2F25">
        <w:t xml:space="preserve"> devem ser postos em prática, mesmo em derramamentos considerados menores ou residuais</w:t>
      </w:r>
      <w:r w:rsidR="004D4A24">
        <w:t>; ações</w:t>
      </w:r>
      <w:r w:rsidRPr="000C2F25">
        <w:t xml:space="preserve"> como</w:t>
      </w:r>
      <w:r w:rsidR="004D4A24">
        <w:t>:</w:t>
      </w:r>
      <w:r w:rsidRPr="000C2F25">
        <w:t xml:space="preserve"> (i) a vistoria a ser feita pela embarcação dedicada ao longo da área de dispersão da mancha de óleo derramado, (ii) a estimativa das dimensões e aspecto da mancha, e (iii) os procedimentos de rastreamento e</w:t>
      </w:r>
      <w:r w:rsidR="004D4A24">
        <w:t>/ou</w:t>
      </w:r>
      <w:r w:rsidRPr="000C2F25">
        <w:t xml:space="preserve"> monitoramento da </w:t>
      </w:r>
      <w:r w:rsidRPr="005A2203">
        <w:t>mancha</w:t>
      </w:r>
      <w:r w:rsidR="004D4A24">
        <w:t>, quando necessários</w:t>
      </w:r>
      <w:r w:rsidRPr="005A2203">
        <w:t xml:space="preserve">. O </w:t>
      </w:r>
      <w:r w:rsidRPr="00EE0E12">
        <w:t xml:space="preserve">IC </w:t>
      </w:r>
      <w:r w:rsidR="001F002C" w:rsidRPr="005A2203">
        <w:t>local</w:t>
      </w:r>
      <w:r w:rsidR="001F002C" w:rsidRPr="000C2F25">
        <w:t xml:space="preserve"> </w:t>
      </w:r>
      <w:r w:rsidRPr="000C2F25">
        <w:t>ficará diretamente responsável pelo gerenciamento do PEI nos casos de vazamentos em que a IMT não é acionada, recebendo o apoio do IC/IMT e de alguns membros específicos da IMT para executar ações como a verificação de viabili</w:t>
      </w:r>
      <w:r w:rsidR="00F55666">
        <w:t>dade de estratégias de resposta;</w:t>
      </w:r>
      <w:r w:rsidRPr="000C2F25">
        <w:t xml:space="preserve"> o apoio para o cálculo da estimativa da quantidade de óleo derramado a partir das dimensões e aspecto da mancha</w:t>
      </w:r>
      <w:r w:rsidR="00F55666">
        <w:t>;</w:t>
      </w:r>
      <w:r w:rsidRPr="000C2F25">
        <w:t xml:space="preserve"> a orientação sobre a coleta de amostras de óleo (caso necessária);</w:t>
      </w:r>
      <w:r w:rsidR="00A85316">
        <w:t xml:space="preserve"> </w:t>
      </w:r>
      <w:r w:rsidRPr="000C2F25">
        <w:t>e para a notificação formal às agências governamentais.</w:t>
      </w:r>
    </w:p>
    <w:p w14:paraId="5F97DE89" w14:textId="77777777" w:rsidR="000C2F25" w:rsidRPr="000C2F25" w:rsidRDefault="000C2F25" w:rsidP="00723A97">
      <w:pPr>
        <w:pStyle w:val="tier1Itext"/>
      </w:pPr>
      <w:r w:rsidRPr="000C2F25">
        <w:t>Quanto mais o evento crescer em magnitude e complexidade, mais importante e vital é a mobilização da IMT e, até mesmo, da BST, para apoiar e complementar a resposta da equipe local. Para este escopo, o acionamento da IMT pode promover ainda a gerência da disponibilização de Especialistas Técnicos a serem transferidos para as instalações, a fim de reforçar as habilidades a bordo para lidar com uma situação de emergência específica. A gestão da resposta ao deslocamento da mancha de óleo derramado deve ser feita pela IMT, sendo apoiada pela TRT em ações como a orientação e comunicação com as embarcações de resposta (dedicada e de apoio) no campo.</w:t>
      </w:r>
    </w:p>
    <w:p w14:paraId="60411C23" w14:textId="77777777" w:rsidR="000C2F25" w:rsidRPr="000C2F25" w:rsidRDefault="000C2F25" w:rsidP="005A72E5">
      <w:pPr>
        <w:pStyle w:val="tier1Itext"/>
        <w:keepLines w:val="0"/>
      </w:pPr>
      <w:r w:rsidRPr="000C2F25">
        <w:t xml:space="preserve">Há um caso específico, não relacionado a um incidente no campo, no qual o PEI também é acionado: é o cenário chamado de “mancha órfã” e caracteriza-se sempre que uma mancha de óleo é observada na área do campo e não possui relação com nenhuma fonte de operação no mesmo, garantida por procedimentos de verificação geral em todos os elementos operacionais da </w:t>
      </w:r>
      <w:r w:rsidRPr="000C2F25">
        <w:lastRenderedPageBreak/>
        <w:t xml:space="preserve">atividade. Independente da não relação causal de origem da mancha, é uma exigência legal que o evento seja comunicado e que sejam fornecidas </w:t>
      </w:r>
      <w:r w:rsidR="005A72E5">
        <w:t>as ações de resposta adequadas.</w:t>
      </w:r>
    </w:p>
    <w:p w14:paraId="3CE159E9" w14:textId="276258BE" w:rsidR="000C2F25" w:rsidRPr="000C2F25" w:rsidRDefault="000C2F25" w:rsidP="00723A97">
      <w:pPr>
        <w:pStyle w:val="tier1Itext"/>
      </w:pPr>
      <w:r w:rsidRPr="000C2F25">
        <w:t>Em geral, manchas órfãs apresentam filmes de óleo extremamente finos, bastante intemperizados (com aspecto pouco visível indo para o prateado), grandes o suficiente para serem vistos das instalações, mas normalmente combatidas através de dispersão mecânica ou dispersas naturalmente. Ainda assim, a avaliação da mancha deve ser feita pelo IC</w:t>
      </w:r>
      <w:r w:rsidR="00A85316">
        <w:t xml:space="preserve"> Local</w:t>
      </w:r>
      <w:r w:rsidR="00F55666">
        <w:t>,</w:t>
      </w:r>
      <w:r w:rsidR="00A85316">
        <w:t xml:space="preserve"> </w:t>
      </w:r>
      <w:r w:rsidR="00F55666">
        <w:t xml:space="preserve">podendo contar com o suporte do </w:t>
      </w:r>
      <w:r w:rsidRPr="000C2F25">
        <w:t>IC/IMT, a fim de avaliar a necessidade de acionamento da IMT, em alinhamento com o procedimento rotineiro.</w:t>
      </w:r>
    </w:p>
    <w:p w14:paraId="2C430867" w14:textId="242B343D" w:rsidR="000C2F25" w:rsidRDefault="000C2F25" w:rsidP="00723A97">
      <w:pPr>
        <w:pStyle w:val="tier1Itext"/>
      </w:pPr>
      <w:r w:rsidRPr="000C2F25">
        <w:t xml:space="preserve">Dentro das operações da BP Energy, com o objetivo de garantir uma resposta de emergência em tempo hábil, o </w:t>
      </w:r>
      <w:r w:rsidR="00CC4ED0">
        <w:t>IC</w:t>
      </w:r>
      <w:r w:rsidRPr="000C2F25">
        <w:t xml:space="preserve"> ou um dos membros da Equipe Geral da IMT fica de prontidão 24x7</w:t>
      </w:r>
      <w:r w:rsidRPr="000C2F25">
        <w:rPr>
          <w:rStyle w:val="FootnoteReference"/>
          <w:rFonts w:cstheme="majorHAnsi"/>
          <w:szCs w:val="22"/>
        </w:rPr>
        <w:footnoteReference w:id="8"/>
      </w:r>
      <w:r w:rsidRPr="000C2F25">
        <w:t xml:space="preserve">, sendo o “Responsável de Plantão” (DUTY ROTA). Este representante é um dos membros mais qualificados e treinados da IMT, trocado semanalmente, sendo responsável pelas primeiras ações de resposta (no caso do IC) ou pela ativação do IC (no caso dos Chefes de Seção). Possui um número próprio de telefone móvel específico de plantão, utilizado sempre para as comunicações iniciais em caso de um derramamento ou outro tipo de incidente. Alternativamente o Coordenador de </w:t>
      </w:r>
      <w:r w:rsidR="00F55666" w:rsidRPr="000C2F25">
        <w:t xml:space="preserve">Resposta à Emergência e Gestão de Crise e Continuidade </w:t>
      </w:r>
      <w:r w:rsidRPr="000C2F25">
        <w:t xml:space="preserve"> também pode receber a comunicação inicial, ficando então responsável pela ativação do IC.</w:t>
      </w:r>
    </w:p>
    <w:p w14:paraId="22A61935" w14:textId="77777777" w:rsidR="000C2F25" w:rsidRPr="000C2F25" w:rsidRDefault="000C2F25" w:rsidP="00723A97">
      <w:pPr>
        <w:pStyle w:val="tier1Itext"/>
      </w:pPr>
      <w:r w:rsidRPr="000C2F25">
        <w:t xml:space="preserve">Todos os membros da BST e da IMT estão elencados em uma lista que é continuamente gerenciada pela Equipe de Resposta à Emergência e Gestão de Crise e Continuidade (CCM/ER), cuja versão atualizada é mensalmente divulgada para todos os membros das equipes de resposta à emergência e disponibilizada na intranet da BP Energy. Também é disponibilizada uma cópia desta versão atualizada no Posto de Comando </w:t>
      </w:r>
      <w:r w:rsidR="005A72E5">
        <w:t>de Incidentes (ICP) da empresa.</w:t>
      </w:r>
    </w:p>
    <w:p w14:paraId="5921CC29" w14:textId="77777777" w:rsidR="000C2F25" w:rsidRPr="000C2F25" w:rsidRDefault="000C2F25" w:rsidP="005A72E5">
      <w:pPr>
        <w:pStyle w:val="tier1Itext"/>
        <w:keepLines w:val="0"/>
      </w:pPr>
      <w:r w:rsidRPr="000C2F25">
        <w:t xml:space="preserve">A estrutura da lista foi concebida para apresentar as informações necessárias como os telefones do ICP e os contatos dos membros da BST e da IMT (números dos telefones do escritório, celular e residencial, bem como os </w:t>
      </w:r>
      <w:r w:rsidRPr="000C2F25">
        <w:rPr>
          <w:i/>
        </w:rPr>
        <w:t>e-mails</w:t>
      </w:r>
      <w:r w:rsidRPr="000C2F25">
        <w:t xml:space="preserve">), indicando quem são os membros envolvidos na DUTY ROTA. A lista também apresenta endereços de </w:t>
      </w:r>
      <w:r w:rsidRPr="000C2F25">
        <w:rPr>
          <w:i/>
        </w:rPr>
        <w:t>e-mail</w:t>
      </w:r>
      <w:r w:rsidRPr="000C2F25">
        <w:t xml:space="preserve"> de alguns grupos (ICs, equipes e funções da Equipe Geral), o que permite que as informações importantes possam ser enviadas para todos os membros desses grupos simultaneamente. Também é destacado o número de plantão da DUTY ROTA e dos plantões de segurança patrimonial e do suporte de informática.</w:t>
      </w:r>
      <w:r w:rsidR="00A85316">
        <w:t xml:space="preserve"> </w:t>
      </w:r>
      <w:r w:rsidRPr="000C2F25">
        <w:t xml:space="preserve">O ICP é uma instalação </w:t>
      </w:r>
      <w:r w:rsidRPr="000C2F25">
        <w:lastRenderedPageBreak/>
        <w:t>de resposta em que são realizadas as funções e atividades de apoio estratégico. A BP Energy possui um ICP na sede da empresa, na Barra da Tijuca, Rio de Janeiro. Dentro desta instalação a empresa mantém toda a infraestrutura de TI e comunicação, os formulários e material padrão BP de seu ICS, cópias do seu Plano de Gerenciamento de Resposta à Emergência, do Plano de Emergência Individual (PEI) para a operação no Bloco FZA-M-59, mapas, desenhos e outros materiais de escritório.</w:t>
      </w:r>
    </w:p>
    <w:p w14:paraId="00A22CCC" w14:textId="77777777" w:rsidR="000C2F25" w:rsidRPr="000C2F25" w:rsidRDefault="000C2F25" w:rsidP="00723A97">
      <w:pPr>
        <w:pStyle w:val="tier1Itext"/>
      </w:pPr>
      <w:r w:rsidRPr="000C2F25">
        <w:rPr>
          <w:szCs w:val="22"/>
        </w:rPr>
        <w:t>As reuniões semanais de passagem de</w:t>
      </w:r>
      <w:r w:rsidRPr="000C2F25">
        <w:t xml:space="preserve"> trabalho do responsável da DUTY ROTA são realizadas com uma agenda pré-definida, que permite a promoção de discussões sobre os eventos ocorridos na semana em curso e </w:t>
      </w:r>
      <w:r w:rsidR="00CC4ED0">
        <w:t xml:space="preserve">sobre </w:t>
      </w:r>
      <w:r w:rsidRPr="000C2F25">
        <w:t xml:space="preserve">os riscos relacionados com as atividades previstas para a semana seguinte; a avaliação do desempenho da IMT no caso de um acionamento; acompanhamento das realizações dos planos de ação; a verificação das condições operacionais do próprio ICP e outras questões relacionadas com o sistema de resposta (como exercícios mensais de emergência do tipo </w:t>
      </w:r>
      <w:r w:rsidRPr="000C2F25">
        <w:rPr>
          <w:i/>
        </w:rPr>
        <w:t>tabletop</w:t>
      </w:r>
      <w:r w:rsidRPr="000C2F25">
        <w:t xml:space="preserve"> ou de comunicações). Para estas reuniões são convidados os membros disponíveis da Equipe Geral e, no caso de discussões específicas e/ou exercícios, membros selecionados das equipes de Comando e de Suporte.</w:t>
      </w:r>
    </w:p>
    <w:p w14:paraId="689D30CD" w14:textId="2763AC04" w:rsidR="000C2F25" w:rsidRPr="000C2F25" w:rsidRDefault="000C2F25" w:rsidP="00723A97">
      <w:pPr>
        <w:pStyle w:val="tier1Itext"/>
      </w:pPr>
      <w:r w:rsidRPr="000C2F25">
        <w:t>No caso de ocorrência de um incidente com derramamento de óleo nas operações no Bloco FZA-M-59, a TRT local é ativada, a fim de avaliar a causa e iniciar as ações de resposta para o controle da fonte. Imediatamente após a coleta das informações iniciais sobre o incidente, é feita a notificação para o DUTY ROTA da IMT, através, mas não exclusivamente, do número de telefone do plantão de emergência, seguindo as instruções do Procedimento</w:t>
      </w:r>
      <w:r w:rsidR="00A16591">
        <w:t xml:space="preserve"> </w:t>
      </w:r>
      <w:r w:rsidRPr="000C2F25">
        <w:t>de Acionamento/Notificação da IMT/BST. Se o derramamento atingir o mar, o PEI deverá ser ativado.</w:t>
      </w:r>
    </w:p>
    <w:p w14:paraId="71660622" w14:textId="77777777" w:rsidR="000C2F25" w:rsidRPr="000C2F25" w:rsidRDefault="000C2F25" w:rsidP="00723A97">
      <w:pPr>
        <w:pStyle w:val="tier1Itext"/>
      </w:pPr>
      <w:r w:rsidRPr="000C2F25">
        <w:t>Com base nas informações fornecidas no Formulário Geral do Incidente (</w:t>
      </w:r>
      <w:r w:rsidR="00CC4ED0">
        <w:t xml:space="preserve">primeira </w:t>
      </w:r>
      <w:r w:rsidRPr="000C2F25">
        <w:t>notificação) pelo IC inicial, o IC/IMT realizará uma avaliação da situação, considerando a necessidade de escalonar o gerenciamento existente e se o potencial cenário de pior caso do incidente indica a capacidade de afetar a reputação da BP Energy e a manutenção de sua capacidade operacional, segundo suas prioridades de resposta (pessoas, meio ambiente, propriedades e manutenção da capacidade operacional). As decisões de ativar a IMT e a BST se basearão no julgamento destes pontos analisados e na opinião de outros membros da Equipe Geral consultados, considerando a predisposição inicial de reagir ao potencial pior caso do incidente. No caso desta decisão de acionamento da IMT e da BST, o IC procederá como descrito abaixo e notificará o gerente da BST.</w:t>
      </w:r>
    </w:p>
    <w:p w14:paraId="72062D9A" w14:textId="5A616286" w:rsidR="000C2F25" w:rsidRPr="000C2F25" w:rsidRDefault="000C2F25" w:rsidP="00723A97">
      <w:pPr>
        <w:pStyle w:val="tier1Itext"/>
      </w:pPr>
      <w:r w:rsidRPr="000C2F25">
        <w:lastRenderedPageBreak/>
        <w:t>Assim, no caso de um derramamento significativo ou de um cenário avaliado como potencialmente significativo em que se requer o apoio d</w:t>
      </w:r>
      <w:r w:rsidR="00281036">
        <w:t>e outras funções d</w:t>
      </w:r>
      <w:r w:rsidRPr="000C2F25">
        <w:t>a IMT para a resposta, o IC pode decidir sobre este acionamento, identificando aqueles membros da Equipe de Suporte apropriados para as características do incidente, juntamente com os Chefes de Seções, convocando-os ao ICP da Barra</w:t>
      </w:r>
      <w:r w:rsidR="00A85316">
        <w:t xml:space="preserve"> da Tijuca</w:t>
      </w:r>
      <w:r w:rsidRPr="000C2F25">
        <w:t>.</w:t>
      </w:r>
    </w:p>
    <w:p w14:paraId="72105278" w14:textId="552F517C" w:rsidR="000C2F25" w:rsidRPr="000C2F25" w:rsidRDefault="000C2F25" w:rsidP="00723A97">
      <w:pPr>
        <w:pStyle w:val="tier1Itext"/>
      </w:pPr>
      <w:r w:rsidRPr="000C2F25">
        <w:t xml:space="preserve">Formar-se-á então uma célula inicial da IMT composta pelo IC e os Chefes de Seções mobilizados, que serão convocados imediatamente para responder a uma emergência durante o turno de trabalho. Caso algum membro esteja temporariamente ausente, será substituído por outro membro da IMT que desempenhe a função demandada, até a chegada do membro convocado. Em caso de emergência fora do turno de trabalho, o tempo esperado de mobilização desta célula inicial é de </w:t>
      </w:r>
      <w:r w:rsidR="00281036">
        <w:t xml:space="preserve">até </w:t>
      </w:r>
      <w:r w:rsidRPr="000C2F25">
        <w:t>02 (duas) horas.</w:t>
      </w:r>
    </w:p>
    <w:p w14:paraId="7738CA97" w14:textId="1A45081D" w:rsidR="000C2F25" w:rsidRPr="000C2F25" w:rsidRDefault="000C2F25" w:rsidP="00723A97">
      <w:pPr>
        <w:pStyle w:val="tier1Itext"/>
      </w:pPr>
      <w:r w:rsidRPr="000C2F25">
        <w:t xml:space="preserve">O acionamento dos membros das Equipes de Suporte e de Comando da IMT pode ser feito através de chamadas telefônicas para seus contatos individuais na lista ou utilizando o sistema </w:t>
      </w:r>
      <w:r w:rsidRPr="000C2F25">
        <w:rPr>
          <w:i/>
        </w:rPr>
        <w:t>Send</w:t>
      </w:r>
      <w:r w:rsidR="0069473B">
        <w:rPr>
          <w:i/>
        </w:rPr>
        <w:t xml:space="preserve"> </w:t>
      </w:r>
      <w:r w:rsidRPr="000C2F25">
        <w:rPr>
          <w:i/>
        </w:rPr>
        <w:t>Word</w:t>
      </w:r>
      <w:r w:rsidR="0069473B">
        <w:rPr>
          <w:i/>
        </w:rPr>
        <w:t xml:space="preserve"> </w:t>
      </w:r>
      <w:r w:rsidRPr="000C2F25">
        <w:rPr>
          <w:i/>
        </w:rPr>
        <w:t>Now</w:t>
      </w:r>
      <w:r w:rsidRPr="000C2F25">
        <w:t xml:space="preserve">, um sistema automatizado de alerta de notificação e de acionamento, em que um grande número de pessoas pode ser alertado e acionado em um curto período de tempo. Este sistema também tem recursos que permitem que as pessoas respondam de volta a informação </w:t>
      </w:r>
      <w:r w:rsidR="00281036">
        <w:t>indicando</w:t>
      </w:r>
      <w:r w:rsidRPr="000C2F25">
        <w:t xml:space="preserve"> a sua disponibilidade</w:t>
      </w:r>
      <w:r w:rsidR="00281036">
        <w:t xml:space="preserve"> em atendê-la</w:t>
      </w:r>
      <w:r w:rsidRPr="000C2F25">
        <w:t>.</w:t>
      </w:r>
    </w:p>
    <w:p w14:paraId="58C0EC94" w14:textId="77777777" w:rsidR="000C2F25" w:rsidRPr="000C2F25" w:rsidRDefault="000C2F25" w:rsidP="00723A97">
      <w:pPr>
        <w:pStyle w:val="tier1Itext"/>
      </w:pPr>
      <w:r w:rsidRPr="000C2F25">
        <w:t xml:space="preserve">A liderança dentro de cada função </w:t>
      </w:r>
      <w:r w:rsidR="00CC4ED0" w:rsidRPr="000C2F25">
        <w:t>d</w:t>
      </w:r>
      <w:r w:rsidR="00CC4ED0">
        <w:t>a</w:t>
      </w:r>
      <w:r w:rsidR="00CC4ED0" w:rsidRPr="000C2F25">
        <w:t xml:space="preserve"> </w:t>
      </w:r>
      <w:r w:rsidRPr="000C2F25">
        <w:t xml:space="preserve">IMT deverá assegurar o acionamento, a logística de mobilização necessária e atribuições dos seus subordinados, sejam eles próprios (da BP) ou de terceiros (consultores e especialistas externos). Estima-se que a mobilização de todos os integrantes </w:t>
      </w:r>
      <w:r w:rsidR="00CC4ED0" w:rsidRPr="000C2F25">
        <w:t>d</w:t>
      </w:r>
      <w:r w:rsidR="00CC4ED0">
        <w:t>a</w:t>
      </w:r>
      <w:r w:rsidR="00CC4ED0" w:rsidRPr="000C2F25">
        <w:t xml:space="preserve"> </w:t>
      </w:r>
      <w:r w:rsidRPr="000C2F25">
        <w:t>IMT ocorrerá em até 06 (seis) horas, a depender do horário e circunstâncias do incidente.</w:t>
      </w:r>
    </w:p>
    <w:p w14:paraId="7C40CEFE" w14:textId="77777777" w:rsidR="000C2F25" w:rsidRPr="000C2F25" w:rsidRDefault="000C2F25" w:rsidP="00723A97">
      <w:pPr>
        <w:pStyle w:val="tier1Itext"/>
      </w:pPr>
      <w:r w:rsidRPr="000C2F25">
        <w:t>Ressalta-se que os especialistas técnicos e contratados são previamente identificados pelas equipes/unidades de resposta, que comumente usam este tipo de apoio, sendo normalmente ativados quando da sua necessidade (modelo denominado de “</w:t>
      </w:r>
      <w:r w:rsidRPr="000C2F25">
        <w:rPr>
          <w:i/>
        </w:rPr>
        <w:t>Call Out</w:t>
      </w:r>
      <w:r w:rsidRPr="000C2F25">
        <w:t>”). No entanto, as organizações de resposta de derramamento de óleo (OSROs) consideradas neste Plano ficam sempre em estado de prontidão, para o caso de qualquer ativação. Se a magnitude e complexidade do incidente assim requerem, OSROs internacionais também poderão ser acionadas e fornecerão os recursos iniciais demandados em um prazo de 12 a 48 horas após o tempo de acionamento, de acordo com a sua natureza operacional.</w:t>
      </w:r>
    </w:p>
    <w:p w14:paraId="5D51CF52" w14:textId="77777777" w:rsidR="000C2F25" w:rsidRPr="000C2F25" w:rsidRDefault="000C2F25" w:rsidP="00723A97">
      <w:pPr>
        <w:pStyle w:val="tier1Itext"/>
      </w:pPr>
      <w:r w:rsidRPr="000C2F25">
        <w:t xml:space="preserve">Logo após a decisão de acionar </w:t>
      </w:r>
      <w:r w:rsidR="0006347F">
        <w:t>a</w:t>
      </w:r>
      <w:r w:rsidR="0006347F" w:rsidRPr="000C2F25">
        <w:t xml:space="preserve"> </w:t>
      </w:r>
      <w:r w:rsidRPr="000C2F25">
        <w:t>IMT, os protocolos do ICS já estarão implementados com o uso dos formulários próprios para registro e troca de informações, bem como a definição da periodicidade dos contatos atualizados entre a TRT e a IMT.</w:t>
      </w:r>
    </w:p>
    <w:p w14:paraId="268B701B" w14:textId="77777777" w:rsidR="000C2F25" w:rsidRPr="000C2F25" w:rsidRDefault="000C2F25" w:rsidP="00723A97">
      <w:pPr>
        <w:pStyle w:val="tier1Itext"/>
      </w:pPr>
      <w:r w:rsidRPr="000C2F25">
        <w:lastRenderedPageBreak/>
        <w:t xml:space="preserve">A </w:t>
      </w:r>
      <w:r w:rsidRPr="000C2F25">
        <w:rPr>
          <w:b/>
          <w:highlight w:val="yellow"/>
        </w:rPr>
        <w:fldChar w:fldCharType="begin"/>
      </w:r>
      <w:r w:rsidRPr="000C2F25">
        <w:rPr>
          <w:b/>
        </w:rPr>
        <w:instrText xml:space="preserve"> REF _Ref412814779 \h </w:instrText>
      </w:r>
      <w:r w:rsidRPr="000C2F25">
        <w:rPr>
          <w:b/>
          <w:highlight w:val="yellow"/>
        </w:rPr>
        <w:instrText xml:space="preserve"> \* MERGEFORMAT </w:instrText>
      </w:r>
      <w:r w:rsidRPr="000C2F25">
        <w:rPr>
          <w:b/>
          <w:highlight w:val="yellow"/>
        </w:rPr>
      </w:r>
      <w:r w:rsidRPr="000C2F25">
        <w:rPr>
          <w:b/>
          <w:highlight w:val="yellow"/>
        </w:rPr>
        <w:fldChar w:fldCharType="separate"/>
      </w:r>
      <w:r w:rsidR="00897470" w:rsidRPr="00897470">
        <w:rPr>
          <w:b/>
        </w:rPr>
        <w:t>Figura 4</w:t>
      </w:r>
      <w:r w:rsidRPr="000C2F25">
        <w:rPr>
          <w:b/>
          <w:highlight w:val="yellow"/>
        </w:rPr>
        <w:fldChar w:fldCharType="end"/>
      </w:r>
      <w:r w:rsidRPr="000C2F25">
        <w:t xml:space="preserve"> apresenta o fluxo de ativação adotado pela empresa no caso de derramamento de óleo no mar.</w:t>
      </w:r>
    </w:p>
    <w:p w14:paraId="4E588430" w14:textId="77777777" w:rsidR="000C2F25" w:rsidRDefault="00F50571" w:rsidP="004B4E3F">
      <w:pPr>
        <w:pStyle w:val="tier1Itext"/>
        <w:keepLines w:val="0"/>
        <w:spacing w:before="0" w:after="0" w:line="240" w:lineRule="auto"/>
        <w:jc w:val="center"/>
      </w:pPr>
      <w:r>
        <w:rPr>
          <w:noProof/>
          <w:lang w:val="en-US"/>
        </w:rPr>
        <w:drawing>
          <wp:inline distT="0" distB="0" distL="0" distR="0" wp14:anchorId="5A6F0207" wp14:editId="6FADA134">
            <wp:extent cx="4966417" cy="6934200"/>
            <wp:effectExtent l="0" t="0" r="5715" b="0"/>
            <wp:docPr id="1073742019" name="Imagem 107374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89751" cy="6966780"/>
                    </a:xfrm>
                    <a:prstGeom prst="rect">
                      <a:avLst/>
                    </a:prstGeom>
                    <a:noFill/>
                  </pic:spPr>
                </pic:pic>
              </a:graphicData>
            </a:graphic>
          </wp:inline>
        </w:drawing>
      </w:r>
    </w:p>
    <w:p w14:paraId="34D4111C" w14:textId="524306F4" w:rsidR="00150CAE" w:rsidRDefault="000C2F25" w:rsidP="004B4E3F">
      <w:pPr>
        <w:pStyle w:val="Caption"/>
        <w:keepNext w:val="0"/>
        <w:spacing w:before="0" w:after="0" w:line="240" w:lineRule="auto"/>
      </w:pPr>
      <w:bookmarkStart w:id="90" w:name="_Ref412814779"/>
      <w:bookmarkStart w:id="91" w:name="_Toc523833969"/>
      <w:r w:rsidRPr="000C2F25">
        <w:t xml:space="preserve">Figura </w:t>
      </w:r>
      <w:fldSimple w:instr=" SEQ Figura \* ARABIC ">
        <w:r w:rsidR="00897470">
          <w:rPr>
            <w:noProof/>
          </w:rPr>
          <w:t>4</w:t>
        </w:r>
      </w:fldSimple>
      <w:bookmarkEnd w:id="90"/>
      <w:r w:rsidRPr="000C2F25">
        <w:t>: Comunicação inicial e mobilização da EOR</w:t>
      </w:r>
      <w:r w:rsidR="00A829B1">
        <w:t xml:space="preserve"> </w:t>
      </w:r>
      <w:r w:rsidR="00A829B1" w:rsidRPr="00946134">
        <w:t>(</w:t>
      </w:r>
      <w:r w:rsidR="00B86422">
        <w:t>Fonte: Witt|O’Brien’s</w:t>
      </w:r>
      <w:r w:rsidR="00A829B1" w:rsidRPr="00946134">
        <w:t>)</w:t>
      </w:r>
      <w:r w:rsidRPr="000C2F25">
        <w:t>.</w:t>
      </w:r>
      <w:bookmarkEnd w:id="91"/>
      <w:r w:rsidR="00150CAE">
        <w:br w:type="page"/>
      </w:r>
    </w:p>
    <w:p w14:paraId="46A139AF" w14:textId="77777777" w:rsidR="00037F51" w:rsidRPr="009D01BE" w:rsidRDefault="00037F51" w:rsidP="009D01BE">
      <w:pPr>
        <w:pStyle w:val="Heading1"/>
      </w:pPr>
      <w:bookmarkStart w:id="92" w:name="_Ref414612271"/>
      <w:bookmarkStart w:id="93" w:name="_Ref414612322"/>
      <w:bookmarkStart w:id="94" w:name="_Toc523833883"/>
      <w:r w:rsidRPr="009D01BE">
        <w:lastRenderedPageBreak/>
        <w:t>PROCEDIMENTOS DE GERENCIAMENTO DE INCIDENTES</w:t>
      </w:r>
      <w:bookmarkEnd w:id="92"/>
      <w:bookmarkEnd w:id="93"/>
      <w:bookmarkEnd w:id="94"/>
    </w:p>
    <w:p w14:paraId="322ED899" w14:textId="77777777" w:rsidR="0009455F" w:rsidRPr="0009455F" w:rsidRDefault="0009455F" w:rsidP="009F0EA7">
      <w:pPr>
        <w:pStyle w:val="tier1Itext"/>
      </w:pPr>
      <w:r w:rsidRPr="00723A97">
        <w:t>Na ocorrência de um incidente de poluição por óleo, a BP</w:t>
      </w:r>
      <w:r w:rsidR="0006347F">
        <w:t xml:space="preserve"> Energy</w:t>
      </w:r>
      <w:r w:rsidRPr="00723A97">
        <w:t xml:space="preserve"> acionará seu Plano de Gerenciamento de Incidentes (IMP, do termo em inglês </w:t>
      </w:r>
      <w:r w:rsidRPr="00DB1301">
        <w:rPr>
          <w:i/>
        </w:rPr>
        <w:t>Incident Management Plan</w:t>
      </w:r>
      <w:r w:rsidRPr="00723A97">
        <w:t xml:space="preserve">) baseado no Sistema de Comando de Incidentes (em inglês, </w:t>
      </w:r>
      <w:r w:rsidRPr="00DB1301">
        <w:rPr>
          <w:i/>
        </w:rPr>
        <w:t>Incident Command System</w:t>
      </w:r>
      <w:r w:rsidRPr="00723A97">
        <w:t xml:space="preserve"> – ICS) como ferramenta de gestão das ações de resposta à emergência</w:t>
      </w:r>
      <w:r w:rsidRPr="0009455F">
        <w:t>.</w:t>
      </w:r>
    </w:p>
    <w:p w14:paraId="6B05827B" w14:textId="77777777" w:rsidR="0009455F" w:rsidRPr="00723A97" w:rsidRDefault="0009455F" w:rsidP="009F0EA7">
      <w:pPr>
        <w:pStyle w:val="tier1Itext"/>
      </w:pPr>
      <w:r w:rsidRPr="00723A97">
        <w:t xml:space="preserve">O Sistema de Comando de Incidentes foi desenvolvido para atender a diferentes tipos e níveis de complexidade </w:t>
      </w:r>
      <w:r w:rsidR="00DB1301">
        <w:t>de incidentes</w:t>
      </w:r>
      <w:r w:rsidRPr="00723A97">
        <w:t>, apresentando como principal característica sua flexibilidade na ativação e estruturação das equipes de resposta (organização modular expansível e retrátil, conforme a necessidade). Por outro lado, o ICS estabelece princípios e fundamentos de comando e controle das ações de gerenciamento, incluindo: a sistemática de avaliação da complexidade do incidente; o prévio estabelecimento dos deveres e responsabilidades das equipes envolvidas; os protocolos de comunicação entre as funções; o processo de planejamento e documentação das ações de resposta; e a gestão dos recursos.</w:t>
      </w:r>
    </w:p>
    <w:p w14:paraId="4D6BA178" w14:textId="77777777" w:rsidR="0009455F" w:rsidRPr="00723A97" w:rsidRDefault="0009455F" w:rsidP="009F0EA7">
      <w:pPr>
        <w:pStyle w:val="tier1Itext"/>
      </w:pPr>
      <w:r w:rsidRPr="00723A97">
        <w:t>O sistema de gestão baseado no ICS divide-se em 02 (duas) fases: Fase Reativa e Fase Proativa. A Fase Reativa da gestão do incidente abrange as ações iniciais de resposta, incluindo as notificações iniciais obrigatórias (internas e externas), a mobilização dos recursos dedicados</w:t>
      </w:r>
      <w:r w:rsidR="008D3632">
        <w:t xml:space="preserve"> e</w:t>
      </w:r>
      <w:r w:rsidRPr="00723A97">
        <w:t xml:space="preserve"> a avaliação inicial do potencial do incidente. Em incidentes de grande potencial, magnitude e complexidade, a gestão do incidente passa a demandar não só recursos adicionais, mas também um processo de gestão mais robusto. Nessas circunstâncias, a fase de resposta reativa migra paulatinamente para a Fase Proativa, iniciando um processo cíclico de planejamento, operacionalização e avaliação de planos de resposta, ou planos de ação de incidentes (em inglês, </w:t>
      </w:r>
      <w:r w:rsidRPr="008D3632">
        <w:rPr>
          <w:i/>
        </w:rPr>
        <w:t>Incident Action Plan</w:t>
      </w:r>
      <w:r w:rsidRPr="00723A97">
        <w:t xml:space="preserve"> – IAP), denominado Processo de Planejamento do Próximo Período Operacional.</w:t>
      </w:r>
    </w:p>
    <w:p w14:paraId="351E4AF1" w14:textId="77777777" w:rsidR="0009455F" w:rsidRDefault="0009455F" w:rsidP="009F0EA7">
      <w:pPr>
        <w:pStyle w:val="tier1Itext"/>
      </w:pPr>
      <w:r>
        <w:t xml:space="preserve">A </w:t>
      </w:r>
      <w:r w:rsidRPr="008D3632">
        <w:rPr>
          <w:b/>
        </w:rPr>
        <w:fldChar w:fldCharType="begin"/>
      </w:r>
      <w:r w:rsidRPr="008D3632">
        <w:rPr>
          <w:b/>
        </w:rPr>
        <w:instrText xml:space="preserve"> REF _Ref410985326 \h  \* MERGEFORMAT </w:instrText>
      </w:r>
      <w:r w:rsidRPr="008D3632">
        <w:rPr>
          <w:b/>
        </w:rPr>
      </w:r>
      <w:r w:rsidRPr="008D3632">
        <w:rPr>
          <w:b/>
        </w:rPr>
        <w:fldChar w:fldCharType="separate"/>
      </w:r>
      <w:r w:rsidR="00897470" w:rsidRPr="00897470">
        <w:rPr>
          <w:b/>
          <w:bCs/>
        </w:rPr>
        <w:t>Figura 5</w:t>
      </w:r>
      <w:r w:rsidRPr="008D3632">
        <w:rPr>
          <w:b/>
        </w:rPr>
        <w:fldChar w:fldCharType="end"/>
      </w:r>
      <w:r>
        <w:t xml:space="preserve"> apresenta o processo de planejamento “P” do ICS, marcando as Fases Reativa e Proativa da gestão de incidentes.</w:t>
      </w:r>
    </w:p>
    <w:p w14:paraId="662DCAED" w14:textId="77777777" w:rsidR="008D3632" w:rsidRDefault="008D3632" w:rsidP="009F0EA7">
      <w:pPr>
        <w:pStyle w:val="tier1Itext"/>
        <w:spacing w:before="0" w:after="0" w:line="240" w:lineRule="auto"/>
        <w:jc w:val="center"/>
      </w:pPr>
      <w:r>
        <w:rPr>
          <w:noProof/>
          <w:lang w:val="en-US"/>
        </w:rPr>
        <w:lastRenderedPageBreak/>
        <w:drawing>
          <wp:inline distT="0" distB="0" distL="0" distR="0" wp14:anchorId="730E3FD9" wp14:editId="04B460B2">
            <wp:extent cx="3923859" cy="4716000"/>
            <wp:effectExtent l="0" t="0" r="635" b="889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0367" t="10520" r="32583" b="10279"/>
                    <a:stretch/>
                  </pic:blipFill>
                  <pic:spPr bwMode="auto">
                    <a:xfrm>
                      <a:off x="0" y="0"/>
                      <a:ext cx="3923859" cy="4716000"/>
                    </a:xfrm>
                    <a:prstGeom prst="rect">
                      <a:avLst/>
                    </a:prstGeom>
                    <a:ln>
                      <a:noFill/>
                    </a:ln>
                    <a:extLst>
                      <a:ext uri="{53640926-AAD7-44D8-BBD7-CCE9431645EC}">
                        <a14:shadowObscured xmlns:a14="http://schemas.microsoft.com/office/drawing/2010/main"/>
                      </a:ext>
                    </a:extLst>
                  </pic:spPr>
                </pic:pic>
              </a:graphicData>
            </a:graphic>
          </wp:inline>
        </w:drawing>
      </w:r>
    </w:p>
    <w:p w14:paraId="05CEDBF7" w14:textId="77777777" w:rsidR="008D3632" w:rsidRDefault="008D3632" w:rsidP="009F0EA7">
      <w:pPr>
        <w:pStyle w:val="Caption"/>
        <w:spacing w:before="0" w:after="0" w:line="240" w:lineRule="auto"/>
      </w:pPr>
      <w:bookmarkStart w:id="95" w:name="_Ref410985326"/>
      <w:bookmarkStart w:id="96" w:name="_Toc413848072"/>
      <w:bookmarkStart w:id="97" w:name="_Toc523833970"/>
      <w:r>
        <w:t xml:space="preserve">Figura </w:t>
      </w:r>
      <w:fldSimple w:instr=" SEQ Figura \* ARABIC ">
        <w:r w:rsidR="00897470">
          <w:rPr>
            <w:noProof/>
          </w:rPr>
          <w:t>5</w:t>
        </w:r>
      </w:fldSimple>
      <w:bookmarkEnd w:id="95"/>
      <w:r>
        <w:t>: Processo de Planejamento “P” do ICS</w:t>
      </w:r>
      <w:bookmarkEnd w:id="96"/>
      <w:r w:rsidR="008D6541">
        <w:t xml:space="preserve"> (Fonte: Adaptada de USCG, 2006)</w:t>
      </w:r>
      <w:r w:rsidR="009F0EA7">
        <w:t>.</w:t>
      </w:r>
      <w:bookmarkEnd w:id="97"/>
    </w:p>
    <w:p w14:paraId="6BD93B7D" w14:textId="77777777" w:rsidR="008D3632" w:rsidRPr="00CA6528" w:rsidRDefault="008D3632" w:rsidP="00EA2A77">
      <w:pPr>
        <w:pStyle w:val="tier1Itext"/>
        <w:widowControl/>
        <w:numPr>
          <w:ilvl w:val="0"/>
          <w:numId w:val="25"/>
        </w:numPr>
        <w:tabs>
          <w:tab w:val="clear" w:pos="5529"/>
        </w:tabs>
        <w:spacing w:before="360" w:after="120"/>
        <w:ind w:left="714" w:hanging="357"/>
      </w:pPr>
      <w:r w:rsidRPr="003B62BE">
        <w:t xml:space="preserve">A </w:t>
      </w:r>
      <w:r>
        <w:t xml:space="preserve">Gestão de Incidentes e o Alinhamento com Planos de Área e com o </w:t>
      </w:r>
      <w:r w:rsidRPr="00CA6528">
        <w:t>Plano Nacional de Contingência</w:t>
      </w:r>
    </w:p>
    <w:p w14:paraId="07CC236C" w14:textId="77777777" w:rsidR="008D3632" w:rsidRPr="008D3632" w:rsidRDefault="008D3632" w:rsidP="009F0EA7">
      <w:pPr>
        <w:pStyle w:val="tier1Itext"/>
      </w:pPr>
      <w:r>
        <w:t xml:space="preserve">A região da Foz do Amazonas não </w:t>
      </w:r>
      <w:r w:rsidRPr="008D3632">
        <w:t>possui um Plano de Área para as atividades locais e, portanto, não demanda ações de alinhamento por parte deste PEI.</w:t>
      </w:r>
    </w:p>
    <w:p w14:paraId="3D77A733" w14:textId="77777777" w:rsidR="008D3632" w:rsidRPr="004265F9" w:rsidRDefault="008D3632" w:rsidP="009F0EA7">
      <w:pPr>
        <w:pStyle w:val="tier1Itext"/>
      </w:pPr>
      <w:r w:rsidRPr="008D3632">
        <w:t>Entretanto, no Brasil, o Decreto n° 8.127 de outubro de 2013 instituiu o Plano Nacional de Contingência para Incidentes de Poluição por</w:t>
      </w:r>
      <w:r>
        <w:t xml:space="preserve"> Óleo em Águas sob Jurisdição Nacional</w:t>
      </w:r>
      <w:r w:rsidRPr="004265F9">
        <w:t xml:space="preserve"> (PNC)</w:t>
      </w:r>
      <w:r>
        <w:t>, que tem em seu arcabouço a definição d</w:t>
      </w:r>
      <w:r w:rsidRPr="004265F9">
        <w:t xml:space="preserve">as responsabilidades de entes públicos e privados em caso de incidentes de poluição por óleo em águas </w:t>
      </w:r>
      <w:r>
        <w:t>nacionais, apesar de ainda não divulgado até a elaboração deste documento</w:t>
      </w:r>
      <w:r w:rsidRPr="004265F9">
        <w:t>.</w:t>
      </w:r>
    </w:p>
    <w:p w14:paraId="32561583" w14:textId="77777777" w:rsidR="008D3632" w:rsidRDefault="008D3632" w:rsidP="009F0EA7">
      <w:pPr>
        <w:pStyle w:val="tier1Itext"/>
      </w:pPr>
      <w:r>
        <w:lastRenderedPageBreak/>
        <w:t xml:space="preserve">Conforme previsto pelo PNC, um Grupo de Acompanhamento e Avaliação (GAA), composto por representantes da Marinha, IBAMA e ANP, será mobilizado e deverá acompanhar todo e qualquer acidente, independente do porte, cabendo a ele avaliar a sua significância. Se constatado que o mesmo tem significância nacional, o GAA designará um Coordenador </w:t>
      </w:r>
      <w:r w:rsidRPr="009277B1">
        <w:t>Operacional</w:t>
      </w:r>
      <w:r w:rsidRPr="009277B1">
        <w:rPr>
          <w:rStyle w:val="FootnoteReference"/>
        </w:rPr>
        <w:footnoteReference w:id="9"/>
      </w:r>
      <w:r w:rsidRPr="009277B1">
        <w:t xml:space="preserve"> e acionará</w:t>
      </w:r>
      <w:r>
        <w:t xml:space="preserve"> o PNC.</w:t>
      </w:r>
    </w:p>
    <w:p w14:paraId="2B840F18" w14:textId="77777777" w:rsidR="008D3632" w:rsidRDefault="008D3632" w:rsidP="009F0EA7">
      <w:pPr>
        <w:pStyle w:val="tier1Itext"/>
      </w:pPr>
      <w:r>
        <w:t xml:space="preserve">Durante a resposta a um incidente, o Decreto Federal nº 8.127 descreve que caso existam evidências de que os procedimentos adotados possam ser aprimorados e magnificados, as instâncias de gestão do PNC poderão ser mobilizadas de imediato pelo GAA, conforme solicitação do Coordenador Operacional, para facilitar e ampliar a capacidade das ações de resposta adotadas sob coordenação e </w:t>
      </w:r>
      <w:r w:rsidRPr="00AE3B8F">
        <w:t>responsabilidade da BP</w:t>
      </w:r>
      <w:r>
        <w:t xml:space="preserve"> Energy</w:t>
      </w:r>
      <w:r w:rsidRPr="00AE3B8F">
        <w:t>.</w:t>
      </w:r>
    </w:p>
    <w:p w14:paraId="4C1BE2C7" w14:textId="77777777" w:rsidR="00281036" w:rsidRDefault="00281036" w:rsidP="009F0EA7">
      <w:pPr>
        <w:pStyle w:val="tier1Itext"/>
      </w:pPr>
    </w:p>
    <w:p w14:paraId="0443D0A8" w14:textId="77777777" w:rsidR="00037F51" w:rsidRPr="00281036" w:rsidRDefault="00037F51" w:rsidP="009D01BE">
      <w:pPr>
        <w:pStyle w:val="Heading2"/>
        <w:rPr>
          <w:lang w:val="pt-BR"/>
        </w:rPr>
      </w:pPr>
      <w:bookmarkStart w:id="98" w:name="_Ref414612675"/>
      <w:bookmarkStart w:id="99" w:name="_Ref414612684"/>
      <w:bookmarkStart w:id="100" w:name="_Ref414612959"/>
      <w:bookmarkStart w:id="101" w:name="_Ref414612964"/>
      <w:bookmarkStart w:id="102" w:name="_Toc523833884"/>
      <w:r w:rsidRPr="00281036">
        <w:rPr>
          <w:lang w:val="pt-BR"/>
        </w:rPr>
        <w:t>Procedimentos para Gestão da Informação</w:t>
      </w:r>
      <w:bookmarkEnd w:id="98"/>
      <w:bookmarkEnd w:id="99"/>
      <w:bookmarkEnd w:id="100"/>
      <w:bookmarkEnd w:id="101"/>
      <w:bookmarkEnd w:id="102"/>
    </w:p>
    <w:p w14:paraId="38A874B4" w14:textId="77777777" w:rsidR="008D3632" w:rsidRPr="0067292C" w:rsidRDefault="008D3632" w:rsidP="009F0EA7">
      <w:pPr>
        <w:pStyle w:val="tier1Itext"/>
      </w:pPr>
      <w:r w:rsidRPr="0067292C">
        <w:t>A gestão das ações de resposta</w:t>
      </w:r>
      <w:r>
        <w:t>, na ocorrência de um incidente com derramamento de óleo no mar, pressupõe o</w:t>
      </w:r>
      <w:r w:rsidRPr="0067292C">
        <w:t xml:space="preserve"> compartilhamento, registro e arquiv</w:t>
      </w:r>
      <w:r>
        <w:t>amento</w:t>
      </w:r>
      <w:r w:rsidRPr="0067292C">
        <w:t xml:space="preserve"> das informações críticas do incidente</w:t>
      </w:r>
      <w:r>
        <w:t>, que pode se dar através de</w:t>
      </w:r>
      <w:r w:rsidRPr="0067292C">
        <w:t xml:space="preserve"> comunicaç</w:t>
      </w:r>
      <w:r>
        <w:t>ões</w:t>
      </w:r>
      <w:r w:rsidRPr="0067292C">
        <w:t xml:space="preserve"> forma</w:t>
      </w:r>
      <w:r>
        <w:t>is</w:t>
      </w:r>
      <w:r w:rsidRPr="0067292C">
        <w:t xml:space="preserve"> e informa</w:t>
      </w:r>
      <w:r>
        <w:t>is</w:t>
      </w:r>
      <w:r w:rsidRPr="0067292C">
        <w:t>.</w:t>
      </w:r>
    </w:p>
    <w:p w14:paraId="3191F5A8" w14:textId="77777777" w:rsidR="008D3632" w:rsidRDefault="008D3632" w:rsidP="009F0EA7">
      <w:pPr>
        <w:pStyle w:val="tier1Itext"/>
      </w:pPr>
      <w:r>
        <w:t>A via formal abrange as comunicações vinculadas à hierarquia da cadeia de comando e dos protocolos de comunicação estabelecidos para o incidente. A comunicação formal deve ser utilizada para, por exemplo, atribuir tarefas, cobrar resultados e solicitar recursos.</w:t>
      </w:r>
    </w:p>
    <w:p w14:paraId="478A06D2" w14:textId="77777777" w:rsidR="008D3632" w:rsidRDefault="008D3632" w:rsidP="009F0EA7">
      <w:pPr>
        <w:pStyle w:val="tier1Itext"/>
      </w:pPr>
      <w:r>
        <w:t>A via informal contempla os fluxos de comunicação livre entre as diferentes funções da EOR e buscam garantir o compartilhamento das informações críticas do incidente.</w:t>
      </w:r>
    </w:p>
    <w:p w14:paraId="1534897F" w14:textId="77777777" w:rsidR="008D3632" w:rsidRPr="003A3F7B" w:rsidRDefault="008D3632" w:rsidP="009F0EA7">
      <w:pPr>
        <w:pStyle w:val="tier1Itext"/>
      </w:pPr>
      <w:r>
        <w:t>A g</w:t>
      </w:r>
      <w:r w:rsidRPr="003A3F7B">
        <w:t xml:space="preserve">estão de </w:t>
      </w:r>
      <w:r>
        <w:t>i</w:t>
      </w:r>
      <w:r w:rsidRPr="003A3F7B">
        <w:t>nformações</w:t>
      </w:r>
      <w:r>
        <w:t xml:space="preserve"> e d</w:t>
      </w:r>
      <w:r w:rsidRPr="003A3F7B">
        <w:t xml:space="preserve">ados é uma </w:t>
      </w:r>
      <w:r>
        <w:t>atividade</w:t>
      </w:r>
      <w:r w:rsidRPr="003A3F7B">
        <w:t xml:space="preserve"> essencial a ser conduzida durante uma resposta de qualquer grandeza. Esta </w:t>
      </w:r>
      <w:r>
        <w:t>atividade</w:t>
      </w:r>
      <w:r w:rsidRPr="003A3F7B">
        <w:t xml:space="preserve"> mantém registros de todas as </w:t>
      </w:r>
      <w:r>
        <w:t>ações</w:t>
      </w:r>
      <w:r w:rsidRPr="003A3F7B">
        <w:t xml:space="preserve"> relacionadas à resposta e trabalha com TI</w:t>
      </w:r>
      <w:r>
        <w:t xml:space="preserve"> (</w:t>
      </w:r>
      <w:r w:rsidRPr="00400AE4">
        <w:t>tecnologia da informação</w:t>
      </w:r>
      <w:r>
        <w:t>)</w:t>
      </w:r>
      <w:r w:rsidRPr="003A3F7B">
        <w:t xml:space="preserve"> para aumentar o fluxo d</w:t>
      </w:r>
      <w:r>
        <w:t>estas</w:t>
      </w:r>
      <w:r w:rsidRPr="003A3F7B">
        <w:t xml:space="preserve"> informações </w:t>
      </w:r>
      <w:r>
        <w:t>geradas neste evento</w:t>
      </w:r>
      <w:r w:rsidR="009F0EA7">
        <w:t>.</w:t>
      </w:r>
    </w:p>
    <w:p w14:paraId="1B8B937F" w14:textId="77777777" w:rsidR="008D3632" w:rsidRPr="003A3F7B" w:rsidRDefault="008D3632" w:rsidP="009F0EA7">
      <w:pPr>
        <w:pStyle w:val="tier1Itext"/>
      </w:pPr>
      <w:r w:rsidRPr="003A3F7B">
        <w:lastRenderedPageBreak/>
        <w:t xml:space="preserve">A equipe </w:t>
      </w:r>
      <w:r w:rsidR="00E81ADB">
        <w:t>responsável por esta</w:t>
      </w:r>
      <w:r>
        <w:t xml:space="preserve"> </w:t>
      </w:r>
      <w:r w:rsidRPr="003A3F7B">
        <w:t>gestão de informações</w:t>
      </w:r>
      <w:r>
        <w:t xml:space="preserve"> e </w:t>
      </w:r>
      <w:r w:rsidRPr="003A3F7B">
        <w:t xml:space="preserve">dados </w:t>
      </w:r>
      <w:r>
        <w:t>(</w:t>
      </w:r>
      <w:r w:rsidRPr="0083428F">
        <w:rPr>
          <w:i/>
        </w:rPr>
        <w:t>Documentation Unit</w:t>
      </w:r>
      <w:r>
        <w:t xml:space="preserve"> </w:t>
      </w:r>
      <w:r w:rsidR="009F0EA7">
        <w:t>–</w:t>
      </w:r>
      <w:r>
        <w:t xml:space="preserve"> Unidade de Documentação) </w:t>
      </w:r>
      <w:r w:rsidRPr="003A3F7B">
        <w:t xml:space="preserve">será chamada na ativação da IMT. As </w:t>
      </w:r>
      <w:r>
        <w:t xml:space="preserve">suas </w:t>
      </w:r>
      <w:r w:rsidRPr="003A3F7B">
        <w:t xml:space="preserve">principais </w:t>
      </w:r>
      <w:r>
        <w:t xml:space="preserve">responsabilidades </w:t>
      </w:r>
      <w:r w:rsidRPr="003A3F7B">
        <w:t xml:space="preserve">são o </w:t>
      </w:r>
      <w:r>
        <w:t xml:space="preserve">monitoramento do </w:t>
      </w:r>
      <w:r w:rsidRPr="003A3F7B">
        <w:t xml:space="preserve">fluxo de informações e </w:t>
      </w:r>
      <w:r>
        <w:t xml:space="preserve">a </w:t>
      </w:r>
      <w:r w:rsidRPr="003A3F7B">
        <w:t xml:space="preserve">manutenção de registros. </w:t>
      </w:r>
      <w:r>
        <w:t>A gestão de dados:</w:t>
      </w:r>
    </w:p>
    <w:p w14:paraId="54A6381E" w14:textId="77777777" w:rsidR="007F3582" w:rsidRPr="009F0EA7" w:rsidRDefault="007F3582"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F0EA7">
        <w:rPr>
          <w:rFonts w:asciiTheme="majorHAnsi" w:hAnsiTheme="majorHAnsi"/>
        </w:rPr>
        <w:t xml:space="preserve">Melhorará o fluxo de informações entre os agentes de resposta, planejadores e todas as </w:t>
      </w:r>
      <w:r w:rsidR="00B0161B">
        <w:rPr>
          <w:rFonts w:asciiTheme="majorHAnsi" w:hAnsiTheme="majorHAnsi"/>
        </w:rPr>
        <w:t>posições</w:t>
      </w:r>
      <w:r w:rsidR="00B0161B" w:rsidRPr="009F0EA7">
        <w:rPr>
          <w:rFonts w:asciiTheme="majorHAnsi" w:hAnsiTheme="majorHAnsi"/>
        </w:rPr>
        <w:t xml:space="preserve"> </w:t>
      </w:r>
      <w:r w:rsidRPr="009F0EA7">
        <w:rPr>
          <w:rFonts w:asciiTheme="majorHAnsi" w:hAnsiTheme="majorHAnsi"/>
        </w:rPr>
        <w:t xml:space="preserve">da IMT e da TRT. O fluxo de informações será acomodado pela utilização de protocolos e de mídia eletrônica como, mas sem limitação a, e-mails, </w:t>
      </w:r>
      <w:r w:rsidRPr="009F0EA7">
        <w:rPr>
          <w:rFonts w:asciiTheme="majorHAnsi" w:hAnsiTheme="majorHAnsi"/>
          <w:i/>
        </w:rPr>
        <w:t>software</w:t>
      </w:r>
      <w:r w:rsidRPr="009F0EA7">
        <w:rPr>
          <w:rFonts w:asciiTheme="majorHAnsi" w:hAnsiTheme="majorHAnsi"/>
        </w:rPr>
        <w:t xml:space="preserve"> para gerenciar formulários ICS e mapas GIS; e</w:t>
      </w:r>
    </w:p>
    <w:p w14:paraId="07C3AD98" w14:textId="77777777" w:rsidR="007F3582" w:rsidRPr="009F0EA7" w:rsidRDefault="007F3582"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F0EA7">
        <w:rPr>
          <w:rFonts w:asciiTheme="majorHAnsi" w:hAnsiTheme="majorHAnsi"/>
        </w:rPr>
        <w:t>Manterá registros eletrônicos e impressos de operações diárias. Esses registros serão arquivados e usados para análises presente e futura, conforme requerido pelo sistema de gerenciamento.</w:t>
      </w:r>
    </w:p>
    <w:p w14:paraId="78E759C3" w14:textId="77777777" w:rsidR="007F3582" w:rsidRPr="003A3F7B" w:rsidRDefault="007F3582" w:rsidP="009F0EA7">
      <w:pPr>
        <w:pStyle w:val="tier1Itext"/>
      </w:pPr>
      <w:r w:rsidRPr="003A3F7B">
        <w:t xml:space="preserve">Informações/dados serão gerenciados de modo centralizado para que todos sejam armazenados em </w:t>
      </w:r>
      <w:r>
        <w:t xml:space="preserve">arquivos físicos e </w:t>
      </w:r>
      <w:r w:rsidRPr="003A3F7B">
        <w:t>servidores designados da empresa.</w:t>
      </w:r>
    </w:p>
    <w:p w14:paraId="5E6B7ADC" w14:textId="77777777" w:rsidR="007F3582" w:rsidRPr="003A3F7B" w:rsidRDefault="007F3582" w:rsidP="009F0EA7">
      <w:pPr>
        <w:pStyle w:val="tier1Itext"/>
      </w:pPr>
      <w:r w:rsidRPr="003A3F7B">
        <w:t xml:space="preserve">Os Capitães das embarcações dedicadas e de </w:t>
      </w:r>
      <w:r>
        <w:t>apoio</w:t>
      </w:r>
      <w:r w:rsidRPr="003A3F7B">
        <w:t xml:space="preserve"> devem manter o </w:t>
      </w:r>
      <w:r>
        <w:t>Supervisor</w:t>
      </w:r>
      <w:r w:rsidRPr="003A3F7B">
        <w:t xml:space="preserve"> de </w:t>
      </w:r>
      <w:r>
        <w:t xml:space="preserve">Divisão </w:t>
      </w:r>
      <w:r w:rsidRPr="003A3F7B">
        <w:t xml:space="preserve">ou o OSC </w:t>
      </w:r>
      <w:r>
        <w:t>delegado</w:t>
      </w:r>
      <w:r w:rsidRPr="003A3F7B">
        <w:t xml:space="preserve"> ciente sobre o desenvolvimento das ações de resposta </w:t>
      </w:r>
      <w:r>
        <w:t>sob</w:t>
      </w:r>
      <w:r w:rsidRPr="003A3F7B">
        <w:t xml:space="preserve"> suas responsabilidades. </w:t>
      </w:r>
      <w:r>
        <w:t>Esta informação deve fluir até o</w:t>
      </w:r>
      <w:r w:rsidRPr="003A3F7B">
        <w:t xml:space="preserve"> </w:t>
      </w:r>
      <w:r>
        <w:t>Chefe da Seção de Operações (</w:t>
      </w:r>
      <w:r w:rsidRPr="003A3F7B">
        <w:t>OSC</w:t>
      </w:r>
      <w:r>
        <w:t>)</w:t>
      </w:r>
      <w:r w:rsidRPr="003A3F7B">
        <w:t xml:space="preserve">, porque ele é responsável por </w:t>
      </w:r>
      <w:r>
        <w:t xml:space="preserve">passá-las </w:t>
      </w:r>
      <w:r w:rsidRPr="003A3F7B">
        <w:t>ao IC.</w:t>
      </w:r>
    </w:p>
    <w:p w14:paraId="5C552ED9" w14:textId="77777777" w:rsidR="007F3582" w:rsidRPr="003A3F7B" w:rsidRDefault="007F3582" w:rsidP="009F0EA7">
      <w:pPr>
        <w:pStyle w:val="tier1Itext"/>
      </w:pPr>
      <w:r w:rsidRPr="003A3F7B">
        <w:t xml:space="preserve">Os Líderes das Unidades de Situação e de Documentação obterão estas informações do OSC e também serão responsáveis por seu registro e organização. A frequência de </w:t>
      </w:r>
      <w:r>
        <w:t xml:space="preserve">atualização destes </w:t>
      </w:r>
      <w:r w:rsidRPr="003A3F7B">
        <w:t>registros será estabelecida pelo IC.</w:t>
      </w:r>
    </w:p>
    <w:p w14:paraId="4AF32E5F" w14:textId="45DB8C62" w:rsidR="008D3632" w:rsidRPr="008D3632" w:rsidRDefault="007F3582" w:rsidP="009F0EA7">
      <w:pPr>
        <w:pStyle w:val="tier1Itext"/>
      </w:pPr>
      <w:r>
        <w:t xml:space="preserve">O </w:t>
      </w:r>
      <w:r w:rsidR="009F0EA7" w:rsidRPr="009F0EA7">
        <w:rPr>
          <w:b/>
        </w:rPr>
        <w:t xml:space="preserve">APÊNDICE </w:t>
      </w:r>
      <w:r w:rsidR="00281036">
        <w:rPr>
          <w:b/>
        </w:rPr>
        <w:t>D</w:t>
      </w:r>
      <w:r w:rsidR="009F0EA7">
        <w:t xml:space="preserve"> </w:t>
      </w:r>
      <w:r>
        <w:t xml:space="preserve">apresenta o </w:t>
      </w:r>
      <w:r w:rsidRPr="00194909">
        <w:t xml:space="preserve">resumo dos formulários e relatórios </w:t>
      </w:r>
      <w:r>
        <w:t xml:space="preserve">utilizados na comunicação formal no suporte a </w:t>
      </w:r>
      <w:r w:rsidRPr="00194909">
        <w:t>gestão de incidentes</w:t>
      </w:r>
      <w:r>
        <w:t>.</w:t>
      </w:r>
    </w:p>
    <w:p w14:paraId="6E46CFCC" w14:textId="77777777" w:rsidR="002541D0" w:rsidRPr="008102C0" w:rsidRDefault="00CF77CE" w:rsidP="009D01BE">
      <w:pPr>
        <w:pStyle w:val="Heading2"/>
      </w:pPr>
      <w:bookmarkStart w:id="103" w:name="_Toc523833885"/>
      <w:r w:rsidRPr="008102C0">
        <w:t>Comunicações</w:t>
      </w:r>
      <w:bookmarkEnd w:id="103"/>
    </w:p>
    <w:p w14:paraId="2D9EA46B" w14:textId="77777777" w:rsidR="0053320F" w:rsidRPr="00C74609" w:rsidRDefault="0053320F" w:rsidP="009F0EA7">
      <w:pPr>
        <w:pStyle w:val="tier1Itext"/>
      </w:pPr>
      <w:r w:rsidRPr="00C74609">
        <w:t>No caso de um vazamento de óleo, as notificações internas e externas devem ser feitas o mais rapidamente possível, a fim de assegurar uma resposta eficaz, minimizar os impactos, bem como cumprir com as políticas internas e exigências regulatórias externas.</w:t>
      </w:r>
    </w:p>
    <w:p w14:paraId="3A167882" w14:textId="0765A3F8" w:rsidR="0053320F" w:rsidRPr="00C74609" w:rsidRDefault="0053320F" w:rsidP="009F0EA7">
      <w:pPr>
        <w:pStyle w:val="tier1Itext"/>
      </w:pPr>
      <w:r w:rsidRPr="00C74609">
        <w:lastRenderedPageBreak/>
        <w:t>As notificações para todas as partes interessadas</w:t>
      </w:r>
      <w:r>
        <w:t>,</w:t>
      </w:r>
      <w:r w:rsidRPr="00C74609">
        <w:t xml:space="preserve"> internas e externas</w:t>
      </w:r>
      <w:r>
        <w:t>,</w:t>
      </w:r>
      <w:r w:rsidRPr="00C74609">
        <w:t xml:space="preserve"> são realizad</w:t>
      </w:r>
      <w:r>
        <w:t>a</w:t>
      </w:r>
      <w:r w:rsidRPr="00C74609">
        <w:t xml:space="preserve">s de acordo com os processos de relacionamentos estabelecidos no Plano de </w:t>
      </w:r>
      <w:r w:rsidR="008102C0">
        <w:t>Comunicação durante Crises</w:t>
      </w:r>
      <w:r w:rsidRPr="00C74609">
        <w:t xml:space="preserve"> (do termo em inglês “</w:t>
      </w:r>
      <w:r w:rsidR="008102C0" w:rsidRPr="008102C0">
        <w:rPr>
          <w:i/>
        </w:rPr>
        <w:t>Crisis Communications Plan</w:t>
      </w:r>
      <w:r w:rsidRPr="00C74609">
        <w:t xml:space="preserve">”). Neste plano, definem-se as responsabilidades de cada relacionamento com as partes envolvidas, o sistema de divulgação de informações (considerando o formato de relatórios), </w:t>
      </w:r>
      <w:r>
        <w:t xml:space="preserve">uma matriz de </w:t>
      </w:r>
      <w:r w:rsidRPr="00C74609">
        <w:t>comunicações e o processo de gerenciamento de reclamações. Essas diretrizes apoiam todas as comunicações feitas durante o evento, ajustadas ao fluxo de aprovação do ICS, já considerado no plano para casos de emergência.</w:t>
      </w:r>
    </w:p>
    <w:p w14:paraId="0B19F2B0" w14:textId="77777777" w:rsidR="0053320F" w:rsidRPr="00C74609" w:rsidRDefault="0053320F" w:rsidP="009F0EA7">
      <w:pPr>
        <w:pStyle w:val="tier1Itext"/>
      </w:pPr>
      <w:r w:rsidRPr="00C74609">
        <w:t xml:space="preserve">O fluxo de acionamento com as notificações </w:t>
      </w:r>
      <w:r>
        <w:t>requeridas</w:t>
      </w:r>
      <w:r w:rsidRPr="00C74609">
        <w:t xml:space="preserve"> (interna e externa) é apresentado na </w:t>
      </w:r>
      <w:r w:rsidRPr="0053320F">
        <w:rPr>
          <w:b/>
          <w:highlight w:val="lightGray"/>
        </w:rPr>
        <w:fldChar w:fldCharType="begin"/>
      </w:r>
      <w:r w:rsidRPr="0053320F">
        <w:rPr>
          <w:b/>
        </w:rPr>
        <w:instrText xml:space="preserve"> REF _Ref413401113 \h </w:instrText>
      </w:r>
      <w:r w:rsidRPr="0053320F">
        <w:rPr>
          <w:b/>
          <w:highlight w:val="lightGray"/>
        </w:rPr>
        <w:instrText xml:space="preserve"> \* MERGEFORMAT </w:instrText>
      </w:r>
      <w:r w:rsidRPr="0053320F">
        <w:rPr>
          <w:b/>
          <w:highlight w:val="lightGray"/>
        </w:rPr>
      </w:r>
      <w:r w:rsidRPr="0053320F">
        <w:rPr>
          <w:b/>
          <w:highlight w:val="lightGray"/>
        </w:rPr>
        <w:fldChar w:fldCharType="separate"/>
      </w:r>
      <w:r w:rsidR="00897470" w:rsidRPr="00897470">
        <w:rPr>
          <w:b/>
        </w:rPr>
        <w:t xml:space="preserve">Figura </w:t>
      </w:r>
      <w:r w:rsidR="00897470" w:rsidRPr="00897470">
        <w:rPr>
          <w:b/>
          <w:noProof/>
        </w:rPr>
        <w:t>6</w:t>
      </w:r>
      <w:r w:rsidRPr="0053320F">
        <w:rPr>
          <w:b/>
          <w:highlight w:val="lightGray"/>
        </w:rPr>
        <w:fldChar w:fldCharType="end"/>
      </w:r>
      <w:r w:rsidRPr="00C74609">
        <w:t xml:space="preserve">. As notificações internas são feitas principalmente por telefone, mas também podem </w:t>
      </w:r>
      <w:r>
        <w:t>ser realiz</w:t>
      </w:r>
      <w:r w:rsidRPr="00C74609">
        <w:t>a</w:t>
      </w:r>
      <w:r>
        <w:t xml:space="preserve">das por </w:t>
      </w:r>
      <w:r w:rsidRPr="00C74609">
        <w:t xml:space="preserve">rádio, fax ou e-mail. Todas as comunicações internas e informações trocadas </w:t>
      </w:r>
      <w:r>
        <w:t xml:space="preserve">com partes externas interessadas </w:t>
      </w:r>
      <w:r w:rsidRPr="00C74609">
        <w:t>devem ser registradas em formulários próprios para fins de documentação.</w:t>
      </w:r>
    </w:p>
    <w:p w14:paraId="7D800D25" w14:textId="77777777" w:rsidR="0053320F" w:rsidRPr="00C74609" w:rsidRDefault="0053320F" w:rsidP="009F0EA7">
      <w:pPr>
        <w:pStyle w:val="tier1Itext"/>
      </w:pPr>
      <w:r w:rsidRPr="00C74609">
        <w:t xml:space="preserve">As notificações externas aos órgãos governamentais devem ser </w:t>
      </w:r>
      <w:r>
        <w:t>prioritariamente realizadas através dos sistemas customizados indicados (SIEMA-IBAMA</w:t>
      </w:r>
      <w:r>
        <w:rPr>
          <w:rStyle w:val="FootnoteReference"/>
          <w:rFonts w:cstheme="majorHAnsi"/>
          <w:szCs w:val="22"/>
        </w:rPr>
        <w:footnoteReference w:id="10"/>
      </w:r>
      <w:r>
        <w:t xml:space="preserve"> e SISO-ANP</w:t>
      </w:r>
      <w:r>
        <w:rPr>
          <w:rStyle w:val="FootnoteReference"/>
          <w:rFonts w:cstheme="majorHAnsi"/>
          <w:szCs w:val="22"/>
        </w:rPr>
        <w:footnoteReference w:id="11"/>
      </w:r>
      <w:r>
        <w:t xml:space="preserve">), ou por </w:t>
      </w:r>
      <w:r w:rsidRPr="00C74609">
        <w:t>fax</w:t>
      </w:r>
      <w:r>
        <w:t xml:space="preserve"> ou e</w:t>
      </w:r>
      <w:r>
        <w:noBreakHyphen/>
        <w:t>mail</w:t>
      </w:r>
      <w:r w:rsidRPr="00C74609">
        <w:t xml:space="preserve"> quando</w:t>
      </w:r>
      <w:r>
        <w:t xml:space="preserve"> os sistemas estiverem inoperantes,</w:t>
      </w:r>
      <w:r w:rsidRPr="00C74609">
        <w:t xml:space="preserve"> sempre devendo ter a confirmação se foram perfeitamente recebidas</w:t>
      </w:r>
      <w:r w:rsidRPr="00C74609">
        <w:rPr>
          <w:rStyle w:val="FootnoteReference"/>
          <w:rFonts w:cstheme="majorHAnsi"/>
          <w:szCs w:val="22"/>
        </w:rPr>
        <w:footnoteReference w:id="12"/>
      </w:r>
      <w:r w:rsidRPr="00C74609">
        <w:t xml:space="preserve">. Em caso de utilização de mensagens eletrônicas, é altamente recomendado que esta confirmação </w:t>
      </w:r>
      <w:r>
        <w:t>seja feita</w:t>
      </w:r>
      <w:r w:rsidRPr="00C74609">
        <w:t xml:space="preserve"> através de um pedido de resposta para o destinatário, em vez do sistema automático de registro de entrega e de leitura do sistema de correio eletrônico. Todas as comunicações de contatos externos, dentro ou fora da IMT e da BST, devem ter uma evidência física desta, também para fins de documentação.</w:t>
      </w:r>
    </w:p>
    <w:p w14:paraId="34854206" w14:textId="77777777" w:rsidR="0053320F" w:rsidRDefault="0053320F" w:rsidP="009F0EA7">
      <w:pPr>
        <w:pStyle w:val="tier1Itext"/>
        <w:spacing w:before="0" w:after="0" w:line="240" w:lineRule="auto"/>
        <w:jc w:val="center"/>
      </w:pPr>
      <w:r>
        <w:rPr>
          <w:noProof/>
          <w:lang w:val="en-US"/>
        </w:rPr>
        <w:lastRenderedPageBreak/>
        <w:drawing>
          <wp:inline distT="0" distB="0" distL="0" distR="0" wp14:anchorId="16EE3FB1" wp14:editId="4D0E3787">
            <wp:extent cx="5274000" cy="4359600"/>
            <wp:effectExtent l="0" t="0" r="3175" b="3175"/>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000" cy="4359600"/>
                    </a:xfrm>
                    <a:prstGeom prst="rect">
                      <a:avLst/>
                    </a:prstGeom>
                    <a:noFill/>
                  </pic:spPr>
                </pic:pic>
              </a:graphicData>
            </a:graphic>
          </wp:inline>
        </w:drawing>
      </w:r>
    </w:p>
    <w:p w14:paraId="7742A423" w14:textId="77777777" w:rsidR="0053320F" w:rsidRPr="00435CF6" w:rsidRDefault="0053320F" w:rsidP="009F0EA7">
      <w:pPr>
        <w:pStyle w:val="Caption"/>
        <w:spacing w:before="0" w:after="0" w:line="240" w:lineRule="auto"/>
      </w:pPr>
      <w:bookmarkStart w:id="104" w:name="_Ref413401113"/>
      <w:bookmarkStart w:id="105" w:name="_Toc413848073"/>
      <w:bookmarkStart w:id="106" w:name="_Toc523833971"/>
      <w:r w:rsidRPr="00435CF6">
        <w:t xml:space="preserve">Figura </w:t>
      </w:r>
      <w:fldSimple w:instr=" SEQ Figura \* ARABIC ">
        <w:r w:rsidR="00897470">
          <w:rPr>
            <w:noProof/>
          </w:rPr>
          <w:t>6</w:t>
        </w:r>
      </w:fldSimple>
      <w:bookmarkEnd w:id="104"/>
      <w:r w:rsidRPr="00435CF6">
        <w:t>: Fluxo de Acionamento e notificações necessárias</w:t>
      </w:r>
      <w:r w:rsidR="00605F99">
        <w:t xml:space="preserve"> (</w:t>
      </w:r>
      <w:r w:rsidR="00605F99" w:rsidRPr="00C45C9A">
        <w:t xml:space="preserve">Fonte: </w:t>
      </w:r>
      <w:r w:rsidR="00F02028">
        <w:t xml:space="preserve">Modificado a partir do original em </w:t>
      </w:r>
      <w:r w:rsidR="00B0161B">
        <w:t xml:space="preserve">BP </w:t>
      </w:r>
      <w:r w:rsidR="00460D2A">
        <w:t>Energy</w:t>
      </w:r>
      <w:r w:rsidR="00B0161B">
        <w:t>, 20</w:t>
      </w:r>
      <w:r w:rsidR="00460D2A">
        <w:t>13</w:t>
      </w:r>
      <w:r w:rsidR="00605F99">
        <w:t>)</w:t>
      </w:r>
      <w:r w:rsidRPr="00435CF6">
        <w:t>.</w:t>
      </w:r>
      <w:bookmarkEnd w:id="105"/>
      <w:bookmarkEnd w:id="106"/>
    </w:p>
    <w:p w14:paraId="529FC940" w14:textId="77777777" w:rsidR="00037F51" w:rsidRPr="009D01BE" w:rsidRDefault="00037F51" w:rsidP="006F18B8">
      <w:pPr>
        <w:pStyle w:val="Heading3"/>
        <w:ind w:left="1224"/>
      </w:pPr>
      <w:bookmarkStart w:id="107" w:name="_Toc523833886"/>
      <w:r w:rsidRPr="009D01BE">
        <w:t>Comunicação Interna</w:t>
      </w:r>
      <w:bookmarkEnd w:id="107"/>
    </w:p>
    <w:p w14:paraId="56F883E0" w14:textId="1420B011" w:rsidR="00137ECB" w:rsidRDefault="00137ECB" w:rsidP="009F0EA7">
      <w:pPr>
        <w:pStyle w:val="tier1Itext"/>
      </w:pPr>
      <w:r>
        <w:t xml:space="preserve">A gestão da comunicação entre os membros da </w:t>
      </w:r>
      <w:r w:rsidR="008102C0">
        <w:t>estrutura de resposta</w:t>
      </w:r>
      <w:r>
        <w:t xml:space="preserve"> constitui uma atividade fundamental para o adequado planejamento das ações de</w:t>
      </w:r>
      <w:r w:rsidR="008102C0">
        <w:t>sta</w:t>
      </w:r>
      <w:r>
        <w:t xml:space="preserve"> resposta, e apoia o posterior reporte e revisão de planos e procedimentos.</w:t>
      </w:r>
    </w:p>
    <w:p w14:paraId="16E80A3C" w14:textId="77777777" w:rsidR="00137ECB" w:rsidRDefault="00137ECB" w:rsidP="009F0EA7">
      <w:pPr>
        <w:pStyle w:val="tier1Itext"/>
      </w:pPr>
      <w:r>
        <w:t>O protocolo de comunicação interna tem a finalidade de facilitar o compartilhamento de informações críticas do incidente e das operações de resposta, além de evitar falhas e ruídos na comunicação, duplo comando e atrasos nas tomadas de decisão.</w:t>
      </w:r>
    </w:p>
    <w:p w14:paraId="5EDD5BD0" w14:textId="77777777" w:rsidR="00137ECB" w:rsidRPr="003A3F7B" w:rsidRDefault="00137ECB" w:rsidP="009F0EA7">
      <w:pPr>
        <w:pStyle w:val="tier1Itext"/>
      </w:pPr>
      <w:r w:rsidRPr="003A3F7B">
        <w:t>O processo de comunicação interna compreende as etapas do Notificação/Ativação da IMT/BST</w:t>
      </w:r>
      <w:r>
        <w:t>,</w:t>
      </w:r>
      <w:r w:rsidRPr="003A3F7B">
        <w:t xml:space="preserve"> mostradas a seguir</w:t>
      </w:r>
      <w:r>
        <w:t>,</w:t>
      </w:r>
      <w:r w:rsidRPr="003A3F7B">
        <w:t xml:space="preserve"> </w:t>
      </w:r>
      <w:r>
        <w:t>qu</w:t>
      </w:r>
      <w:r w:rsidRPr="003A3F7B">
        <w:t xml:space="preserve">e são monitoradas e registradas pelo IC, ou, no caso de acionamento do IMT, </w:t>
      </w:r>
      <w:r>
        <w:t>pel</w:t>
      </w:r>
      <w:r w:rsidRPr="003A3F7B">
        <w:t xml:space="preserve">o PSC ou </w:t>
      </w:r>
      <w:r>
        <w:t>pel</w:t>
      </w:r>
      <w:r w:rsidRPr="003A3F7B">
        <w:t>o Líder da Unidade de Documentação.</w:t>
      </w:r>
    </w:p>
    <w:p w14:paraId="6D18275B" w14:textId="77777777" w:rsidR="00137ECB" w:rsidRPr="003A3F7B" w:rsidRDefault="00137ECB" w:rsidP="009F0EA7">
      <w:pPr>
        <w:pStyle w:val="tier1Itext"/>
      </w:pPr>
      <w:r w:rsidRPr="003A3F7B">
        <w:lastRenderedPageBreak/>
        <w:t xml:space="preserve">É importante destacar que apesar da manutenção da estrutura formal do ICS, a comunicação informal entre as unidades e seções é apoiada e estimulada, já que é considerado um aspecto chave para o sucesso do sistema. A manutenção de canais abertos de relacionamentos é ação primordial para o alcance dos objetivos definidos, principalmente na </w:t>
      </w:r>
      <w:r w:rsidR="00942345">
        <w:t>F</w:t>
      </w:r>
      <w:r w:rsidRPr="003A3F7B">
        <w:t xml:space="preserve">ase </w:t>
      </w:r>
      <w:r w:rsidR="00942345">
        <w:t>P</w:t>
      </w:r>
      <w:r w:rsidRPr="003A3F7B">
        <w:t>roativa, quando o Processo de Planejamento do Próximo Período Operacional (</w:t>
      </w:r>
      <w:r w:rsidRPr="003A3F7B">
        <w:rPr>
          <w:i/>
        </w:rPr>
        <w:t>Planning-P Process</w:t>
      </w:r>
      <w:r w:rsidRPr="003A3F7B">
        <w:t>) está em andamento.</w:t>
      </w:r>
    </w:p>
    <w:p w14:paraId="52AAC45F"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Protocolo de comunicação interna</w:t>
      </w:r>
    </w:p>
    <w:p w14:paraId="7C3C4327" w14:textId="77777777" w:rsidR="00137ECB" w:rsidRDefault="00137ECB" w:rsidP="009F0EA7">
      <w:pPr>
        <w:pStyle w:val="tier1Itext"/>
      </w:pPr>
      <w:r>
        <w:t>Ordena</w:t>
      </w:r>
      <w:r w:rsidRPr="001711B3">
        <w:t xml:space="preserve"> as vias </w:t>
      </w:r>
      <w:r w:rsidRPr="00AE3B8F">
        <w:t>de comunicação formal e informal durante</w:t>
      </w:r>
      <w:r w:rsidRPr="001711B3">
        <w:t xml:space="preserve"> as ações de resposta ao incidente, definindo ou validando os</w:t>
      </w:r>
      <w:r>
        <w:t>:</w:t>
      </w:r>
    </w:p>
    <w:p w14:paraId="2EE93CC9" w14:textId="6D321D3B"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434" w:hanging="357"/>
        <w:rPr>
          <w:rFonts w:asciiTheme="majorHAnsi" w:hAnsiTheme="majorHAnsi"/>
        </w:rPr>
      </w:pPr>
      <w:r w:rsidRPr="009F0EA7">
        <w:rPr>
          <w:rFonts w:asciiTheme="majorHAnsi" w:hAnsiTheme="majorHAnsi"/>
        </w:rPr>
        <w:t xml:space="preserve">Canais de comunicação existentes (por exemplo, ponto focal para comunicação com a plataforma, canal para solicitação de recursos, canal para comunicação com </w:t>
      </w:r>
      <w:r w:rsidR="00B0161B">
        <w:rPr>
          <w:rFonts w:asciiTheme="majorHAnsi" w:hAnsiTheme="majorHAnsi"/>
        </w:rPr>
        <w:t xml:space="preserve">agentes ou grupos </w:t>
      </w:r>
      <w:r w:rsidRPr="009F0EA7">
        <w:rPr>
          <w:rFonts w:asciiTheme="majorHAnsi" w:hAnsiTheme="majorHAnsi"/>
        </w:rPr>
        <w:t xml:space="preserve">externos a </w:t>
      </w:r>
      <w:r w:rsidR="0027197D">
        <w:rPr>
          <w:rFonts w:asciiTheme="majorHAnsi" w:hAnsiTheme="majorHAnsi"/>
        </w:rPr>
        <w:t>estrutura de resposta</w:t>
      </w:r>
      <w:r w:rsidRPr="009F0EA7">
        <w:rPr>
          <w:rFonts w:asciiTheme="majorHAnsi" w:hAnsiTheme="majorHAnsi"/>
        </w:rPr>
        <w:t>, dentre outros);</w:t>
      </w:r>
    </w:p>
    <w:p w14:paraId="44CDAA2F" w14:textId="77777777"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rPr>
      </w:pPr>
      <w:r w:rsidRPr="009F0EA7">
        <w:rPr>
          <w:rFonts w:asciiTheme="majorHAnsi" w:hAnsiTheme="majorHAnsi"/>
        </w:rPr>
        <w:t>Elementos essenciais de informação (informações que precisam ser compartilhadas com as lideranças de cada função e formalmente registradas e arquivadas);</w:t>
      </w:r>
    </w:p>
    <w:p w14:paraId="2106ABA3" w14:textId="77777777" w:rsidR="00137ECB" w:rsidRPr="009F0EA7" w:rsidRDefault="00137ECB"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434" w:hanging="357"/>
        <w:rPr>
          <w:rFonts w:asciiTheme="majorHAnsi" w:hAnsiTheme="majorHAnsi"/>
        </w:rPr>
      </w:pPr>
      <w:r w:rsidRPr="009F0EA7">
        <w:rPr>
          <w:rFonts w:asciiTheme="majorHAnsi" w:hAnsiTheme="majorHAnsi"/>
        </w:rPr>
        <w:t>Fatos de reporte imediato (informações que demandam notificação imediata ao IC).</w:t>
      </w:r>
    </w:p>
    <w:p w14:paraId="17F34889" w14:textId="77777777" w:rsidR="00137ECB" w:rsidRDefault="00137ECB" w:rsidP="009F0EA7">
      <w:pPr>
        <w:pStyle w:val="tier1Itext"/>
      </w:pPr>
      <w:r>
        <w:t xml:space="preserve">Assim que efetuada a comunicação inicial do incidente e a mobilização da EOR, os procedimentos do protocolo de comunicação interna devem ser estabelecidos/revistos e formalizados com todos os membros </w:t>
      </w:r>
      <w:r w:rsidR="00B0161B">
        <w:t xml:space="preserve">da </w:t>
      </w:r>
      <w:r>
        <w:t xml:space="preserve">IMT e </w:t>
      </w:r>
      <w:r w:rsidR="00B0161B">
        <w:t xml:space="preserve">da </w:t>
      </w:r>
      <w:r>
        <w:t>TRT, incluindo pessoal próprio e terceiros. Esses procedimentos devem incluir orientações sobre os pontos-focais dos canais de comunicação, os meios (por exemplo, verbal ou por escrito, telefone, rádio, dentre outros) e a frequência de contato (por exemplo, a cada hora, diário, dentre outros).</w:t>
      </w:r>
    </w:p>
    <w:p w14:paraId="6B326BB6"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Notificação Inicial</w:t>
      </w:r>
    </w:p>
    <w:p w14:paraId="085B0AF3" w14:textId="77777777" w:rsidR="00137ECB" w:rsidRPr="003A3F7B" w:rsidRDefault="00137ECB" w:rsidP="009F0EA7">
      <w:pPr>
        <w:pStyle w:val="tier1Itext"/>
      </w:pPr>
      <w:r w:rsidRPr="003A3F7B">
        <w:t xml:space="preserve">A comunicação interna entre o IC da TRT </w:t>
      </w:r>
      <w:r w:rsidR="00C364E0">
        <w:t xml:space="preserve">(IC/TRT) </w:t>
      </w:r>
      <w:r w:rsidRPr="003A3F7B">
        <w:t>e o IC da IMT</w:t>
      </w:r>
      <w:r w:rsidR="00C364E0">
        <w:t xml:space="preserve"> (IC/IMT)</w:t>
      </w:r>
      <w:r w:rsidRPr="003A3F7B">
        <w:t xml:space="preserve"> deve ser realizada imediatamente após </w:t>
      </w:r>
      <w:r>
        <w:t>a observação do incidente</w:t>
      </w:r>
      <w:r w:rsidRPr="003A3F7B">
        <w:t xml:space="preserve"> através, ainda que não exclusivamente, do número de telefone de emergência (</w:t>
      </w:r>
      <w:r>
        <w:t>t</w:t>
      </w:r>
      <w:r w:rsidRPr="003A3F7B">
        <w:t xml:space="preserve">elefone de </w:t>
      </w:r>
      <w:r>
        <w:t>p</w:t>
      </w:r>
      <w:r w:rsidRPr="003A3F7B">
        <w:t xml:space="preserve">lantão), mantido pelo </w:t>
      </w:r>
      <w:r>
        <w:t xml:space="preserve">membro </w:t>
      </w:r>
      <w:r w:rsidR="00B0161B">
        <w:t xml:space="preserve">da </w:t>
      </w:r>
      <w:r>
        <w:t>IMT na DUTY ROTA (</w:t>
      </w:r>
      <w:r w:rsidRPr="003A3F7B">
        <w:t>24/7</w:t>
      </w:r>
      <w:r>
        <w:t>)</w:t>
      </w:r>
      <w:r w:rsidRPr="003A3F7B">
        <w:t xml:space="preserve">, durante todo o ano. Como mencionado anteriormente, </w:t>
      </w:r>
      <w:r>
        <w:t>caso não consiga contato com o DUTY ROTA</w:t>
      </w:r>
      <w:r w:rsidRPr="003A3F7B">
        <w:t xml:space="preserve">, </w:t>
      </w:r>
      <w:r w:rsidR="00B0161B">
        <w:t xml:space="preserve">também poderá ser contatado </w:t>
      </w:r>
      <w:r>
        <w:t xml:space="preserve">o Coordenador de CCM/ER, que se encarregará </w:t>
      </w:r>
      <w:r w:rsidR="002377C4">
        <w:t>da comunicação</w:t>
      </w:r>
      <w:r>
        <w:t xml:space="preserve"> com o IC</w:t>
      </w:r>
      <w:r w:rsidR="009F0EA7">
        <w:t>.</w:t>
      </w:r>
    </w:p>
    <w:p w14:paraId="27BFBA0F" w14:textId="77777777" w:rsidR="00137ECB" w:rsidRPr="003A3F7B" w:rsidRDefault="00137ECB" w:rsidP="009F0EA7">
      <w:pPr>
        <w:pStyle w:val="tier1Itext"/>
      </w:pPr>
      <w:r w:rsidRPr="003A3F7B">
        <w:lastRenderedPageBreak/>
        <w:t xml:space="preserve">Todas as informações disponíveis até o momento devem ser passadas para o IC/IMT para a etapa de avaliação, utilizando o formulário do </w:t>
      </w:r>
      <w:r w:rsidRPr="00DB1012">
        <w:t>Relatório Gera</w:t>
      </w:r>
      <w:r w:rsidRPr="00421257">
        <w:t>l do Incidente</w:t>
      </w:r>
      <w:r w:rsidRPr="003A3F7B">
        <w:t xml:space="preserve"> </w:t>
      </w:r>
      <w:r>
        <w:t xml:space="preserve">(formulário ICS 201) </w:t>
      </w:r>
      <w:r w:rsidRPr="003A3F7B">
        <w:t>como um guia. Depois da comunicação inicial, o próprio IC/TRT ou um assessor designado/escrevente, deve preencher o formulário, com as informações disponíveis e enviá-las p</w:t>
      </w:r>
      <w:r w:rsidR="009F0EA7">
        <w:t>or fax ou e-mail para o IC/IMT.</w:t>
      </w:r>
    </w:p>
    <w:p w14:paraId="0151AA9E" w14:textId="77777777" w:rsidR="00137ECB" w:rsidRDefault="00137ECB" w:rsidP="009F0EA7">
      <w:pPr>
        <w:pStyle w:val="tier1Itext"/>
      </w:pPr>
      <w:r w:rsidRPr="003A3F7B">
        <w:t>Após a avaliação da situação, considerando o acionamento da IMT, o IC/TRT prosseguirá com a transferência do comando para o IC/IMT, que deve estabelecer um protocolo de comunicação com o pessoal de campo, principalmente com o novo OSC Delegado (antigo IC</w:t>
      </w:r>
      <w:r>
        <w:t>/TRT</w:t>
      </w:r>
      <w:r w:rsidRPr="003A3F7B">
        <w:t>). O protocolo de comunicação deve determinar as pessoas de contato, conteúdo, frequência e meio utilizado.</w:t>
      </w:r>
    </w:p>
    <w:p w14:paraId="350B28B8" w14:textId="77777777" w:rsidR="00137ECB" w:rsidRPr="009F0EA7"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9F0EA7">
        <w:rPr>
          <w:rFonts w:asciiTheme="majorHAnsi" w:hAnsiTheme="majorHAnsi"/>
          <w:b/>
        </w:rPr>
        <w:t>Notificações Periódicas</w:t>
      </w:r>
    </w:p>
    <w:p w14:paraId="0825F2F7" w14:textId="77777777" w:rsidR="00137ECB" w:rsidRPr="003A3F7B" w:rsidRDefault="00137ECB" w:rsidP="00FA1E16">
      <w:pPr>
        <w:pStyle w:val="tier1Itext"/>
      </w:pPr>
      <w:r w:rsidRPr="003A3F7B">
        <w:t>Durante a condução da</w:t>
      </w:r>
      <w:r w:rsidR="00C364E0">
        <w:t xml:space="preserve"> resposta, alguns formulários somente</w:t>
      </w:r>
      <w:r w:rsidRPr="003A3F7B">
        <w:t xml:space="preserve"> serão acionados em emergências suficientemente grandes que durem mais que o período da </w:t>
      </w:r>
      <w:r w:rsidR="00C364E0" w:rsidRPr="003A3F7B">
        <w:t xml:space="preserve">Fase Reativa </w:t>
      </w:r>
      <w:r w:rsidRPr="003A3F7B">
        <w:t xml:space="preserve">para serem gerenciadas (menos que 5% do total de incidentes). O ICS 201 – </w:t>
      </w:r>
      <w:r>
        <w:t xml:space="preserve">Relatório Geral </w:t>
      </w:r>
      <w:r w:rsidRPr="003A3F7B">
        <w:t xml:space="preserve">do Incidente será o guia para a troca de informações atualizadas durante os contatos periódicos entre a TRT e a IMT na </w:t>
      </w:r>
      <w:r w:rsidR="00C364E0" w:rsidRPr="003A3F7B">
        <w:t xml:space="preserve">Fase Reativa </w:t>
      </w:r>
      <w:r w:rsidRPr="003A3F7B">
        <w:t xml:space="preserve">da resposta </w:t>
      </w:r>
      <w:r>
        <w:t>a</w:t>
      </w:r>
      <w:r w:rsidRPr="003A3F7B">
        <w:t>o incidente, também funcionando como o principal documento para rastre</w:t>
      </w:r>
      <w:r>
        <w:t>amento</w:t>
      </w:r>
      <w:r w:rsidRPr="003A3F7B">
        <w:t xml:space="preserve"> e registro da evolução do mesmo durante resumos periódicos e reuniões de acompanhamento do andamento da resposta.</w:t>
      </w:r>
    </w:p>
    <w:p w14:paraId="32E69DB9" w14:textId="77777777" w:rsidR="00137ECB" w:rsidRPr="003A3F7B" w:rsidRDefault="00137ECB" w:rsidP="00FA1E16">
      <w:pPr>
        <w:pStyle w:val="tier1Itext"/>
      </w:pPr>
      <w:r w:rsidRPr="003A3F7B">
        <w:t>Em um incidente de maior duração, o</w:t>
      </w:r>
      <w:r>
        <w:t xml:space="preserve"> ciclo de planejamento</w:t>
      </w:r>
      <w:r w:rsidRPr="003A3F7B">
        <w:t xml:space="preserve"> do ICS (</w:t>
      </w:r>
      <w:r w:rsidRPr="003A3F7B">
        <w:rPr>
          <w:i/>
        </w:rPr>
        <w:t>Planning-P Process</w:t>
      </w:r>
      <w:r w:rsidRPr="003A3F7B">
        <w:t xml:space="preserve">) é implementado, sendo esta a característica essencial da </w:t>
      </w:r>
      <w:r w:rsidR="00C364E0" w:rsidRPr="003A3F7B">
        <w:t xml:space="preserve">Fase Proativa </w:t>
      </w:r>
      <w:r w:rsidRPr="003A3F7B">
        <w:t xml:space="preserve">do processo de resposta. O Plano de Ação do Incidente (IAP) para o </w:t>
      </w:r>
      <w:r w:rsidR="00DE1E27" w:rsidRPr="003A3F7B">
        <w:t xml:space="preserve">Período Operacional </w:t>
      </w:r>
      <w:r w:rsidRPr="003A3F7B">
        <w:t>a ser definido pelo IC será então construído através de encontros metodicamente gerenciados do ICS (das Equipes de Comando e Geral; o Tático; o de Planejamento e o de instruções de Operações)</w:t>
      </w:r>
      <w:r>
        <w:t>.</w:t>
      </w:r>
      <w:r w:rsidR="00D913B3">
        <w:t xml:space="preserve"> </w:t>
      </w:r>
      <w:r>
        <w:t>S</w:t>
      </w:r>
      <w:r w:rsidRPr="003A3F7B">
        <w:t>eus vários componentes orientarão as equipes de resposta sobre o que e como deve ser feito, os recursos que deverão ser usados para realização destas ações, os protocolos de comunicações e outras informações importantes para a manutenção de tod</w:t>
      </w:r>
      <w:r>
        <w:t>a</w:t>
      </w:r>
      <w:r w:rsidRPr="003A3F7B">
        <w:t xml:space="preserve"> </w:t>
      </w:r>
      <w:r>
        <w:t>a equipe</w:t>
      </w:r>
      <w:r w:rsidRPr="003A3F7B">
        <w:t xml:space="preserve"> de resposta na mesma direção.</w:t>
      </w:r>
    </w:p>
    <w:p w14:paraId="543D95F0" w14:textId="77777777" w:rsidR="00137ECB" w:rsidRDefault="00137ECB" w:rsidP="00FA1E16">
      <w:pPr>
        <w:pStyle w:val="tier1Itext"/>
      </w:pPr>
      <w:r w:rsidRPr="003A3F7B">
        <w:t>O gerenciamento das informações compiladas é feito através dos formulários ICS</w:t>
      </w:r>
      <w:r>
        <w:t>,</w:t>
      </w:r>
      <w:r w:rsidRPr="003A3F7B">
        <w:t xml:space="preserve"> que combinam </w:t>
      </w:r>
      <w:r>
        <w:t>diversas informações relevantes para a IMT</w:t>
      </w:r>
      <w:r w:rsidRPr="003A3F7B">
        <w:t>, como aquelas, ainda que não restritas</w:t>
      </w:r>
      <w:r>
        <w:t>,</w:t>
      </w:r>
      <w:r w:rsidRPr="003A3F7B">
        <w:t xml:space="preserve"> exibidas a seguir n</w:t>
      </w:r>
      <w:r>
        <w:t xml:space="preserve">a </w:t>
      </w:r>
      <w:r w:rsidRPr="00975D44">
        <w:rPr>
          <w:b/>
        </w:rPr>
        <w:fldChar w:fldCharType="begin"/>
      </w:r>
      <w:r w:rsidRPr="00975D44">
        <w:rPr>
          <w:b/>
        </w:rPr>
        <w:instrText xml:space="preserve"> REF _Ref413157860 \h  \* MERGEFORMAT </w:instrText>
      </w:r>
      <w:r w:rsidRPr="00975D44">
        <w:rPr>
          <w:b/>
        </w:rPr>
      </w:r>
      <w:r w:rsidRPr="00975D44">
        <w:rPr>
          <w:b/>
        </w:rPr>
        <w:fldChar w:fldCharType="separate"/>
      </w:r>
      <w:r w:rsidR="00897470" w:rsidRPr="00897470">
        <w:rPr>
          <w:b/>
          <w:szCs w:val="22"/>
        </w:rPr>
        <w:t xml:space="preserve">Tabela </w:t>
      </w:r>
      <w:r w:rsidR="00897470" w:rsidRPr="00897470">
        <w:rPr>
          <w:b/>
          <w:noProof/>
          <w:szCs w:val="22"/>
        </w:rPr>
        <w:t>10</w:t>
      </w:r>
      <w:r w:rsidRPr="00975D44">
        <w:rPr>
          <w:b/>
        </w:rPr>
        <w:fldChar w:fldCharType="end"/>
      </w:r>
      <w:r>
        <w:t>.</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923"/>
        <w:gridCol w:w="3469"/>
        <w:gridCol w:w="3679"/>
      </w:tblGrid>
      <w:tr w:rsidR="00137ECB" w:rsidRPr="00FA1E16" w14:paraId="03F23840" w14:textId="77777777" w:rsidTr="00FA1E16">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3"/>
            <w:shd w:val="clear" w:color="auto" w:fill="auto"/>
            <w:vAlign w:val="bottom"/>
          </w:tcPr>
          <w:p w14:paraId="59AE0492" w14:textId="77777777" w:rsidR="00137ECB" w:rsidRPr="00FA1E16" w:rsidRDefault="00137ECB" w:rsidP="00FA1E16">
            <w:pPr>
              <w:pStyle w:val="LegendaTabela"/>
              <w:rPr>
                <w:b/>
                <w:szCs w:val="20"/>
              </w:rPr>
            </w:pPr>
            <w:bookmarkStart w:id="108" w:name="_Ref413157860"/>
            <w:bookmarkStart w:id="109" w:name="_Toc413848077"/>
            <w:bookmarkStart w:id="110" w:name="_Toc523834042"/>
            <w:r w:rsidRPr="00FA1E16">
              <w:rPr>
                <w:b/>
                <w:color w:val="auto"/>
                <w:szCs w:val="20"/>
              </w:rPr>
              <w:lastRenderedPageBreak/>
              <w:t xml:space="preserve">Tabela </w:t>
            </w:r>
            <w:r w:rsidRPr="00FA1E16">
              <w:rPr>
                <w:szCs w:val="20"/>
              </w:rPr>
              <w:fldChar w:fldCharType="begin"/>
            </w:r>
            <w:r w:rsidRPr="00FA1E16">
              <w:rPr>
                <w:b/>
                <w:color w:val="auto"/>
                <w:szCs w:val="20"/>
              </w:rPr>
              <w:instrText xml:space="preserve"> SEQ Tabela \* ARABIC </w:instrText>
            </w:r>
            <w:r w:rsidRPr="00FA1E16">
              <w:rPr>
                <w:szCs w:val="20"/>
              </w:rPr>
              <w:fldChar w:fldCharType="separate"/>
            </w:r>
            <w:r w:rsidR="00897470">
              <w:rPr>
                <w:b/>
                <w:noProof/>
                <w:color w:val="auto"/>
                <w:szCs w:val="20"/>
              </w:rPr>
              <w:t>10</w:t>
            </w:r>
            <w:r w:rsidRPr="00FA1E16">
              <w:rPr>
                <w:szCs w:val="20"/>
              </w:rPr>
              <w:fldChar w:fldCharType="end"/>
            </w:r>
            <w:bookmarkEnd w:id="108"/>
            <w:r w:rsidRPr="00FA1E16">
              <w:rPr>
                <w:b/>
                <w:color w:val="auto"/>
                <w:szCs w:val="20"/>
              </w:rPr>
              <w:t>: Formulários ICS usados pela BP Energy do Brasil em seu sistema de gerenciamento de emergências.</w:t>
            </w:r>
            <w:bookmarkEnd w:id="109"/>
            <w:bookmarkEnd w:id="110"/>
          </w:p>
        </w:tc>
      </w:tr>
      <w:tr w:rsidR="00137ECB" w:rsidRPr="00FA1E16" w14:paraId="6B180454" w14:textId="77777777" w:rsidTr="00953C7D">
        <w:trPr>
          <w:cnfStyle w:val="100000000000" w:firstRow="1" w:lastRow="0" w:firstColumn="0" w:lastColumn="0" w:oddVBand="0" w:evenVBand="0" w:oddHBand="0" w:evenHBand="0" w:firstRowFirstColumn="0" w:firstRowLastColumn="0" w:lastRowFirstColumn="0" w:lastRowLastColumn="0"/>
          <w:trHeight w:val="540"/>
          <w:tblHeader/>
        </w:trPr>
        <w:tc>
          <w:tcPr>
            <w:tcW w:w="1060" w:type="pct"/>
            <w:shd w:val="clear" w:color="auto" w:fill="1F497D"/>
          </w:tcPr>
          <w:p w14:paraId="7E648F3E" w14:textId="77777777" w:rsidR="00137ECB" w:rsidRPr="00FA1E16" w:rsidRDefault="00137ECB" w:rsidP="00FA1E16">
            <w:pPr>
              <w:keepNext/>
              <w:keepLines/>
              <w:spacing w:before="0" w:line="240" w:lineRule="auto"/>
              <w:jc w:val="center"/>
              <w:rPr>
                <w:rFonts w:asciiTheme="majorHAnsi" w:eastAsia="Times New Roman" w:hAnsiTheme="majorHAnsi"/>
                <w:bCs/>
                <w:sz w:val="20"/>
                <w:szCs w:val="20"/>
              </w:rPr>
            </w:pPr>
            <w:r w:rsidRPr="00FA1E16">
              <w:rPr>
                <w:rFonts w:asciiTheme="majorHAnsi" w:hAnsiTheme="majorHAnsi"/>
                <w:sz w:val="20"/>
                <w:szCs w:val="20"/>
              </w:rPr>
              <w:t>Número do formulário ICS</w:t>
            </w:r>
          </w:p>
        </w:tc>
        <w:tc>
          <w:tcPr>
            <w:tcW w:w="1912" w:type="pct"/>
            <w:shd w:val="clear" w:color="auto" w:fill="1F497D"/>
          </w:tcPr>
          <w:p w14:paraId="72D82CDD" w14:textId="77777777" w:rsidR="00137ECB" w:rsidRPr="00FA1E16" w:rsidRDefault="00137ECB" w:rsidP="00FA1E16">
            <w:pPr>
              <w:keepNext/>
              <w:keepLines/>
              <w:spacing w:before="0" w:line="240" w:lineRule="auto"/>
              <w:jc w:val="center"/>
              <w:rPr>
                <w:rFonts w:asciiTheme="majorHAnsi" w:eastAsia="Times New Roman" w:hAnsiTheme="majorHAnsi"/>
                <w:bCs/>
                <w:sz w:val="20"/>
                <w:szCs w:val="20"/>
              </w:rPr>
            </w:pPr>
            <w:r w:rsidRPr="00FA1E16">
              <w:rPr>
                <w:rFonts w:asciiTheme="majorHAnsi" w:hAnsiTheme="majorHAnsi"/>
                <w:sz w:val="20"/>
                <w:szCs w:val="20"/>
              </w:rPr>
              <w:t>Título do formulário</w:t>
            </w:r>
          </w:p>
        </w:tc>
        <w:tc>
          <w:tcPr>
            <w:tcW w:w="2028" w:type="pct"/>
            <w:shd w:val="clear" w:color="auto" w:fill="1F497D"/>
          </w:tcPr>
          <w:p w14:paraId="6A3E177D" w14:textId="77777777" w:rsidR="00137ECB" w:rsidRPr="00FA1E16" w:rsidRDefault="00137ECB" w:rsidP="00FA1E16">
            <w:pPr>
              <w:keepNext/>
              <w:keepLines/>
              <w:spacing w:before="0" w:line="240" w:lineRule="auto"/>
              <w:jc w:val="center"/>
              <w:rPr>
                <w:rFonts w:asciiTheme="majorHAnsi" w:hAnsiTheme="majorHAnsi"/>
                <w:bCs/>
                <w:sz w:val="20"/>
                <w:szCs w:val="20"/>
              </w:rPr>
            </w:pPr>
            <w:r w:rsidRPr="00FA1E16">
              <w:rPr>
                <w:rFonts w:asciiTheme="majorHAnsi" w:hAnsiTheme="majorHAnsi"/>
                <w:sz w:val="20"/>
                <w:szCs w:val="20"/>
              </w:rPr>
              <w:t>Preparado por</w:t>
            </w:r>
          </w:p>
        </w:tc>
      </w:tr>
      <w:tr w:rsidR="00137ECB" w:rsidRPr="00FA1E16" w14:paraId="25777D9F"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136AF644" w14:textId="77777777" w:rsidR="00137ECB" w:rsidRPr="00FA1E16" w:rsidRDefault="00137ECB" w:rsidP="00FA1E16">
            <w:pPr>
              <w:keepNext/>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202</w:t>
            </w:r>
          </w:p>
        </w:tc>
        <w:tc>
          <w:tcPr>
            <w:tcW w:w="1912" w:type="pct"/>
          </w:tcPr>
          <w:p w14:paraId="097649FA" w14:textId="77777777" w:rsidR="00137ECB" w:rsidRPr="00FA1E16" w:rsidRDefault="00137ECB" w:rsidP="00FA1E16">
            <w:pPr>
              <w:keepNext/>
              <w:keepLines/>
              <w:spacing w:before="0" w:line="240" w:lineRule="auto"/>
              <w:jc w:val="left"/>
              <w:rPr>
                <w:rFonts w:asciiTheme="majorHAnsi" w:hAnsiTheme="majorHAnsi"/>
                <w:color w:val="000000"/>
                <w:sz w:val="20"/>
                <w:szCs w:val="20"/>
              </w:rPr>
            </w:pPr>
            <w:r w:rsidRPr="00FA1E16">
              <w:rPr>
                <w:rFonts w:asciiTheme="majorHAnsi" w:eastAsia="Times New Roman" w:hAnsiTheme="majorHAnsi" w:cstheme="majorHAnsi"/>
                <w:sz w:val="20"/>
                <w:szCs w:val="20"/>
                <w:lang w:val="en-US"/>
              </w:rPr>
              <w:t>Objetivos do Incidente</w:t>
            </w:r>
          </w:p>
        </w:tc>
        <w:tc>
          <w:tcPr>
            <w:tcW w:w="2028" w:type="pct"/>
          </w:tcPr>
          <w:p w14:paraId="1A00A2EF" w14:textId="77777777" w:rsidR="00137ECB" w:rsidRPr="00FA1E16" w:rsidRDefault="00137ECB" w:rsidP="00FA1E16">
            <w:pPr>
              <w:keepNext/>
              <w:keepLines/>
              <w:spacing w:before="0" w:line="240" w:lineRule="auto"/>
              <w:jc w:val="left"/>
              <w:rPr>
                <w:rFonts w:asciiTheme="majorHAnsi" w:hAnsiTheme="majorHAnsi"/>
                <w:color w:val="000000"/>
                <w:sz w:val="20"/>
                <w:szCs w:val="20"/>
              </w:rPr>
            </w:pPr>
            <w:r w:rsidRPr="00FA1E16">
              <w:rPr>
                <w:rFonts w:asciiTheme="majorHAnsi" w:eastAsia="Times New Roman" w:hAnsiTheme="majorHAnsi" w:cstheme="majorHAnsi"/>
                <w:sz w:val="20"/>
                <w:szCs w:val="20"/>
              </w:rPr>
              <w:t>Chefe da Seção de Planejamento (PSC)</w:t>
            </w:r>
          </w:p>
        </w:tc>
      </w:tr>
      <w:tr w:rsidR="00137ECB" w:rsidRPr="00FA1E16" w14:paraId="387BCEAC"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741B0B95"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203 (ou 207)</w:t>
            </w:r>
          </w:p>
        </w:tc>
        <w:tc>
          <w:tcPr>
            <w:tcW w:w="1912" w:type="pct"/>
          </w:tcPr>
          <w:p w14:paraId="4C9856A1"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Estrutura Organizacional do Incidente</w:t>
            </w:r>
          </w:p>
        </w:tc>
        <w:tc>
          <w:tcPr>
            <w:tcW w:w="2028" w:type="pct"/>
          </w:tcPr>
          <w:p w14:paraId="0B402FF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Recursos (RUL)</w:t>
            </w:r>
          </w:p>
        </w:tc>
      </w:tr>
      <w:tr w:rsidR="00137ECB" w:rsidRPr="00FA1E16" w14:paraId="618890C0"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00B4771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204</w:t>
            </w:r>
          </w:p>
        </w:tc>
        <w:tc>
          <w:tcPr>
            <w:tcW w:w="1912" w:type="pct"/>
          </w:tcPr>
          <w:p w14:paraId="2648DE88"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Atribuições de Ações</w:t>
            </w:r>
          </w:p>
        </w:tc>
        <w:tc>
          <w:tcPr>
            <w:tcW w:w="2028" w:type="pct"/>
          </w:tcPr>
          <w:p w14:paraId="548DDDF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Recursos &amp; Chefe da Seção de Operações (OSC)</w:t>
            </w:r>
          </w:p>
        </w:tc>
      </w:tr>
      <w:tr w:rsidR="00137ECB" w:rsidRPr="00FA1E16" w14:paraId="34293BA3"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4F25F343"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205</w:t>
            </w:r>
          </w:p>
        </w:tc>
        <w:tc>
          <w:tcPr>
            <w:tcW w:w="1912" w:type="pct"/>
          </w:tcPr>
          <w:p w14:paraId="7DF21F3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Atribuições de Comunicações</w:t>
            </w:r>
          </w:p>
        </w:tc>
        <w:tc>
          <w:tcPr>
            <w:tcW w:w="2028" w:type="pct"/>
          </w:tcPr>
          <w:p w14:paraId="4CA36A1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Comunicações</w:t>
            </w:r>
          </w:p>
        </w:tc>
      </w:tr>
      <w:tr w:rsidR="00137ECB" w:rsidRPr="00FA1E16" w14:paraId="72BE35C3"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CE1A2CC"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206</w:t>
            </w:r>
          </w:p>
        </w:tc>
        <w:tc>
          <w:tcPr>
            <w:tcW w:w="1912" w:type="pct"/>
          </w:tcPr>
          <w:p w14:paraId="672F49FE"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Plano Médico</w:t>
            </w:r>
          </w:p>
        </w:tc>
        <w:tc>
          <w:tcPr>
            <w:tcW w:w="2028" w:type="pct"/>
          </w:tcPr>
          <w:p w14:paraId="1C3685F8"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Médica</w:t>
            </w:r>
          </w:p>
        </w:tc>
      </w:tr>
      <w:tr w:rsidR="00137ECB" w:rsidRPr="00FA1E16" w14:paraId="7672A918"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06215C4D"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208</w:t>
            </w:r>
          </w:p>
        </w:tc>
        <w:tc>
          <w:tcPr>
            <w:tcW w:w="1912" w:type="pct"/>
          </w:tcPr>
          <w:p w14:paraId="48DE9D2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Plano de Segurança da Unidade Operacional</w:t>
            </w:r>
          </w:p>
        </w:tc>
        <w:tc>
          <w:tcPr>
            <w:tcW w:w="2028" w:type="pct"/>
          </w:tcPr>
          <w:p w14:paraId="1F4007A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Oficial de Segurança (SOFR)</w:t>
            </w:r>
          </w:p>
        </w:tc>
      </w:tr>
      <w:tr w:rsidR="00137ECB" w:rsidRPr="00FA1E16" w14:paraId="06B2EB2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7CE0198"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209</w:t>
            </w:r>
          </w:p>
        </w:tc>
        <w:tc>
          <w:tcPr>
            <w:tcW w:w="1912" w:type="pct"/>
          </w:tcPr>
          <w:p w14:paraId="251FF212"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Resumo do Estágio do Incidente</w:t>
            </w:r>
          </w:p>
        </w:tc>
        <w:tc>
          <w:tcPr>
            <w:tcW w:w="2028" w:type="pct"/>
          </w:tcPr>
          <w:p w14:paraId="55966BD0"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Situação (SUL)</w:t>
            </w:r>
          </w:p>
        </w:tc>
      </w:tr>
      <w:tr w:rsidR="00137ECB" w:rsidRPr="00FA1E16" w14:paraId="4F31EEFF"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18F3C974"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211</w:t>
            </w:r>
          </w:p>
        </w:tc>
        <w:tc>
          <w:tcPr>
            <w:tcW w:w="1912" w:type="pct"/>
          </w:tcPr>
          <w:p w14:paraId="5B8426E7" w14:textId="77777777" w:rsidR="00137ECB" w:rsidRPr="00FA1E16" w:rsidRDefault="00137ECB" w:rsidP="00FA1E16">
            <w:pPr>
              <w:keepLines/>
              <w:spacing w:before="0" w:line="240" w:lineRule="auto"/>
              <w:jc w:val="left"/>
              <w:rPr>
                <w:rFonts w:asciiTheme="majorHAnsi" w:hAnsiTheme="majorHAnsi" w:cstheme="majorHAnsi"/>
                <w:sz w:val="20"/>
                <w:szCs w:val="20"/>
                <w:lang w:val="en-US"/>
              </w:rPr>
            </w:pPr>
            <w:r w:rsidRPr="00FA1E16">
              <w:rPr>
                <w:rFonts w:asciiTheme="majorHAnsi" w:hAnsiTheme="majorHAnsi" w:cstheme="majorHAnsi"/>
                <w:sz w:val="20"/>
                <w:szCs w:val="20"/>
                <w:lang w:val="en-US"/>
              </w:rPr>
              <w:t>Controle de Check-in/out</w:t>
            </w:r>
          </w:p>
        </w:tc>
        <w:tc>
          <w:tcPr>
            <w:tcW w:w="2028" w:type="pct"/>
          </w:tcPr>
          <w:p w14:paraId="77D55BDC"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Líder da Unidade de Recursos (RUL)</w:t>
            </w:r>
          </w:p>
        </w:tc>
      </w:tr>
      <w:tr w:rsidR="00137ECB" w:rsidRPr="00FA1E16" w14:paraId="0A076B3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49AA920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214</w:t>
            </w:r>
          </w:p>
        </w:tc>
        <w:tc>
          <w:tcPr>
            <w:tcW w:w="1912" w:type="pct"/>
          </w:tcPr>
          <w:p w14:paraId="2FB0741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Registro de Ação da Unidade</w:t>
            </w:r>
            <w:r w:rsidRPr="00FA1E16">
              <w:rPr>
                <w:rFonts w:asciiTheme="majorHAnsi" w:hAnsiTheme="majorHAnsi" w:cstheme="majorHAnsi"/>
                <w:sz w:val="20"/>
                <w:szCs w:val="20"/>
                <w:vertAlign w:val="superscript"/>
              </w:rPr>
              <w:t>1</w:t>
            </w:r>
          </w:p>
        </w:tc>
        <w:tc>
          <w:tcPr>
            <w:tcW w:w="2028" w:type="pct"/>
          </w:tcPr>
          <w:p w14:paraId="1F61E7D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Todas as Seções e Unidades</w:t>
            </w:r>
          </w:p>
        </w:tc>
      </w:tr>
      <w:tr w:rsidR="00137ECB" w:rsidRPr="00FA1E16" w14:paraId="72DAE192"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9A8BD20"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215</w:t>
            </w:r>
          </w:p>
        </w:tc>
        <w:tc>
          <w:tcPr>
            <w:tcW w:w="1912" w:type="pct"/>
          </w:tcPr>
          <w:p w14:paraId="396C4B8B"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Planilha Operacional de Planejamento</w:t>
            </w:r>
          </w:p>
        </w:tc>
        <w:tc>
          <w:tcPr>
            <w:tcW w:w="2028" w:type="pct"/>
          </w:tcPr>
          <w:p w14:paraId="0A9AE1F3"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Chefe da Seção de Operações (OSC)</w:t>
            </w:r>
          </w:p>
        </w:tc>
      </w:tr>
      <w:tr w:rsidR="00137ECB" w:rsidRPr="00FA1E16" w14:paraId="0D1785BD"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520C8404"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215A [CG]</w:t>
            </w:r>
          </w:p>
        </w:tc>
        <w:tc>
          <w:tcPr>
            <w:tcW w:w="1912" w:type="pct"/>
          </w:tcPr>
          <w:p w14:paraId="45316F89"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Análise de dos Aspectos de Segurança – Planilha Analítica de Riscos e Perigos</w:t>
            </w:r>
          </w:p>
        </w:tc>
        <w:tc>
          <w:tcPr>
            <w:tcW w:w="2028" w:type="pct"/>
          </w:tcPr>
          <w:p w14:paraId="1490ABB2"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Oficial de Segurança (SOFR)</w:t>
            </w:r>
          </w:p>
        </w:tc>
      </w:tr>
      <w:tr w:rsidR="00137ECB" w:rsidRPr="00FA1E16" w14:paraId="62749F8F"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A724E5E"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220</w:t>
            </w:r>
          </w:p>
        </w:tc>
        <w:tc>
          <w:tcPr>
            <w:tcW w:w="1912" w:type="pct"/>
          </w:tcPr>
          <w:p w14:paraId="6E355A84"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Planilha de Resumo das Operações Aéreas</w:t>
            </w:r>
          </w:p>
        </w:tc>
        <w:tc>
          <w:tcPr>
            <w:tcW w:w="2028" w:type="pct"/>
          </w:tcPr>
          <w:p w14:paraId="0FDE6926"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Chefe da Seção de Operações ou Gerente das Operações Aéreas</w:t>
            </w:r>
          </w:p>
        </w:tc>
      </w:tr>
      <w:tr w:rsidR="00137ECB" w:rsidRPr="00FA1E16" w14:paraId="6C8B1845"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2F1A191A"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230</w:t>
            </w:r>
          </w:p>
        </w:tc>
        <w:tc>
          <w:tcPr>
            <w:tcW w:w="1912" w:type="pct"/>
          </w:tcPr>
          <w:p w14:paraId="1741C05B"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Agenda de Reuniões</w:t>
            </w:r>
          </w:p>
        </w:tc>
        <w:tc>
          <w:tcPr>
            <w:tcW w:w="2028" w:type="pct"/>
          </w:tcPr>
          <w:p w14:paraId="507D2897"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Líder da Unidade de Situação (SUL)</w:t>
            </w:r>
          </w:p>
        </w:tc>
      </w:tr>
      <w:tr w:rsidR="00137ECB" w:rsidRPr="00FA1E16" w14:paraId="5CA63E12"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2F2F1317"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232</w:t>
            </w:r>
          </w:p>
        </w:tc>
        <w:tc>
          <w:tcPr>
            <w:tcW w:w="1912" w:type="pct"/>
          </w:tcPr>
          <w:p w14:paraId="3BFC354B"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Resumo de Recursos em Risco</w:t>
            </w:r>
          </w:p>
        </w:tc>
        <w:tc>
          <w:tcPr>
            <w:tcW w:w="2028" w:type="pct"/>
          </w:tcPr>
          <w:p w14:paraId="55955337"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Líder da Unidade de Conformidade aos Regulamentos e Meio Ambiente (RC&amp;E UL)</w:t>
            </w:r>
          </w:p>
        </w:tc>
      </w:tr>
      <w:tr w:rsidR="00137ECB" w:rsidRPr="00FA1E16" w14:paraId="584E8C66" w14:textId="77777777" w:rsidTr="00953C7D">
        <w:trPr>
          <w:cnfStyle w:val="000000100000" w:firstRow="0" w:lastRow="0" w:firstColumn="0" w:lastColumn="0" w:oddVBand="0" w:evenVBand="0" w:oddHBand="1" w:evenHBand="0" w:firstRowFirstColumn="0" w:firstRowLastColumn="0" w:lastRowFirstColumn="0" w:lastRowLastColumn="0"/>
          <w:trHeight w:val="680"/>
        </w:trPr>
        <w:tc>
          <w:tcPr>
            <w:tcW w:w="1060" w:type="pct"/>
          </w:tcPr>
          <w:p w14:paraId="70A81140" w14:textId="77777777" w:rsidR="00137ECB" w:rsidRPr="00FA1E16" w:rsidRDefault="00137ECB" w:rsidP="00FA1E16">
            <w:pPr>
              <w:keepLines/>
              <w:spacing w:before="0" w:line="240" w:lineRule="auto"/>
              <w:jc w:val="left"/>
              <w:rPr>
                <w:rFonts w:asciiTheme="majorHAnsi" w:hAnsiTheme="majorHAnsi"/>
                <w:b/>
                <w:color w:val="000000"/>
                <w:sz w:val="20"/>
                <w:szCs w:val="20"/>
              </w:rPr>
            </w:pPr>
            <w:r w:rsidRPr="00FA1E16">
              <w:rPr>
                <w:rFonts w:asciiTheme="majorHAnsi" w:hAnsiTheme="majorHAnsi" w:cstheme="majorHAnsi"/>
                <w:b/>
                <w:sz w:val="20"/>
                <w:szCs w:val="20"/>
              </w:rPr>
              <w:t>233</w:t>
            </w:r>
          </w:p>
        </w:tc>
        <w:tc>
          <w:tcPr>
            <w:tcW w:w="1912" w:type="pct"/>
          </w:tcPr>
          <w:p w14:paraId="7AAAC6D9" w14:textId="11E412E6"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Monitoramento de Ações</w:t>
            </w:r>
            <w:r w:rsidR="00656D39">
              <w:rPr>
                <w:rFonts w:asciiTheme="majorHAnsi" w:hAnsiTheme="majorHAnsi" w:cstheme="majorHAnsi"/>
                <w:sz w:val="20"/>
                <w:szCs w:val="20"/>
              </w:rPr>
              <w:t xml:space="preserve"> </w:t>
            </w:r>
            <w:r w:rsidRPr="00FA1E16">
              <w:rPr>
                <w:rFonts w:asciiTheme="majorHAnsi" w:hAnsiTheme="majorHAnsi" w:cstheme="majorHAnsi"/>
                <w:sz w:val="20"/>
                <w:szCs w:val="20"/>
              </w:rPr>
              <w:t>em Aberto</w:t>
            </w:r>
          </w:p>
        </w:tc>
        <w:tc>
          <w:tcPr>
            <w:tcW w:w="2028" w:type="pct"/>
          </w:tcPr>
          <w:p w14:paraId="049B63C1" w14:textId="77777777" w:rsidR="00137ECB" w:rsidRPr="00FA1E16" w:rsidRDefault="00137ECB" w:rsidP="00FA1E16">
            <w:pPr>
              <w:keepLines/>
              <w:spacing w:before="0" w:line="240" w:lineRule="auto"/>
              <w:jc w:val="left"/>
              <w:rPr>
                <w:rFonts w:asciiTheme="majorHAnsi" w:hAnsiTheme="majorHAnsi"/>
                <w:color w:val="000000"/>
                <w:sz w:val="20"/>
                <w:szCs w:val="20"/>
              </w:rPr>
            </w:pPr>
            <w:r w:rsidRPr="00FA1E16">
              <w:rPr>
                <w:rFonts w:asciiTheme="majorHAnsi" w:hAnsiTheme="majorHAnsi" w:cstheme="majorHAnsi"/>
                <w:sz w:val="20"/>
                <w:szCs w:val="20"/>
              </w:rPr>
              <w:t xml:space="preserve">Líder da Unidade de Situação(SUL) </w:t>
            </w:r>
          </w:p>
        </w:tc>
      </w:tr>
      <w:tr w:rsidR="00137ECB" w:rsidRPr="00FA1E16" w14:paraId="180196CB" w14:textId="77777777" w:rsidTr="00953C7D">
        <w:trPr>
          <w:cnfStyle w:val="000000010000" w:firstRow="0" w:lastRow="0" w:firstColumn="0" w:lastColumn="0" w:oddVBand="0" w:evenVBand="0" w:oddHBand="0" w:evenHBand="1" w:firstRowFirstColumn="0" w:firstRowLastColumn="0" w:lastRowFirstColumn="0" w:lastRowLastColumn="0"/>
          <w:trHeight w:val="680"/>
        </w:trPr>
        <w:tc>
          <w:tcPr>
            <w:tcW w:w="1060" w:type="pct"/>
          </w:tcPr>
          <w:p w14:paraId="586D021D" w14:textId="77777777" w:rsidR="00137ECB" w:rsidRPr="00FA1E16" w:rsidRDefault="00137ECB" w:rsidP="00FA1E16">
            <w:pPr>
              <w:keepLines/>
              <w:spacing w:before="0" w:line="240" w:lineRule="auto"/>
              <w:jc w:val="left"/>
              <w:rPr>
                <w:rFonts w:asciiTheme="majorHAnsi" w:hAnsiTheme="majorHAnsi" w:cstheme="majorHAnsi"/>
                <w:b/>
                <w:sz w:val="20"/>
                <w:szCs w:val="20"/>
              </w:rPr>
            </w:pPr>
            <w:r w:rsidRPr="00FA1E16">
              <w:rPr>
                <w:rFonts w:asciiTheme="majorHAnsi" w:hAnsiTheme="majorHAnsi" w:cstheme="majorHAnsi"/>
                <w:b/>
                <w:sz w:val="20"/>
                <w:szCs w:val="20"/>
              </w:rPr>
              <w:t>234</w:t>
            </w:r>
          </w:p>
        </w:tc>
        <w:tc>
          <w:tcPr>
            <w:tcW w:w="1912" w:type="pct"/>
          </w:tcPr>
          <w:p w14:paraId="68F7034D"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Matriz de Análise de Ações</w:t>
            </w:r>
          </w:p>
        </w:tc>
        <w:tc>
          <w:tcPr>
            <w:tcW w:w="2028" w:type="pct"/>
          </w:tcPr>
          <w:p w14:paraId="674688F9" w14:textId="77777777" w:rsidR="00137ECB" w:rsidRPr="00FA1E16" w:rsidRDefault="00137ECB" w:rsidP="00FA1E16">
            <w:pPr>
              <w:keepLines/>
              <w:spacing w:before="0" w:line="240" w:lineRule="auto"/>
              <w:jc w:val="left"/>
              <w:rPr>
                <w:rFonts w:asciiTheme="majorHAnsi" w:hAnsiTheme="majorHAnsi" w:cstheme="majorHAnsi"/>
                <w:sz w:val="20"/>
                <w:szCs w:val="20"/>
              </w:rPr>
            </w:pPr>
            <w:r w:rsidRPr="00FA1E16">
              <w:rPr>
                <w:rFonts w:asciiTheme="majorHAnsi" w:hAnsiTheme="majorHAnsi" w:cstheme="majorHAnsi"/>
                <w:sz w:val="20"/>
                <w:szCs w:val="20"/>
              </w:rPr>
              <w:t>Chefes das Seções de Operações e Planejamento (OSC &amp; PSC)</w:t>
            </w:r>
          </w:p>
        </w:tc>
      </w:tr>
      <w:tr w:rsidR="00137ECB" w:rsidRPr="00FA1E16" w14:paraId="534757FC" w14:textId="77777777" w:rsidTr="00FA1E16">
        <w:trPr>
          <w:cnfStyle w:val="000000100000" w:firstRow="0" w:lastRow="0" w:firstColumn="0" w:lastColumn="0" w:oddVBand="0" w:evenVBand="0" w:oddHBand="1" w:evenHBand="0" w:firstRowFirstColumn="0" w:firstRowLastColumn="0" w:lastRowFirstColumn="0" w:lastRowLastColumn="0"/>
          <w:trHeight w:val="680"/>
        </w:trPr>
        <w:tc>
          <w:tcPr>
            <w:tcW w:w="5000" w:type="pct"/>
            <w:gridSpan w:val="3"/>
            <w:shd w:val="clear" w:color="auto" w:fill="auto"/>
            <w:vAlign w:val="top"/>
          </w:tcPr>
          <w:p w14:paraId="1002B786" w14:textId="77777777" w:rsidR="00137ECB" w:rsidRPr="00FA1E16" w:rsidRDefault="00FA1E16" w:rsidP="00FA1E16">
            <w:pPr>
              <w:keepLines/>
              <w:spacing w:before="0" w:line="240" w:lineRule="auto"/>
              <w:jc w:val="left"/>
              <w:rPr>
                <w:rFonts w:asciiTheme="majorHAnsi" w:hAnsiTheme="majorHAnsi" w:cstheme="majorHAnsi"/>
                <w:sz w:val="20"/>
                <w:szCs w:val="20"/>
              </w:rPr>
            </w:pPr>
            <w:r w:rsidRPr="00FA1E16">
              <w:rPr>
                <w:rFonts w:asciiTheme="majorHAnsi" w:hAnsiTheme="majorHAnsi"/>
                <w:b/>
                <w:sz w:val="20"/>
                <w:szCs w:val="20"/>
              </w:rPr>
              <w:t>Legenda:</w:t>
            </w:r>
            <w:r w:rsidRPr="00FA1E16">
              <w:rPr>
                <w:rFonts w:asciiTheme="majorHAnsi" w:hAnsiTheme="majorHAnsi"/>
                <w:sz w:val="20"/>
                <w:szCs w:val="20"/>
              </w:rPr>
              <w:t xml:space="preserve"> </w:t>
            </w:r>
            <w:r w:rsidR="00137ECB" w:rsidRPr="00FA1E16">
              <w:rPr>
                <w:rFonts w:asciiTheme="majorHAnsi" w:hAnsiTheme="majorHAnsi"/>
                <w:sz w:val="20"/>
                <w:szCs w:val="20"/>
                <w:vertAlign w:val="superscript"/>
              </w:rPr>
              <w:t xml:space="preserve">1 </w:t>
            </w:r>
            <w:r w:rsidR="00137ECB" w:rsidRPr="00FA1E16">
              <w:rPr>
                <w:rFonts w:asciiTheme="majorHAnsi" w:hAnsiTheme="majorHAnsi"/>
                <w:sz w:val="20"/>
                <w:szCs w:val="20"/>
              </w:rPr>
              <w:t>O formulário ICS 214 – Registro da Unidade é usado para registrar todas as ações de resposta realizadas e eventos relevantes em cada equipe de resposta, seção ou unidade.</w:t>
            </w:r>
          </w:p>
        </w:tc>
      </w:tr>
    </w:tbl>
    <w:p w14:paraId="7307433F"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lastRenderedPageBreak/>
        <w:t>Reuniões de avaliação</w:t>
      </w:r>
    </w:p>
    <w:p w14:paraId="78ABCCE2" w14:textId="77777777" w:rsidR="00137ECB" w:rsidRDefault="00137ECB" w:rsidP="00FA1E16">
      <w:pPr>
        <w:pStyle w:val="tier1Itext"/>
      </w:pPr>
      <w:r>
        <w:t xml:space="preserve">Consistem em reuniões realizadas entre os membros da IMT, podendo envolver membros de diferentes equipes ou de uma mesma equipe/função específica. Durante a fase inicial de uma resposta a </w:t>
      </w:r>
      <w:r w:rsidRPr="00975D44">
        <w:t>incidente</w:t>
      </w:r>
      <w:r>
        <w:t xml:space="preserve"> – Fase Reativa, as reuniões de avaliação são fundamentais para apoiar o estabelecimento das operações de resposta. Elas têm como objetivo</w:t>
      </w:r>
      <w:r w:rsidRPr="007D5302">
        <w:t xml:space="preserve"> assegurar que todos os membros da </w:t>
      </w:r>
      <w:r>
        <w:t>EOR tenham acesso às informações</w:t>
      </w:r>
      <w:r w:rsidRPr="007D5302">
        <w:t xml:space="preserve"> </w:t>
      </w:r>
      <w:r>
        <w:t xml:space="preserve">críticas do incidente </w:t>
      </w:r>
      <w:r w:rsidRPr="007D5302">
        <w:t>e compreend</w:t>
      </w:r>
      <w:r>
        <w:t>a</w:t>
      </w:r>
      <w:r w:rsidRPr="007D5302">
        <w:t>m claramente as prio</w:t>
      </w:r>
      <w:r>
        <w:t>ridades, limitações, restrições e finalidades da resposta</w:t>
      </w:r>
      <w:r w:rsidRPr="007D5302">
        <w:t>.</w:t>
      </w:r>
    </w:p>
    <w:p w14:paraId="71DFE3D3" w14:textId="77777777" w:rsidR="00137ECB" w:rsidRPr="007D5302" w:rsidRDefault="00137ECB" w:rsidP="00FA1E16">
      <w:pPr>
        <w:pStyle w:val="tier1Itext"/>
      </w:pPr>
      <w:r w:rsidRPr="007D5302">
        <w:t>A frequência de realização das reuniões de avaliação deverá ser estabelecida pelas lid</w:t>
      </w:r>
      <w:r>
        <w:t xml:space="preserve">eranças de cada equipe, respeitando os protocolos de comunicação interna estabelecidos e </w:t>
      </w:r>
      <w:r w:rsidRPr="007D5302">
        <w:t xml:space="preserve">os princípios </w:t>
      </w:r>
      <w:r>
        <w:t>do</w:t>
      </w:r>
      <w:r w:rsidRPr="007D5302">
        <w:t xml:space="preserve"> ICS.</w:t>
      </w:r>
    </w:p>
    <w:p w14:paraId="3533FAE2" w14:textId="77777777" w:rsidR="00137ECB" w:rsidRDefault="00137ECB" w:rsidP="00FA1E16">
      <w:pPr>
        <w:pStyle w:val="tier1Itext"/>
      </w:pPr>
      <w:r w:rsidRPr="007D5302">
        <w:t xml:space="preserve">Havendo </w:t>
      </w:r>
      <w:r>
        <w:t xml:space="preserve">a </w:t>
      </w:r>
      <w:r w:rsidRPr="007D5302">
        <w:t xml:space="preserve">necessidade de se iniciar a </w:t>
      </w:r>
      <w:r>
        <w:t>F</w:t>
      </w:r>
      <w:r w:rsidRPr="007D5302">
        <w:t xml:space="preserve">ase </w:t>
      </w:r>
      <w:r>
        <w:t>P</w:t>
      </w:r>
      <w:r w:rsidRPr="007D5302">
        <w:t>roativa</w:t>
      </w:r>
      <w:r>
        <w:t xml:space="preserve"> da resposta</w:t>
      </w:r>
      <w:r w:rsidRPr="007D5302">
        <w:t xml:space="preserve">, as reuniões </w:t>
      </w:r>
      <w:r>
        <w:t xml:space="preserve">para definição dos objetivos, estratégias e táticas a serem adotadas </w:t>
      </w:r>
      <w:r w:rsidRPr="007D5302">
        <w:t xml:space="preserve">deverão seguir o </w:t>
      </w:r>
      <w:r w:rsidRPr="003A3F7B">
        <w:rPr>
          <w:rFonts w:cstheme="majorHAnsi"/>
        </w:rPr>
        <w:t xml:space="preserve">Processo de Planejamento do Próximo Período Operacional </w:t>
      </w:r>
      <w:r w:rsidRPr="00EA51CF">
        <w:t>do ICS</w:t>
      </w:r>
      <w:r w:rsidRPr="007D5302">
        <w:t xml:space="preserve">, </w:t>
      </w:r>
      <w:r>
        <w:t xml:space="preserve">sendo mantidas </w:t>
      </w:r>
      <w:r w:rsidRPr="007D5302">
        <w:t>as reuniões de avaliação</w:t>
      </w:r>
      <w:r>
        <w:t>,</w:t>
      </w:r>
      <w:r w:rsidRPr="007D5302">
        <w:t xml:space="preserve"> </w:t>
      </w:r>
      <w:r>
        <w:t>quando aplicável</w:t>
      </w:r>
      <w:r w:rsidRPr="007D5302">
        <w:t>.</w:t>
      </w:r>
    </w:p>
    <w:p w14:paraId="262C72DD"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t>Quadro de Situação</w:t>
      </w:r>
    </w:p>
    <w:p w14:paraId="123F5C0F" w14:textId="77777777" w:rsidR="00137ECB" w:rsidRDefault="00137ECB" w:rsidP="00FA1E16">
      <w:pPr>
        <w:pStyle w:val="tier1Itext"/>
      </w:pPr>
      <w:r>
        <w:t xml:space="preserve">Para melhor gestão das ações de resposta, </w:t>
      </w:r>
      <w:r w:rsidRPr="007D5302">
        <w:t>um painel (ou quadro) de situação</w:t>
      </w:r>
      <w:r>
        <w:t xml:space="preserve"> deverá ser mantido pela IMT e/ou TRT, </w:t>
      </w:r>
      <w:r w:rsidRPr="007D5302">
        <w:t>dispondo de forma resumida</w:t>
      </w:r>
      <w:r>
        <w:t xml:space="preserve"> e ordenada,</w:t>
      </w:r>
      <w:r w:rsidRPr="007D5302">
        <w:t xml:space="preserve"> as informações críticas do incidente.</w:t>
      </w:r>
    </w:p>
    <w:p w14:paraId="23BB61C6" w14:textId="77777777" w:rsidR="00137ECB" w:rsidRPr="00AE3B8F" w:rsidRDefault="00137ECB" w:rsidP="00FA1E16">
      <w:pPr>
        <w:pStyle w:val="tier1Itext"/>
      </w:pPr>
      <w:r w:rsidRPr="00384A47">
        <w:t xml:space="preserve">A fim de refletir a situação atual do incidente e das ações de resposta, sua atualização é feita mediante a obtenção de novas informações ou de alterações na situação até então conhecida. Adicionalmente, uma frequência de atualização poderá ser estabelecida pelo </w:t>
      </w:r>
      <w:r>
        <w:t>IC ou delegado</w:t>
      </w:r>
      <w:r w:rsidRPr="00384A47">
        <w:t>, de modo a atender objetivos específicos e/ou reuniões pré-agendadas.</w:t>
      </w:r>
    </w:p>
    <w:p w14:paraId="66A2B6DA" w14:textId="77777777" w:rsidR="00137ECB" w:rsidRPr="00FA1E16" w:rsidRDefault="00137ECB"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Theme="majorHAnsi" w:hAnsiTheme="majorHAnsi"/>
          <w:b/>
        </w:rPr>
      </w:pPr>
      <w:r w:rsidRPr="00FA1E16">
        <w:rPr>
          <w:rFonts w:asciiTheme="majorHAnsi" w:hAnsiTheme="majorHAnsi"/>
          <w:b/>
        </w:rPr>
        <w:t>Formulários de suporte</w:t>
      </w:r>
    </w:p>
    <w:p w14:paraId="0B4DC5CE" w14:textId="77777777" w:rsidR="00137ECB" w:rsidRPr="002D6BA8" w:rsidRDefault="00137ECB" w:rsidP="00FA1E16">
      <w:pPr>
        <w:pStyle w:val="tier1Itext"/>
      </w:pPr>
      <w:r w:rsidRPr="002D6BA8">
        <w:t xml:space="preserve">Durante a emergência, todo o pessoal envolvido na resposta deverá assegurar que as informações críticas do incidente e das ações de resposta </w:t>
      </w:r>
      <w:r>
        <w:t>sejam</w:t>
      </w:r>
      <w:r w:rsidRPr="002D6BA8">
        <w:t xml:space="preserve"> sistematicamente documentadas e arquivadas</w:t>
      </w:r>
      <w:r>
        <w:t>,</w:t>
      </w:r>
      <w:r w:rsidRPr="002D6BA8">
        <w:t xml:space="preserve"> de forma a apoiar a revisão</w:t>
      </w:r>
      <w:r>
        <w:t xml:space="preserve">, </w:t>
      </w:r>
      <w:r w:rsidRPr="002D6BA8">
        <w:t>adequação</w:t>
      </w:r>
      <w:r>
        <w:t xml:space="preserve"> e comunicação</w:t>
      </w:r>
      <w:r w:rsidRPr="002D6BA8">
        <w:t xml:space="preserve"> dos planos e procedimentos de emergência</w:t>
      </w:r>
      <w:r>
        <w:t xml:space="preserve">, bem como fornecer subsídio em potenciais </w:t>
      </w:r>
      <w:r w:rsidRPr="002D6BA8">
        <w:t>ações ou processos jurídico</w:t>
      </w:r>
      <w:r>
        <w:t>s</w:t>
      </w:r>
      <w:r w:rsidRPr="002D6BA8">
        <w:t xml:space="preserve"> futuros.</w:t>
      </w:r>
    </w:p>
    <w:p w14:paraId="41AA25EF" w14:textId="11F0329D" w:rsidR="00137ECB" w:rsidRDefault="00137ECB" w:rsidP="00FA1E16">
      <w:pPr>
        <w:pStyle w:val="tier1Itext"/>
      </w:pPr>
      <w:r w:rsidRPr="00377459">
        <w:lastRenderedPageBreak/>
        <w:t xml:space="preserve">Além dos formulários e relatórios </w:t>
      </w:r>
      <w:r>
        <w:t xml:space="preserve">listados na </w:t>
      </w:r>
      <w:r w:rsidRPr="008832B0">
        <w:rPr>
          <w:rFonts w:cstheme="majorHAnsi"/>
          <w:b/>
        </w:rPr>
        <w:fldChar w:fldCharType="begin"/>
      </w:r>
      <w:r w:rsidRPr="008832B0">
        <w:rPr>
          <w:rFonts w:cstheme="majorHAnsi"/>
          <w:b/>
        </w:rPr>
        <w:instrText xml:space="preserve"> REF _Ref413157860 \h  \* MERGEFORMAT </w:instrText>
      </w:r>
      <w:r w:rsidRPr="008832B0">
        <w:rPr>
          <w:rFonts w:cstheme="majorHAnsi"/>
          <w:b/>
        </w:rPr>
      </w:r>
      <w:r w:rsidRPr="008832B0">
        <w:rPr>
          <w:rFonts w:cstheme="majorHAnsi"/>
          <w:b/>
        </w:rPr>
        <w:fldChar w:fldCharType="separate"/>
      </w:r>
      <w:r w:rsidR="00897470" w:rsidRPr="00897470">
        <w:rPr>
          <w:b/>
          <w:szCs w:val="22"/>
        </w:rPr>
        <w:t xml:space="preserve">Tabela </w:t>
      </w:r>
      <w:r w:rsidR="00897470" w:rsidRPr="00897470">
        <w:rPr>
          <w:b/>
          <w:noProof/>
          <w:szCs w:val="22"/>
        </w:rPr>
        <w:t>10</w:t>
      </w:r>
      <w:r w:rsidRPr="008832B0">
        <w:rPr>
          <w:rFonts w:cstheme="majorHAnsi"/>
          <w:b/>
        </w:rPr>
        <w:fldChar w:fldCharType="end"/>
      </w:r>
      <w:r>
        <w:t xml:space="preserve"> e os </w:t>
      </w:r>
      <w:r w:rsidRPr="00377459">
        <w:t>apresentados no</w:t>
      </w:r>
      <w:r w:rsidR="00FA1E16">
        <w:t xml:space="preserve"> </w:t>
      </w:r>
      <w:r w:rsidR="00FA1E16" w:rsidRPr="00FA1E16">
        <w:rPr>
          <w:b/>
        </w:rPr>
        <w:t xml:space="preserve">APÊNDICE </w:t>
      </w:r>
      <w:r w:rsidR="005942C1">
        <w:rPr>
          <w:b/>
        </w:rPr>
        <w:t>D</w:t>
      </w:r>
      <w:r w:rsidR="00FA1E16">
        <w:t>,</w:t>
      </w:r>
      <w:r w:rsidRPr="00377459">
        <w:t xml:space="preserve"> </w:t>
      </w:r>
      <w:r>
        <w:t>outros</w:t>
      </w:r>
      <w:r w:rsidRPr="002D6BA8">
        <w:t xml:space="preserve"> formulários do ICS </w:t>
      </w:r>
      <w:r w:rsidRPr="00377459">
        <w:t xml:space="preserve">poderão ser utilizados </w:t>
      </w:r>
      <w:r>
        <w:t>quando considerados</w:t>
      </w:r>
      <w:r w:rsidRPr="00377459">
        <w:t xml:space="preserve"> necessário</w:t>
      </w:r>
      <w:r>
        <w:t>s</w:t>
      </w:r>
      <w:r>
        <w:rPr>
          <w:rStyle w:val="FootnoteReference"/>
        </w:rPr>
        <w:footnoteReference w:id="13"/>
      </w:r>
      <w:r w:rsidRPr="00377459">
        <w:t>.</w:t>
      </w:r>
    </w:p>
    <w:p w14:paraId="377E2135" w14:textId="77777777" w:rsidR="00137ECB" w:rsidRDefault="00137ECB" w:rsidP="00FA1E16">
      <w:pPr>
        <w:pStyle w:val="tier1Itext"/>
      </w:pPr>
      <w:r w:rsidRPr="008832B0">
        <w:t xml:space="preserve">Previsões meteorológicas (preparadas pelo Líder da Unidade de Situação ou </w:t>
      </w:r>
      <w:r>
        <w:t>pel</w:t>
      </w:r>
      <w:r w:rsidRPr="008832B0">
        <w:t xml:space="preserve">o Líder da Unidade de </w:t>
      </w:r>
      <w:r w:rsidR="00DB1012">
        <w:t>RC&amp;E</w:t>
      </w:r>
      <w:r>
        <w:t>, ou pelo PSC</w:t>
      </w:r>
      <w:r w:rsidR="00DB1012">
        <w:t>,</w:t>
      </w:r>
      <w:r>
        <w:t xml:space="preserve"> quando as unidades não forem acionadas</w:t>
      </w:r>
      <w:r w:rsidRPr="008832B0">
        <w:t>) e os diagramas do incidente (gerenciados pelo Líder da Unidade de Situação) são outros tip</w:t>
      </w:r>
      <w:r>
        <w:t>o</w:t>
      </w:r>
      <w:r w:rsidRPr="008832B0">
        <w:t>s de informações importantes durante os incidentes e considerados como integrantes de seus relatórios.</w:t>
      </w:r>
    </w:p>
    <w:p w14:paraId="7CCCD0DB" w14:textId="77777777" w:rsidR="00137ECB" w:rsidRPr="008832B0" w:rsidRDefault="00137ECB" w:rsidP="00FA1E16">
      <w:pPr>
        <w:pStyle w:val="tier1Itext"/>
      </w:pPr>
      <w:r w:rsidRPr="008832B0">
        <w:t xml:space="preserve">Desta forma, o IAP é composto por vários formulários alinhados de forma integrada para prover às equipes de resposta uma gama de informações que lhes permitam cumprir as suas atribuições táticas. As definições dos formulários que serão parte </w:t>
      </w:r>
      <w:r>
        <w:t>deste Plano</w:t>
      </w:r>
      <w:r w:rsidRPr="008832B0">
        <w:t xml:space="preserve"> e de sua sequência são do IC, que usualmente considera no mínimo uma capa (com parte da folha de identificação), e os ICS </w:t>
      </w:r>
      <w:r w:rsidRPr="00C45C9A">
        <w:t xml:space="preserve">202, 203 (ou 207), </w:t>
      </w:r>
      <w:r w:rsidR="00AB5DC6" w:rsidRPr="00C45C9A">
        <w:t xml:space="preserve">204 (um para cada ação), </w:t>
      </w:r>
      <w:r w:rsidRPr="00C45C9A">
        <w:t>205, 206</w:t>
      </w:r>
      <w:r w:rsidR="00AB5DC6" w:rsidRPr="00C45C9A">
        <w:t xml:space="preserve"> e 208</w:t>
      </w:r>
      <w:r w:rsidRPr="00C45C9A">
        <w:t>.</w:t>
      </w:r>
      <w:r w:rsidR="009B5C7D" w:rsidRPr="00C45C9A">
        <w:t xml:space="preserve"> Ao seu momento, outros formulários como, ICS 209, ICS 215, ICS 220, ICS 232, ICS 233 e ICS 234, bem como mapas e procedimentos adicionais poderão ser anexados ao IAP, conforme definido pelo IC.</w:t>
      </w:r>
    </w:p>
    <w:p w14:paraId="58756342" w14:textId="77777777" w:rsidR="00037F51" w:rsidRPr="009D01BE" w:rsidRDefault="00A968B6" w:rsidP="006F18B8">
      <w:pPr>
        <w:pStyle w:val="Heading3"/>
        <w:ind w:left="1224"/>
      </w:pPr>
      <w:bookmarkStart w:id="111" w:name="_Ref414627640"/>
      <w:bookmarkStart w:id="112" w:name="_Toc523833887"/>
      <w:r w:rsidRPr="009D01BE">
        <w:t>Comunicações</w:t>
      </w:r>
      <w:r w:rsidR="00037F51" w:rsidRPr="009D01BE">
        <w:t xml:space="preserve"> Externa</w:t>
      </w:r>
      <w:r w:rsidRPr="009D01BE">
        <w:t>s</w:t>
      </w:r>
      <w:bookmarkEnd w:id="111"/>
      <w:bookmarkEnd w:id="112"/>
    </w:p>
    <w:p w14:paraId="2A6DC500" w14:textId="77777777" w:rsidR="00953C7D" w:rsidRPr="009802C0" w:rsidRDefault="00953C7D" w:rsidP="00FA1E16">
      <w:pPr>
        <w:pStyle w:val="tier1Itext"/>
      </w:pPr>
      <w:r w:rsidRPr="009802C0">
        <w:t>As comunicações externas se referem àquelas com agências governamentais, outras empresas, comunidades, mídia, entre outros. São feitas por chamadas telefônicas, relatórios, comunicados e boletins enviados por fax ou e-mail.</w:t>
      </w:r>
    </w:p>
    <w:p w14:paraId="502B6BAA" w14:textId="77777777" w:rsidR="00953C7D" w:rsidRPr="00953C7D"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953C7D">
        <w:rPr>
          <w:rFonts w:asciiTheme="majorHAnsi" w:hAnsiTheme="majorHAnsi"/>
        </w:rPr>
        <w:t>Notificações legais para os órgãos governamentais</w:t>
      </w:r>
    </w:p>
    <w:p w14:paraId="2CCE2A5B" w14:textId="77777777" w:rsidR="00953C7D" w:rsidRPr="00953C7D" w:rsidRDefault="00953C7D" w:rsidP="00FA1E16">
      <w:pPr>
        <w:pStyle w:val="tier1Itext"/>
      </w:pPr>
      <w:r w:rsidRPr="00953C7D">
        <w:t>Em caso de um vazamento de óleo ou outras descargas que possam causar poluição em águas sob jurisdição nacional, as autoridades listadas a seguir devem ser imediatamente notificadas</w:t>
      </w:r>
      <w:r w:rsidRPr="00953C7D">
        <w:rPr>
          <w:rStyle w:val="FootnoteReference"/>
          <w:rFonts w:cstheme="majorHAnsi"/>
          <w:szCs w:val="22"/>
        </w:rPr>
        <w:footnoteReference w:id="14"/>
      </w:r>
      <w:r w:rsidRPr="00953C7D">
        <w:t xml:space="preserve"> de acordo com Lei Federal nº. 9.966/00 (regida pelo Anexo II do Decreto Federal nº 4.136/02) e com a Resolução ANP 44/09.</w:t>
      </w:r>
    </w:p>
    <w:p w14:paraId="7C3BB77A" w14:textId="77777777" w:rsidR="00953C7D" w:rsidRPr="00953C7D" w:rsidRDefault="00953C7D" w:rsidP="00EA2A77">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53C7D">
        <w:rPr>
          <w:rFonts w:asciiTheme="majorHAnsi" w:hAnsiTheme="majorHAnsi"/>
        </w:rPr>
        <w:lastRenderedPageBreak/>
        <w:t>Órgão Ambiental competente:</w:t>
      </w:r>
    </w:p>
    <w:p w14:paraId="19FABC08" w14:textId="77777777" w:rsidR="00953C7D" w:rsidRPr="00953C7D"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cstheme="majorHAnsi"/>
        </w:rPr>
      </w:pPr>
      <w:r w:rsidRPr="00953C7D">
        <w:rPr>
          <w:rFonts w:asciiTheme="majorHAnsi" w:hAnsiTheme="majorHAnsi" w:cstheme="majorHAnsi"/>
        </w:rPr>
        <w:t xml:space="preserve">Como as </w:t>
      </w:r>
      <w:r w:rsidRPr="00953C7D">
        <w:rPr>
          <w:rFonts w:asciiTheme="majorHAnsi" w:hAnsiTheme="majorHAnsi"/>
        </w:rPr>
        <w:t>operações</w:t>
      </w:r>
      <w:r w:rsidRPr="00953C7D">
        <w:rPr>
          <w:rFonts w:asciiTheme="majorHAnsi" w:hAnsiTheme="majorHAnsi" w:cstheme="majorHAnsi"/>
        </w:rPr>
        <w:t xml:space="preserve"> no Bloco FZA-M-59 estão localizadas em águas jurisdicionais federais, deverá ser notificado o IBAMA - Instituto Brasileiro do Meio Ambiente e dos Recursos Naturais Renováveis. O IBAMA possui duas Coordenações Gerais diferentes que devem ser notificadas:</w:t>
      </w:r>
    </w:p>
    <w:p w14:paraId="430C4A5C" w14:textId="36985566" w:rsidR="00953C7D" w:rsidRPr="00953C7D" w:rsidRDefault="005942C1" w:rsidP="00EA2A77">
      <w:pPr>
        <w:pStyle w:val="itemx"/>
        <w:numPr>
          <w:ilvl w:val="0"/>
          <w:numId w:val="26"/>
        </w:numPr>
        <w:tabs>
          <w:tab w:val="left" w:pos="1122"/>
        </w:tabs>
        <w:spacing w:before="0" w:after="0" w:line="360" w:lineRule="auto"/>
        <w:ind w:left="1769" w:hanging="357"/>
        <w:rPr>
          <w:rFonts w:asciiTheme="majorHAnsi" w:hAnsiTheme="majorHAnsi" w:cstheme="majorHAnsi"/>
          <w:sz w:val="22"/>
          <w:szCs w:val="22"/>
          <w:lang w:val="pt-BR"/>
        </w:rPr>
      </w:pPr>
      <w:r>
        <w:rPr>
          <w:rFonts w:asciiTheme="majorHAnsi" w:hAnsiTheme="majorHAnsi" w:cstheme="majorHAnsi"/>
          <w:sz w:val="22"/>
          <w:szCs w:val="22"/>
          <w:lang w:val="pt-BR"/>
        </w:rPr>
        <w:t>Sub-</w:t>
      </w:r>
      <w:r w:rsidR="00953C7D" w:rsidRPr="00953C7D">
        <w:rPr>
          <w:rFonts w:asciiTheme="majorHAnsi" w:hAnsiTheme="majorHAnsi" w:cstheme="majorHAnsi"/>
          <w:sz w:val="22"/>
          <w:szCs w:val="22"/>
          <w:lang w:val="pt-BR"/>
        </w:rPr>
        <w:t xml:space="preserve">Coordenação </w:t>
      </w:r>
      <w:r w:rsidR="0027197D">
        <w:rPr>
          <w:rFonts w:asciiTheme="majorHAnsi" w:hAnsiTheme="majorHAnsi" w:cstheme="majorHAnsi"/>
          <w:sz w:val="22"/>
          <w:szCs w:val="22"/>
          <w:lang w:val="pt-BR"/>
        </w:rPr>
        <w:t xml:space="preserve">de </w:t>
      </w:r>
      <w:r>
        <w:rPr>
          <w:rFonts w:asciiTheme="majorHAnsi" w:hAnsiTheme="majorHAnsi" w:cstheme="majorHAnsi"/>
          <w:sz w:val="22"/>
          <w:szCs w:val="22"/>
          <w:lang w:val="pt-BR"/>
        </w:rPr>
        <w:t>Exploração</w:t>
      </w:r>
      <w:r w:rsidR="00953C7D" w:rsidRPr="00953C7D">
        <w:rPr>
          <w:rFonts w:asciiTheme="majorHAnsi" w:hAnsiTheme="majorHAnsi" w:cstheme="majorHAnsi"/>
          <w:sz w:val="22"/>
          <w:szCs w:val="22"/>
          <w:lang w:val="pt-BR"/>
        </w:rPr>
        <w:t xml:space="preserve"> (C</w:t>
      </w:r>
      <w:r>
        <w:rPr>
          <w:rFonts w:asciiTheme="majorHAnsi" w:hAnsiTheme="majorHAnsi" w:cstheme="majorHAnsi"/>
          <w:sz w:val="22"/>
          <w:szCs w:val="22"/>
          <w:lang w:val="pt-BR"/>
        </w:rPr>
        <w:t>OEXP</w:t>
      </w:r>
      <w:r w:rsidR="00953C7D" w:rsidRPr="00953C7D">
        <w:rPr>
          <w:rFonts w:asciiTheme="majorHAnsi" w:hAnsiTheme="majorHAnsi" w:cstheme="majorHAnsi"/>
          <w:sz w:val="22"/>
          <w:szCs w:val="22"/>
          <w:lang w:val="pt-BR"/>
        </w:rPr>
        <w:t>) - responsável pelo processo de licenciamento e pelo acompanhamento do atendimento das condicionantes das licenças; e</w:t>
      </w:r>
    </w:p>
    <w:p w14:paraId="498D81E4" w14:textId="77777777" w:rsidR="00953C7D" w:rsidRPr="00953C7D" w:rsidRDefault="00953C7D" w:rsidP="00EA2A77">
      <w:pPr>
        <w:pStyle w:val="itemx"/>
        <w:numPr>
          <w:ilvl w:val="0"/>
          <w:numId w:val="26"/>
        </w:numPr>
        <w:tabs>
          <w:tab w:val="left" w:pos="1122"/>
        </w:tabs>
        <w:spacing w:before="0" w:after="0" w:line="360" w:lineRule="auto"/>
        <w:ind w:left="1769" w:hanging="357"/>
        <w:rPr>
          <w:rFonts w:asciiTheme="majorHAnsi" w:hAnsiTheme="majorHAnsi" w:cstheme="majorHAnsi"/>
          <w:sz w:val="22"/>
          <w:szCs w:val="22"/>
          <w:lang w:val="pt-BR"/>
        </w:rPr>
      </w:pPr>
      <w:r w:rsidRPr="00953C7D">
        <w:rPr>
          <w:rFonts w:asciiTheme="majorHAnsi" w:hAnsiTheme="majorHAnsi" w:cstheme="majorHAnsi"/>
          <w:sz w:val="22"/>
          <w:szCs w:val="22"/>
          <w:lang w:val="pt-BR"/>
        </w:rPr>
        <w:t xml:space="preserve">Coordenação Geral de Emergências Ambientais (CGEMA) - encarregada de receber todas as comunicações de incidentes ambientais e proporcionar o acompanhamento das ações </w:t>
      </w:r>
      <w:r w:rsidR="00FA1E16">
        <w:rPr>
          <w:rFonts w:asciiTheme="majorHAnsi" w:hAnsiTheme="majorHAnsi" w:cstheme="majorHAnsi"/>
          <w:sz w:val="22"/>
          <w:szCs w:val="22"/>
          <w:lang w:val="pt-BR"/>
        </w:rPr>
        <w:t>de resposta, quando necessário.</w:t>
      </w:r>
    </w:p>
    <w:p w14:paraId="54BCD2D5" w14:textId="77777777" w:rsidR="00953C7D" w:rsidRPr="00953C7D"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434" w:hanging="357"/>
        <w:rPr>
          <w:rFonts w:asciiTheme="majorHAnsi" w:hAnsiTheme="majorHAnsi" w:cstheme="majorHAnsi"/>
        </w:rPr>
      </w:pPr>
      <w:r w:rsidRPr="00953C7D">
        <w:rPr>
          <w:rFonts w:asciiTheme="majorHAnsi" w:hAnsiTheme="majorHAnsi" w:cstheme="majorHAnsi"/>
        </w:rPr>
        <w:t xml:space="preserve">Conforme apresentado no EIA, o bloco FZA-M-59 está localizado em águas federais </w:t>
      </w:r>
      <w:r w:rsidRPr="00953C7D">
        <w:rPr>
          <w:rFonts w:asciiTheme="majorHAnsi" w:hAnsiTheme="majorHAnsi"/>
        </w:rPr>
        <w:t>adjacentes</w:t>
      </w:r>
      <w:r w:rsidRPr="00953C7D">
        <w:rPr>
          <w:rFonts w:asciiTheme="majorHAnsi" w:hAnsiTheme="majorHAnsi" w:cstheme="majorHAnsi"/>
        </w:rPr>
        <w:t xml:space="preserve"> à área costeira do Estado do Amapá. Apesar de nenhum cenário modelado (conforme Resolução CONAMA 398/08) indicar a possibilidade de toque na costa, ainda assim considera-se que a SEMA (Secretaria Estadual do Meio Ambiente do Estado do Amapá) seja notificada em qualquer cenário de derramamento.</w:t>
      </w:r>
    </w:p>
    <w:p w14:paraId="6AF10866"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Autoridade Marítima Brasileira – dentro da organização da Marinha do Brasil, o agente de fiscalização para a zona de exploração ao norte da Bacia da Foz do Amazonas é a Capitania dos Portos de Macapá;</w:t>
      </w:r>
    </w:p>
    <w:p w14:paraId="3BDC14C9"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53C7D">
        <w:rPr>
          <w:rFonts w:asciiTheme="majorHAnsi" w:hAnsiTheme="majorHAnsi"/>
        </w:rPr>
        <w:t>Órgão regulador do setor de petróleo - ANP (Agência Nacional do Petróleo, Gás Natural e Biocombustíveis), como definido pelo inciso VII do artigo 8 da Lei Federal nº 9.478/97.</w:t>
      </w:r>
    </w:p>
    <w:p w14:paraId="051633DF" w14:textId="665619F5" w:rsidR="00953C7D" w:rsidRDefault="00953C7D" w:rsidP="003A1C5D">
      <w:pPr>
        <w:pStyle w:val="tier1Itext"/>
      </w:pPr>
      <w:r>
        <w:t>Conforme diretriz da Instrução Normativa nº 15/14, no caso do IBAMA (C</w:t>
      </w:r>
      <w:r w:rsidR="005942C1">
        <w:t>OEXP</w:t>
      </w:r>
      <w:r>
        <w:t xml:space="preserve"> e CGEMA), tal notificação deverá ser feita através do SIEMA</w:t>
      </w:r>
      <w:r w:rsidRPr="00BD5E67">
        <w:t>, salvo em situações em que o sistema encontrar-se inoperante.</w:t>
      </w:r>
    </w:p>
    <w:p w14:paraId="3FD0A51D" w14:textId="1C8DD76F" w:rsidR="00953C7D" w:rsidRPr="00BD5E67" w:rsidRDefault="00953C7D" w:rsidP="003A1C5D">
      <w:pPr>
        <w:pStyle w:val="tier1Itext"/>
      </w:pPr>
      <w:r>
        <w:t>Adicionalmente, c</w:t>
      </w:r>
      <w:r w:rsidRPr="00BD5E67">
        <w:t>onforme diretrizes fornecidas no site da ANP (</w:t>
      </w:r>
      <w:hyperlink r:id="rId32" w:history="1">
        <w:r w:rsidRPr="00686FB2">
          <w:rPr>
            <w:rStyle w:val="Hyperlink"/>
          </w:rPr>
          <w:t>www.anp.gov.br</w:t>
        </w:r>
      </w:hyperlink>
      <w:r w:rsidRPr="00BD5E67">
        <w:t xml:space="preserve">), a comunicação inicial </w:t>
      </w:r>
      <w:r w:rsidR="00421257">
        <w:t>a esta agência</w:t>
      </w:r>
      <w:r w:rsidRPr="00BD5E67">
        <w:t xml:space="preserve"> deverá ser feita através do SISO (Sistema Integrado de Segurança Operacional), salvo em situações em que o sistema encontrar-se inoperante.</w:t>
      </w:r>
      <w:r w:rsidR="00FE3D31">
        <w:t xml:space="preserve"> A ANP, através do seu Manual de Comunicação de Incidentes, define prazos máximos e informações mínimas que devem ser comunicadas no SISO, para diferentes classificações de incidentes. Também nesta referência, determina que as informações sobre a evolução da situação dos incidentes deverão ser feitas a cada 12 horas, a exceção de fato considerado significativo, que eve ser notificado sem precisar atender à esta frequência de comunicação.</w:t>
      </w:r>
    </w:p>
    <w:p w14:paraId="425B1EBB" w14:textId="6DC485C7" w:rsidR="00953C7D" w:rsidRPr="00C7061F" w:rsidRDefault="00953C7D" w:rsidP="003A1C5D">
      <w:pPr>
        <w:pStyle w:val="tier1Itext"/>
      </w:pPr>
      <w:r>
        <w:lastRenderedPageBreak/>
        <w:t>Para os demais órgãos (ou quando os sistemas SIEMA/SISO estiverem inoperantes),</w:t>
      </w:r>
      <w:r w:rsidRPr="00A52ADC">
        <w:t xml:space="preserve"> </w:t>
      </w:r>
      <w:r>
        <w:t>a</w:t>
      </w:r>
      <w:r w:rsidRPr="006A6D81">
        <w:t xml:space="preserve"> notificação será feita por fax e/ou e-mail (quando indicado), utilizando o Formulário de Comunicação Inicial de Incidentes, também apresentado no </w:t>
      </w:r>
      <w:r w:rsidR="003A1C5D" w:rsidRPr="003A1C5D">
        <w:rPr>
          <w:b/>
        </w:rPr>
        <w:t xml:space="preserve">APÊNDICE </w:t>
      </w:r>
      <w:r w:rsidR="005942C1">
        <w:rPr>
          <w:b/>
        </w:rPr>
        <w:t>D</w:t>
      </w:r>
      <w:r w:rsidR="003A1C5D">
        <w:t xml:space="preserve"> </w:t>
      </w:r>
      <w:r w:rsidRPr="006A6D81">
        <w:t xml:space="preserve">e elaborado de acordo </w:t>
      </w:r>
      <w:r>
        <w:t>com</w:t>
      </w:r>
      <w:r w:rsidRPr="006A6D81">
        <w:t xml:space="preserve"> os requisitos do Anexo II do Decreto Federal 4.136/02.</w:t>
      </w:r>
    </w:p>
    <w:p w14:paraId="3CB6B391" w14:textId="77777777" w:rsidR="00953C7D" w:rsidRPr="009802C0" w:rsidRDefault="00953C7D" w:rsidP="003A1C5D">
      <w:pPr>
        <w:pStyle w:val="tier1Itext"/>
      </w:pPr>
      <w:r w:rsidRPr="009802C0">
        <w:t>De acordo com a Resolução CONAMA nº 398/08, no prazo de 30 dias após o término das ações de resposta a incidentes de poluição por óleo, a empresa deverá apresentar à agência ambiental competente, um relatório final de avaliação contendo uma análise crítica do desempenho do PEI e outras informações sobre os impactos potenciais ou observados a partir do incidente.</w:t>
      </w:r>
    </w:p>
    <w:p w14:paraId="48138E07" w14:textId="77777777" w:rsidR="00953C7D" w:rsidRPr="009802C0" w:rsidRDefault="00953C7D" w:rsidP="003A1C5D">
      <w:pPr>
        <w:pStyle w:val="tier1Itext"/>
      </w:pPr>
      <w:r w:rsidRPr="009802C0">
        <w:t>Para eventos incidentais que causem derramamentos iguais ou superiores a Descargas Médias (Tier 2 e Tier 3), a BP Energy</w:t>
      </w:r>
      <w:r>
        <w:t xml:space="preserve"> </w:t>
      </w:r>
      <w:r w:rsidRPr="009802C0">
        <w:t>também emitirá um relatório diário para as autoridades inicialmente identificadas como destinatárias da comunicação inicial, com as informações correntes do estágio do incidente e das ações de resposta. Este relatório diário da situação deve apresentar um resumo das principais informações atualizadas disponíveis no período de elaboração do documento, como, por exemplo:</w:t>
      </w:r>
    </w:p>
    <w:p w14:paraId="313C7FE8"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53C7D">
        <w:rPr>
          <w:rFonts w:asciiTheme="majorHAnsi" w:hAnsiTheme="majorHAnsi"/>
        </w:rPr>
        <w:t>Descrição sucinta do incidente;</w:t>
      </w:r>
    </w:p>
    <w:p w14:paraId="7903A731"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Estágio de controle da fonte;</w:t>
      </w:r>
    </w:p>
    <w:p w14:paraId="1C3200AF"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Volumes derramados: total e que atingiu o mar, indicando a metodologia utilizada para definir/estimar os valores apresentados;</w:t>
      </w:r>
    </w:p>
    <w:p w14:paraId="4550F30B"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Localização, dimensão e características da mancha do óleo;</w:t>
      </w:r>
    </w:p>
    <w:p w14:paraId="4D88D30C"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Previsão da deriva da mancha do óleo vazado para os 3 dias subsequentes, com base nos resultados de modelo de deriva confiável e observação direta no campo;</w:t>
      </w:r>
    </w:p>
    <w:p w14:paraId="15155C56"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Breve descrição das estratégias de resposta adotadas e resumo das ações em curso e planejadas para o(s) próximo(s) período(s) operacional(is);</w:t>
      </w:r>
    </w:p>
    <w:p w14:paraId="6F841513"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Organização de resposta em curso;</w:t>
      </w:r>
    </w:p>
    <w:p w14:paraId="39295ED5"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53C7D">
        <w:rPr>
          <w:rFonts w:asciiTheme="majorHAnsi" w:hAnsiTheme="majorHAnsi"/>
        </w:rPr>
        <w:t xml:space="preserve">Lista de equipamentos de resposta ao </w:t>
      </w:r>
      <w:r w:rsidR="00642786">
        <w:rPr>
          <w:rFonts w:asciiTheme="majorHAnsi" w:hAnsiTheme="majorHAnsi"/>
        </w:rPr>
        <w:t>derramamento</w:t>
      </w:r>
      <w:r w:rsidRPr="00953C7D">
        <w:rPr>
          <w:rFonts w:asciiTheme="majorHAnsi" w:hAnsiTheme="majorHAnsi"/>
        </w:rPr>
        <w:t xml:space="preserve"> de óleo e embarcações envolvidas nas ações de resposta; e</w:t>
      </w:r>
    </w:p>
    <w:p w14:paraId="0327DEA2" w14:textId="77777777" w:rsidR="00953C7D" w:rsidRPr="00953C7D" w:rsidRDefault="00953C7D"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53C7D">
        <w:rPr>
          <w:rFonts w:asciiTheme="majorHAnsi" w:hAnsiTheme="majorHAnsi"/>
        </w:rPr>
        <w:t>Registros da informação apresentada, potencialmente incluindo, ainda que não exclusivamente, fotos, gravação de vídeo, imagens de satélite e os resultados de modelagem.</w:t>
      </w:r>
    </w:p>
    <w:p w14:paraId="2B94AABE" w14:textId="40107E04" w:rsidR="00953C7D" w:rsidRPr="002D2F32" w:rsidRDefault="00953C7D" w:rsidP="000A3626">
      <w:pPr>
        <w:pStyle w:val="tier1Itext"/>
      </w:pPr>
      <w:r w:rsidRPr="00A55676">
        <w:lastRenderedPageBreak/>
        <w:t xml:space="preserve">Esse relatório será emitido diariamente, começando em até </w:t>
      </w:r>
      <w:r>
        <w:t>72</w:t>
      </w:r>
      <w:r w:rsidRPr="00A55676">
        <w:t xml:space="preserve"> horas (</w:t>
      </w:r>
      <w:r>
        <w:t>3</w:t>
      </w:r>
      <w:r w:rsidRPr="00A55676">
        <w:t xml:space="preserve"> dias) após o início do evento (período necessário para a mobilização e estabelecimento da estrutura de resposta de emergência com o dimensionamento adequado da equipe da Unidade de Documentação para gerir esta elaboração e divulgação do documento) até que </w:t>
      </w:r>
      <w:r>
        <w:t>a resposta</w:t>
      </w:r>
      <w:r w:rsidRPr="00A55676">
        <w:t xml:space="preserve"> comece a ser finalizad</w:t>
      </w:r>
      <w:r>
        <w:t>a</w:t>
      </w:r>
      <w:r w:rsidRPr="00A55676">
        <w:t>, quando esta frequência de emissão poderá ser revista de acordo com a aceitação pelas entidades que o receberão. Neste tipo de incidente, este relatório deve também abordar a comunicação formal às autoridades sobre a intenção de considerar o fim das operações de resposta, conforme descrito n</w:t>
      </w:r>
      <w:r>
        <w:t>o</w:t>
      </w:r>
      <w:r w:rsidRPr="00A55676">
        <w:t xml:space="preserve"> </w:t>
      </w:r>
      <w:r w:rsidR="00FE3D31">
        <w:t>Capítulo 10 deste Plano</w:t>
      </w:r>
      <w:r w:rsidRPr="002D2F32">
        <w:t>.</w:t>
      </w:r>
    </w:p>
    <w:p w14:paraId="01671638" w14:textId="77777777" w:rsidR="00953C7D" w:rsidRPr="00B3634F" w:rsidRDefault="00953C7D" w:rsidP="000A3626">
      <w:pPr>
        <w:pStyle w:val="tier1Itext"/>
      </w:pPr>
      <w:r w:rsidRPr="00B3634F">
        <w:t>Além disso, a Resolução ANP N° 44/09 define que a empresa é obrigada a apresentar um chamado “Relatório Detalhado do Incidente” sempre que ocorrer um dano ambiental, em até 30 dias após a comunicação do incidente e de acordo com o formato definido no Anexo II da referida Resolução.</w:t>
      </w:r>
    </w:p>
    <w:p w14:paraId="6ACC08A1" w14:textId="77777777" w:rsidR="00953C7D" w:rsidRPr="00B3634F" w:rsidRDefault="00953C7D" w:rsidP="000A3626">
      <w:pPr>
        <w:pStyle w:val="tier1Itext"/>
      </w:pPr>
      <w:r w:rsidRPr="00B3634F">
        <w:t>No caso de um evento de longa duração ou se for necessário mais tempo que o definido para a conclusão do relatório, uma prorrogação poderá ser concedida pela ANP com base em solicitação formal de cunho técnico</w:t>
      </w:r>
      <w:r>
        <w:t>,</w:t>
      </w:r>
      <w:r w:rsidRPr="00B3634F">
        <w:t xml:space="preserve"> feita pela BP Energy, apresentada dentro do prazo original, como indicado no quarto parágrafo do terceiro artigo da norma.</w:t>
      </w:r>
    </w:p>
    <w:p w14:paraId="307401BA" w14:textId="3210F5AE" w:rsidR="00953C7D" w:rsidRPr="00B3634F" w:rsidRDefault="00953C7D" w:rsidP="000A3626">
      <w:pPr>
        <w:pStyle w:val="tier1Itext"/>
      </w:pPr>
      <w:r w:rsidRPr="00B3634F">
        <w:t xml:space="preserve">Se a estratégia de resposta ao incidente considerar a aplicação de dispersante químico, devem ser postos em prática os protocolos definidos na Resolução CONAMA nº </w:t>
      </w:r>
      <w:r w:rsidR="00FE3D31">
        <w:t>472</w:t>
      </w:r>
      <w:r w:rsidRPr="00B3634F">
        <w:t>/</w:t>
      </w:r>
      <w:r w:rsidR="00FE3D31">
        <w:t>15</w:t>
      </w:r>
      <w:r w:rsidRPr="00B3634F">
        <w:t xml:space="preserve">. Previamente a qualquer aplicação de dispersante químico, a BP Energy deve emitir uma comunicação formal às agências ambientais competentes que indique a intenção de utilizar esta técnica, de acordo com o definido no </w:t>
      </w:r>
      <w:r w:rsidR="00FE3D31">
        <w:t>Artigo 4º e no formato do Anexo I</w:t>
      </w:r>
      <w:r w:rsidRPr="00B3634F">
        <w:t xml:space="preserve"> da Resolução. Esta comunicação prévia visa permitir que estas agências tomem as providências necessárias para o acompanhamento e/ou monitoramento do andamento da aplicação, se desejarem fazê-lo.</w:t>
      </w:r>
    </w:p>
    <w:p w14:paraId="6D72F789" w14:textId="058BBE3A" w:rsidR="00953C7D" w:rsidRPr="00B3634F" w:rsidRDefault="00953C7D" w:rsidP="000A3626">
      <w:pPr>
        <w:pStyle w:val="tier1Itext"/>
      </w:pPr>
      <w:r w:rsidRPr="00B3634F">
        <w:t>Após o fim da aplicação da técnica, a BP Energy emitirá, em um período de até 15 dias, um relatório da operaç</w:t>
      </w:r>
      <w:r w:rsidR="00FE3D31">
        <w:t>ão de aplicação</w:t>
      </w:r>
      <w:r w:rsidRPr="00B3634F">
        <w:t xml:space="preserve"> com informações sobre o incidente e o vazamento antes da de</w:t>
      </w:r>
      <w:r w:rsidR="00FE3D31">
        <w:t>sta</w:t>
      </w:r>
      <w:r w:rsidRPr="00B3634F">
        <w:t xml:space="preserve"> aplicação de dispersantes; as condições ambientais durante as campanhas ou períodos de aplicação do produto; e a aplicação do produto, considerando as suas identificação e autorização, os recursos utilizados, o responsável e outras observações gerais, entre outras informações listadas no </w:t>
      </w:r>
      <w:r w:rsidR="00FE3D31">
        <w:t>Artigo 15º e no Anexo IV</w:t>
      </w:r>
      <w:r w:rsidRPr="00B3634F">
        <w:t xml:space="preserve"> da Resolução.</w:t>
      </w:r>
    </w:p>
    <w:p w14:paraId="6E8F4119" w14:textId="6BBB0F19" w:rsidR="00953C7D" w:rsidRPr="00B3634F" w:rsidRDefault="00953C7D" w:rsidP="000A3626">
      <w:pPr>
        <w:pStyle w:val="tier1Itext"/>
      </w:pPr>
      <w:r w:rsidRPr="00B3634F">
        <w:t>Em seguida, no prazo de 90 dias</w:t>
      </w:r>
      <w:r>
        <w:t>,</w:t>
      </w:r>
      <w:r w:rsidRPr="00B3634F">
        <w:t xml:space="preserve"> considerados a partir do final das operações de resposta de aplicação de dispersantes químicos, um relatório final com as avaliações de impacto ambiental, social e econômico do derramamento e da aplicação da técnica deve ser entregue aos órgãos ambientais, de acordo com as diretrizes do </w:t>
      </w:r>
      <w:r w:rsidR="00FE3D31">
        <w:t>Artigo 16</w:t>
      </w:r>
      <w:r w:rsidR="00FE3D31">
        <w:rPr>
          <w:rFonts w:ascii="Times New Roman" w:hAnsi="Times New Roman" w:cs="Times New Roman"/>
        </w:rPr>
        <w:t>º</w:t>
      </w:r>
      <w:r w:rsidRPr="00B3634F">
        <w:t xml:space="preserve"> da Resolução.</w:t>
      </w:r>
    </w:p>
    <w:p w14:paraId="08C13F84" w14:textId="77777777" w:rsidR="00953C7D" w:rsidRPr="00B3634F" w:rsidRDefault="00953C7D" w:rsidP="000A3626">
      <w:pPr>
        <w:pStyle w:val="tier1Itext"/>
      </w:pPr>
      <w:r w:rsidRPr="00B3634F">
        <w:lastRenderedPageBreak/>
        <w:t>No caso de ocorrências de manchas órfãs, todas as comunicações iniciais para agências governamentais serão feitas</w:t>
      </w:r>
      <w:r>
        <w:t>.</w:t>
      </w:r>
      <w:r w:rsidR="00D913B3">
        <w:t xml:space="preserve"> </w:t>
      </w:r>
      <w:r>
        <w:t>N</w:t>
      </w:r>
      <w:r w:rsidRPr="00B3634F">
        <w:t>o entanto, acompanhamentos e relatórios finais não são considerados para ser entregues, devido à falta de informações básicas para elaborá-los, tal como a caracterização de óleo, causas do derramamento, o volume total derramado e o período que o óleo foi exposto a processos de intemperismo (o que influenciará a análise de seu potencial impacto).</w:t>
      </w:r>
    </w:p>
    <w:p w14:paraId="78AE5FED" w14:textId="77777777" w:rsidR="00953C7D" w:rsidRPr="00B3634F" w:rsidRDefault="00953C7D" w:rsidP="000A3626">
      <w:pPr>
        <w:pStyle w:val="tier1Itext"/>
      </w:pPr>
      <w:r w:rsidRPr="00B3634F">
        <w:t xml:space="preserve">A BP Energy manterá um arquivo dos relatórios gerados durante um período mínimo de </w:t>
      </w:r>
      <w:r>
        <w:t>0</w:t>
      </w:r>
      <w:r w:rsidRPr="00B3634F">
        <w:t xml:space="preserve">3 </w:t>
      </w:r>
      <w:r>
        <w:t xml:space="preserve">(três) </w:t>
      </w:r>
      <w:r w:rsidRPr="00B3634F">
        <w:t>anos, alinhada aos requisitos regulatórios atuais.</w:t>
      </w:r>
    </w:p>
    <w:p w14:paraId="54A2F10C" w14:textId="77777777" w:rsidR="00953C7D" w:rsidRDefault="00953C7D" w:rsidP="000A3626">
      <w:pPr>
        <w:pStyle w:val="tier1Itext"/>
      </w:pPr>
      <w:r w:rsidRPr="00B3634F">
        <w:t>Todas as notificações para autoridades deverão ser feitas de acordo com os prazos regulamentares de comunicação, considerado o uso das formas adequadas, tal como mostrado na</w:t>
      </w:r>
      <w:r w:rsidRPr="00B3634F">
        <w:rPr>
          <w:b/>
          <w:bCs/>
        </w:rPr>
        <w:t xml:space="preserve"> </w:t>
      </w:r>
      <w:r w:rsidRPr="00975D44">
        <w:rPr>
          <w:b/>
          <w:bCs/>
        </w:rPr>
        <w:fldChar w:fldCharType="begin"/>
      </w:r>
      <w:r w:rsidRPr="00B3634F">
        <w:rPr>
          <w:b/>
          <w:bCs/>
        </w:rPr>
        <w:instrText xml:space="preserve"> REF _Ref413163374 \h </w:instrText>
      </w:r>
      <w:r>
        <w:rPr>
          <w:b/>
          <w:bCs/>
        </w:rPr>
        <w:instrText xml:space="preserve"> \* MERGEFORMAT </w:instrText>
      </w:r>
      <w:r w:rsidRPr="00975D44">
        <w:rPr>
          <w:b/>
          <w:bCs/>
        </w:rPr>
      </w:r>
      <w:r w:rsidRPr="00975D44">
        <w:rPr>
          <w:b/>
          <w:bCs/>
        </w:rPr>
        <w:fldChar w:fldCharType="separate"/>
      </w:r>
      <w:r w:rsidR="00897470" w:rsidRPr="00897470">
        <w:rPr>
          <w:b/>
        </w:rPr>
        <w:t xml:space="preserve">Tabela </w:t>
      </w:r>
      <w:r w:rsidR="00897470" w:rsidRPr="00897470">
        <w:rPr>
          <w:b/>
          <w:noProof/>
        </w:rPr>
        <w:t>11</w:t>
      </w:r>
      <w:r w:rsidRPr="00975D44">
        <w:rPr>
          <w:b/>
          <w:bCs/>
        </w:rPr>
        <w:fldChar w:fldCharType="end"/>
      </w:r>
      <w:r w:rsidRPr="00B3634F">
        <w:t>.</w:t>
      </w:r>
    </w:p>
    <w:p w14:paraId="0A062D35" w14:textId="77777777" w:rsidR="00953C7D" w:rsidRDefault="00953C7D" w:rsidP="00953C7D">
      <w:pPr>
        <w:pStyle w:val="tier1Itext"/>
        <w:sectPr w:rsidR="00953C7D" w:rsidSect="00656D39">
          <w:headerReference w:type="default" r:id="rId33"/>
          <w:footerReference w:type="default" r:id="rId34"/>
          <w:headerReference w:type="first" r:id="rId35"/>
          <w:footerReference w:type="first" r:id="rId36"/>
          <w:pgSz w:w="11907" w:h="16839" w:code="9"/>
          <w:pgMar w:top="1418" w:right="1418" w:bottom="1418" w:left="1418" w:header="170" w:footer="0" w:gutter="0"/>
          <w:cols w:space="720"/>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082"/>
        <w:gridCol w:w="5293"/>
        <w:gridCol w:w="5016"/>
        <w:gridCol w:w="2582"/>
      </w:tblGrid>
      <w:tr w:rsidR="00953C7D" w:rsidRPr="000A3626" w14:paraId="048B4FAB" w14:textId="77777777" w:rsidTr="000A3626">
        <w:trPr>
          <w:trHeight w:val="340"/>
          <w:tblHeader/>
        </w:trPr>
        <w:tc>
          <w:tcPr>
            <w:tcW w:w="5000" w:type="pct"/>
            <w:gridSpan w:val="4"/>
            <w:shd w:val="clear" w:color="auto" w:fill="FFFFFF" w:themeFill="background1"/>
            <w:vAlign w:val="bottom"/>
          </w:tcPr>
          <w:p w14:paraId="2A01078C" w14:textId="77777777" w:rsidR="00953C7D" w:rsidRPr="000A3626" w:rsidRDefault="00953C7D" w:rsidP="000A3626">
            <w:pPr>
              <w:keepNext/>
              <w:keepLines/>
              <w:spacing w:before="0" w:line="240" w:lineRule="auto"/>
              <w:jc w:val="left"/>
              <w:rPr>
                <w:rFonts w:asciiTheme="majorHAnsi" w:hAnsiTheme="majorHAnsi"/>
                <w:b/>
                <w:sz w:val="20"/>
                <w:szCs w:val="20"/>
              </w:rPr>
            </w:pPr>
            <w:bookmarkStart w:id="113" w:name="_Ref413163374"/>
            <w:bookmarkStart w:id="114" w:name="_Toc413848078"/>
            <w:bookmarkStart w:id="115" w:name="_Toc523834043"/>
            <w:r w:rsidRPr="000A3626">
              <w:rPr>
                <w:rFonts w:asciiTheme="majorHAnsi" w:hAnsiTheme="majorHAnsi"/>
                <w:b/>
                <w:sz w:val="20"/>
                <w:szCs w:val="20"/>
              </w:rPr>
              <w:lastRenderedPageBreak/>
              <w:t xml:space="preserve">Tabela </w:t>
            </w:r>
            <w:r w:rsidRPr="000A3626">
              <w:rPr>
                <w:rFonts w:asciiTheme="majorHAnsi" w:hAnsiTheme="majorHAnsi"/>
                <w:b/>
                <w:sz w:val="20"/>
                <w:szCs w:val="20"/>
              </w:rPr>
              <w:fldChar w:fldCharType="begin"/>
            </w:r>
            <w:r w:rsidRPr="000A3626">
              <w:rPr>
                <w:rFonts w:asciiTheme="majorHAnsi" w:hAnsiTheme="majorHAnsi"/>
                <w:b/>
                <w:sz w:val="20"/>
                <w:szCs w:val="20"/>
              </w:rPr>
              <w:instrText xml:space="preserve"> SEQ Tabela \* ARABIC </w:instrText>
            </w:r>
            <w:r w:rsidRPr="000A3626">
              <w:rPr>
                <w:rFonts w:asciiTheme="majorHAnsi" w:hAnsiTheme="majorHAnsi"/>
                <w:b/>
                <w:sz w:val="20"/>
                <w:szCs w:val="20"/>
              </w:rPr>
              <w:fldChar w:fldCharType="separate"/>
            </w:r>
            <w:r w:rsidR="00897470">
              <w:rPr>
                <w:rFonts w:asciiTheme="majorHAnsi" w:hAnsiTheme="majorHAnsi"/>
                <w:b/>
                <w:noProof/>
                <w:sz w:val="20"/>
                <w:szCs w:val="20"/>
              </w:rPr>
              <w:t>11</w:t>
            </w:r>
            <w:r w:rsidRPr="000A3626">
              <w:rPr>
                <w:rFonts w:asciiTheme="majorHAnsi" w:hAnsiTheme="majorHAnsi"/>
                <w:b/>
                <w:sz w:val="20"/>
                <w:szCs w:val="20"/>
              </w:rPr>
              <w:fldChar w:fldCharType="end"/>
            </w:r>
            <w:bookmarkEnd w:id="113"/>
            <w:r w:rsidRPr="000A3626">
              <w:rPr>
                <w:rFonts w:asciiTheme="majorHAnsi" w:hAnsiTheme="majorHAnsi"/>
                <w:b/>
                <w:sz w:val="20"/>
                <w:szCs w:val="20"/>
              </w:rPr>
              <w:t>: Notificações externas para agências ambientais.</w:t>
            </w:r>
            <w:bookmarkEnd w:id="114"/>
            <w:bookmarkEnd w:id="115"/>
          </w:p>
        </w:tc>
      </w:tr>
      <w:tr w:rsidR="00953C7D" w:rsidRPr="000A3626" w14:paraId="770D4BBD" w14:textId="77777777" w:rsidTr="000A3626">
        <w:trPr>
          <w:trHeight w:val="283"/>
          <w:tblHeader/>
        </w:trPr>
        <w:tc>
          <w:tcPr>
            <w:tcW w:w="2281" w:type="pct"/>
            <w:gridSpan w:val="2"/>
            <w:shd w:val="clear" w:color="auto" w:fill="1F497D" w:themeFill="text2"/>
            <w:vAlign w:val="center"/>
          </w:tcPr>
          <w:p w14:paraId="6F7C035F"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Comunicação</w:t>
            </w:r>
          </w:p>
        </w:tc>
        <w:tc>
          <w:tcPr>
            <w:tcW w:w="1795" w:type="pct"/>
            <w:vMerge w:val="restart"/>
            <w:shd w:val="clear" w:color="auto" w:fill="1F497D" w:themeFill="text2"/>
            <w:vAlign w:val="center"/>
          </w:tcPr>
          <w:p w14:paraId="039A52D2"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Autoridades a Serem Comunicadas</w:t>
            </w:r>
          </w:p>
        </w:tc>
        <w:tc>
          <w:tcPr>
            <w:tcW w:w="924" w:type="pct"/>
            <w:vMerge w:val="restart"/>
            <w:shd w:val="clear" w:color="auto" w:fill="1F497D" w:themeFill="text2"/>
            <w:vAlign w:val="center"/>
          </w:tcPr>
          <w:p w14:paraId="5267E6C7"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Prazo</w:t>
            </w:r>
          </w:p>
        </w:tc>
      </w:tr>
      <w:tr w:rsidR="00953C7D" w:rsidRPr="000A3626" w14:paraId="699379B2" w14:textId="77777777" w:rsidTr="000A3626">
        <w:trPr>
          <w:trHeight w:val="283"/>
          <w:tblHeader/>
        </w:trPr>
        <w:tc>
          <w:tcPr>
            <w:tcW w:w="387" w:type="pct"/>
            <w:shd w:val="clear" w:color="auto" w:fill="1F497D" w:themeFill="text2"/>
            <w:vAlign w:val="center"/>
          </w:tcPr>
          <w:p w14:paraId="541F7DA2" w14:textId="77777777" w:rsidR="00953C7D" w:rsidRPr="000A3626" w:rsidDel="00C60E6B" w:rsidRDefault="00953C7D" w:rsidP="000A3626">
            <w:pPr>
              <w:keepNext/>
              <w:keepLines/>
              <w:spacing w:before="0" w:line="240" w:lineRule="auto"/>
              <w:ind w:left="-142" w:right="-108"/>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Natureza</w:t>
            </w:r>
          </w:p>
        </w:tc>
        <w:tc>
          <w:tcPr>
            <w:tcW w:w="1894" w:type="pct"/>
            <w:shd w:val="clear" w:color="auto" w:fill="1F497D" w:themeFill="text2"/>
            <w:vAlign w:val="center"/>
          </w:tcPr>
          <w:p w14:paraId="57237FF3" w14:textId="77777777" w:rsidR="00953C7D" w:rsidRPr="000A3626" w:rsidDel="00C60E6B" w:rsidRDefault="00953C7D" w:rsidP="000A3626">
            <w:pPr>
              <w:keepNext/>
              <w:keepLines/>
              <w:spacing w:before="0" w:line="240" w:lineRule="auto"/>
              <w:jc w:val="center"/>
              <w:rPr>
                <w:rFonts w:asciiTheme="majorHAnsi" w:hAnsiTheme="majorHAnsi"/>
                <w:b/>
                <w:color w:val="FFFFFF" w:themeColor="background1"/>
                <w:sz w:val="20"/>
                <w:szCs w:val="20"/>
              </w:rPr>
            </w:pPr>
            <w:r w:rsidRPr="000A3626">
              <w:rPr>
                <w:rFonts w:asciiTheme="majorHAnsi" w:hAnsiTheme="majorHAnsi"/>
                <w:b/>
                <w:color w:val="FFFFFF" w:themeColor="background1"/>
                <w:sz w:val="20"/>
                <w:szCs w:val="20"/>
              </w:rPr>
              <w:t>Forma/Relatório</w:t>
            </w:r>
          </w:p>
        </w:tc>
        <w:tc>
          <w:tcPr>
            <w:tcW w:w="1795" w:type="pct"/>
            <w:vMerge/>
            <w:shd w:val="clear" w:color="auto" w:fill="1F497D" w:themeFill="text2"/>
            <w:vAlign w:val="center"/>
          </w:tcPr>
          <w:p w14:paraId="07F06DCA"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p>
        </w:tc>
        <w:tc>
          <w:tcPr>
            <w:tcW w:w="924" w:type="pct"/>
            <w:vMerge/>
            <w:shd w:val="clear" w:color="auto" w:fill="1F497D" w:themeFill="text2"/>
          </w:tcPr>
          <w:p w14:paraId="2DB09010" w14:textId="77777777" w:rsidR="00953C7D" w:rsidRPr="000A3626" w:rsidRDefault="00953C7D" w:rsidP="000A3626">
            <w:pPr>
              <w:keepNext/>
              <w:keepLines/>
              <w:spacing w:before="0" w:line="240" w:lineRule="auto"/>
              <w:jc w:val="center"/>
              <w:rPr>
                <w:rFonts w:asciiTheme="majorHAnsi" w:hAnsiTheme="majorHAnsi"/>
                <w:b/>
                <w:color w:val="FFFFFF" w:themeColor="background1"/>
                <w:sz w:val="20"/>
                <w:szCs w:val="20"/>
              </w:rPr>
            </w:pPr>
          </w:p>
        </w:tc>
      </w:tr>
      <w:tr w:rsidR="00953C7D" w:rsidRPr="000A3626" w14:paraId="25EE0306" w14:textId="77777777" w:rsidTr="00953C7D">
        <w:trPr>
          <w:trHeight w:val="675"/>
        </w:trPr>
        <w:tc>
          <w:tcPr>
            <w:tcW w:w="387" w:type="pct"/>
            <w:vMerge w:val="restart"/>
            <w:shd w:val="clear" w:color="auto" w:fill="FF6600"/>
            <w:textDirection w:val="btLr"/>
            <w:vAlign w:val="center"/>
          </w:tcPr>
          <w:p w14:paraId="59B0913B" w14:textId="77777777" w:rsidR="00953C7D" w:rsidRPr="00F02324" w:rsidRDefault="00953C7D" w:rsidP="000A3626">
            <w:pPr>
              <w:pStyle w:val="itemx"/>
              <w:keepNext/>
              <w:numPr>
                <w:ilvl w:val="0"/>
                <w:numId w:val="0"/>
              </w:numPr>
              <w:tabs>
                <w:tab w:val="left" w:pos="1122"/>
              </w:tabs>
              <w:spacing w:before="0" w:after="0"/>
              <w:ind w:left="-284" w:right="113"/>
              <w:jc w:val="center"/>
              <w:rPr>
                <w:rFonts w:asciiTheme="majorHAnsi" w:hAnsiTheme="majorHAnsi" w:cs="Arial"/>
                <w:b/>
                <w:color w:val="FFFFFF" w:themeColor="background1"/>
                <w:lang w:val="pt-BR"/>
              </w:rPr>
            </w:pPr>
            <w:r w:rsidRPr="00F02324">
              <w:rPr>
                <w:rFonts w:asciiTheme="majorHAnsi" w:hAnsiTheme="majorHAnsi" w:cs="Arial"/>
                <w:b/>
                <w:color w:val="FFFFFF" w:themeColor="background1"/>
                <w:lang w:val="pt-BR"/>
              </w:rPr>
              <w:t>COMUNICAÇÃO INICIAL</w:t>
            </w:r>
          </w:p>
        </w:tc>
        <w:tc>
          <w:tcPr>
            <w:tcW w:w="1894" w:type="pct"/>
            <w:shd w:val="clear" w:color="auto" w:fill="FF6600"/>
            <w:vAlign w:val="center"/>
          </w:tcPr>
          <w:p w14:paraId="65C07007" w14:textId="77777777" w:rsidR="00953C7D" w:rsidRPr="00F02324"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02324">
              <w:rPr>
                <w:rFonts w:asciiTheme="majorHAnsi" w:hAnsiTheme="majorHAnsi" w:cs="Arial"/>
                <w:color w:val="FFFFFF" w:themeColor="background1"/>
                <w:lang w:val="pt-BR"/>
              </w:rPr>
              <w:t xml:space="preserve">Formulário </w:t>
            </w:r>
            <w:r w:rsidRPr="00F02324">
              <w:rPr>
                <w:rFonts w:asciiTheme="majorHAnsi" w:hAnsiTheme="majorHAnsi"/>
                <w:color w:val="FFFFFF" w:themeColor="background1"/>
                <w:lang w:val="pt-BR"/>
              </w:rPr>
              <w:t xml:space="preserve">de Comunicação Inicial de Incidentes </w:t>
            </w:r>
            <w:r w:rsidRPr="00F02324">
              <w:rPr>
                <w:rFonts w:asciiTheme="majorHAnsi" w:hAnsiTheme="majorHAnsi" w:cs="Arial"/>
                <w:color w:val="FFFFFF" w:themeColor="background1"/>
                <w:lang w:val="pt-BR"/>
              </w:rPr>
              <w:t xml:space="preserve">na plataforma do SIEMA </w:t>
            </w:r>
            <w:r w:rsidRPr="00F02324">
              <w:rPr>
                <w:rFonts w:asciiTheme="majorHAnsi" w:hAnsiTheme="majorHAnsi"/>
                <w:color w:val="FFFFFF" w:themeColor="background1"/>
                <w:lang w:val="pt-BR"/>
              </w:rPr>
              <w:t>(de acordo com a Lei Federal 9966/00, Art. 22 e regulamentado pelo Anexo II do Decreto Federal 4.136/02)</w:t>
            </w:r>
          </w:p>
        </w:tc>
        <w:tc>
          <w:tcPr>
            <w:tcW w:w="1795" w:type="pct"/>
            <w:shd w:val="clear" w:color="auto" w:fill="D9D9D9" w:themeFill="background1" w:themeFillShade="D9"/>
            <w:vAlign w:val="center"/>
          </w:tcPr>
          <w:p w14:paraId="2296B674" w14:textId="22A090CB" w:rsidR="00953C7D" w:rsidRPr="000A3626" w:rsidRDefault="00953C7D" w:rsidP="00FE3D31">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theme="majorHAnsi"/>
                <w:sz w:val="20"/>
                <w:szCs w:val="20"/>
                <w:lang w:val="pt-BR"/>
              </w:rPr>
            </w:pPr>
            <w:r w:rsidRPr="000A3626">
              <w:rPr>
                <w:rFonts w:asciiTheme="majorHAnsi" w:hAnsiTheme="majorHAnsi" w:cs="Arial"/>
                <w:sz w:val="20"/>
                <w:szCs w:val="20"/>
                <w:lang w:val="pt-BR"/>
              </w:rPr>
              <w:t>IBAMA (CGEMA &amp; C</w:t>
            </w:r>
            <w:r w:rsidR="00FE3D31">
              <w:rPr>
                <w:rFonts w:asciiTheme="majorHAnsi" w:hAnsiTheme="majorHAnsi" w:cs="Arial"/>
                <w:sz w:val="20"/>
                <w:szCs w:val="20"/>
                <w:lang w:val="pt-BR"/>
              </w:rPr>
              <w:t>OEXP</w:t>
            </w:r>
            <w:r w:rsidRPr="000A3626">
              <w:rPr>
                <w:rFonts w:asciiTheme="majorHAnsi" w:hAnsiTheme="majorHAnsi" w:cs="Arial"/>
                <w:sz w:val="20"/>
                <w:szCs w:val="20"/>
                <w:lang w:val="pt-BR"/>
              </w:rPr>
              <w:t>)</w:t>
            </w:r>
          </w:p>
        </w:tc>
        <w:tc>
          <w:tcPr>
            <w:tcW w:w="924" w:type="pct"/>
            <w:vMerge w:val="restart"/>
            <w:shd w:val="clear" w:color="auto" w:fill="D9D9D9" w:themeFill="background1" w:themeFillShade="D9"/>
            <w:vAlign w:val="center"/>
          </w:tcPr>
          <w:p w14:paraId="0AE247ED" w14:textId="77777777" w:rsidR="00953C7D" w:rsidRPr="000A3626" w:rsidRDefault="000A3626"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jc w:val="center"/>
              <w:rPr>
                <w:rFonts w:asciiTheme="majorHAnsi" w:hAnsiTheme="majorHAnsi" w:cs="Arial"/>
                <w:b/>
                <w:sz w:val="20"/>
                <w:szCs w:val="20"/>
                <w:lang w:val="pt-BR"/>
              </w:rPr>
            </w:pPr>
            <w:r>
              <w:rPr>
                <w:rFonts w:asciiTheme="majorHAnsi" w:hAnsiTheme="majorHAnsi" w:cs="Arial"/>
                <w:b/>
                <w:sz w:val="20"/>
                <w:szCs w:val="20"/>
                <w:lang w:val="pt-BR"/>
              </w:rPr>
              <w:t>Imediato</w:t>
            </w:r>
            <w:r w:rsidR="00953C7D" w:rsidRPr="000A3626">
              <w:rPr>
                <w:rFonts w:asciiTheme="majorHAnsi" w:hAnsiTheme="majorHAnsi" w:cs="Arial"/>
                <w:b/>
                <w:sz w:val="20"/>
                <w:szCs w:val="20"/>
                <w:vertAlign w:val="superscript"/>
                <w:lang w:val="pt-BR"/>
              </w:rPr>
              <w:t>1</w:t>
            </w:r>
          </w:p>
        </w:tc>
      </w:tr>
      <w:tr w:rsidR="00953C7D" w:rsidRPr="000A3626" w14:paraId="09E7DC89" w14:textId="77777777" w:rsidTr="008300D5">
        <w:trPr>
          <w:cantSplit/>
          <w:trHeight w:val="213"/>
        </w:trPr>
        <w:tc>
          <w:tcPr>
            <w:tcW w:w="387" w:type="pct"/>
            <w:vMerge/>
            <w:shd w:val="clear" w:color="auto" w:fill="FF6600"/>
            <w:textDirection w:val="btLr"/>
            <w:vAlign w:val="center"/>
          </w:tcPr>
          <w:p w14:paraId="36F6D24D" w14:textId="77777777" w:rsidR="00953C7D" w:rsidRPr="000A3626" w:rsidRDefault="00953C7D" w:rsidP="000A3626">
            <w:pPr>
              <w:pStyle w:val="itemx"/>
              <w:keepNext/>
              <w:numPr>
                <w:ilvl w:val="0"/>
                <w:numId w:val="0"/>
              </w:numPr>
              <w:tabs>
                <w:tab w:val="left" w:pos="1122"/>
              </w:tabs>
              <w:spacing w:before="0" w:after="0"/>
              <w:ind w:left="-284" w:right="113"/>
              <w:jc w:val="center"/>
              <w:rPr>
                <w:rFonts w:asciiTheme="majorHAnsi" w:hAnsiTheme="majorHAnsi" w:cs="Arial"/>
                <w:b/>
                <w:lang w:val="pt-BR"/>
              </w:rPr>
            </w:pPr>
          </w:p>
        </w:tc>
        <w:tc>
          <w:tcPr>
            <w:tcW w:w="1894" w:type="pct"/>
            <w:vMerge w:val="restart"/>
            <w:shd w:val="clear" w:color="auto" w:fill="FF6600"/>
            <w:vAlign w:val="center"/>
          </w:tcPr>
          <w:p w14:paraId="35EE94A3" w14:textId="77777777" w:rsidR="00953C7D" w:rsidRPr="00FE3D31" w:rsidRDefault="00953C7D" w:rsidP="000A3626">
            <w:pPr>
              <w:pStyle w:val="itemx"/>
              <w:keepNext/>
              <w:tabs>
                <w:tab w:val="left" w:pos="1122"/>
              </w:tabs>
              <w:spacing w:before="0" w:after="0"/>
              <w:ind w:left="0"/>
              <w:jc w:val="left"/>
              <w:rPr>
                <w:rFonts w:asciiTheme="majorHAnsi" w:hAnsiTheme="majorHAnsi" w:cs="Arial"/>
                <w:color w:val="FFFFFF" w:themeColor="background1"/>
                <w:lang w:val="pt-BR"/>
              </w:rPr>
            </w:pPr>
            <w:r w:rsidRPr="00FE3D31">
              <w:rPr>
                <w:rFonts w:asciiTheme="majorHAnsi" w:hAnsiTheme="majorHAnsi"/>
                <w:color w:val="FFFFFF" w:themeColor="background1"/>
                <w:lang w:val="pt-BR"/>
              </w:rPr>
              <w:t>Formulário de Comunicação Inicial de Incidentes enviado via fax ou e-mail (de acordo com a Lei Federal 9966/00, Art. 22 e regulamentado pelo Anexo II do Decreto Federal 4.136/02)</w:t>
            </w:r>
          </w:p>
        </w:tc>
        <w:tc>
          <w:tcPr>
            <w:tcW w:w="1795" w:type="pct"/>
            <w:shd w:val="clear" w:color="auto" w:fill="D9D9D9" w:themeFill="background1" w:themeFillShade="D9"/>
            <w:vAlign w:val="center"/>
          </w:tcPr>
          <w:p w14:paraId="1CC901B1" w14:textId="75B54961" w:rsidR="00953C7D" w:rsidRPr="000A3626" w:rsidRDefault="00953C7D" w:rsidP="00FE3D31">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IBAMA (CGEMA &amp; C</w:t>
            </w:r>
            <w:r w:rsidR="00FE3D31">
              <w:rPr>
                <w:rFonts w:asciiTheme="majorHAnsi" w:hAnsiTheme="majorHAnsi" w:cs="Arial"/>
                <w:sz w:val="20"/>
                <w:szCs w:val="20"/>
                <w:lang w:val="pt-BR"/>
              </w:rPr>
              <w:t>OEXP</w:t>
            </w:r>
            <w:r w:rsidRPr="000A3626">
              <w:rPr>
                <w:rFonts w:asciiTheme="majorHAnsi" w:hAnsiTheme="majorHAnsi" w:cs="Arial"/>
                <w:sz w:val="20"/>
                <w:szCs w:val="20"/>
                <w:lang w:val="pt-BR"/>
              </w:rPr>
              <w:t>) – se SIEMA inoperante</w:t>
            </w:r>
          </w:p>
        </w:tc>
        <w:tc>
          <w:tcPr>
            <w:tcW w:w="924" w:type="pct"/>
            <w:vMerge/>
            <w:shd w:val="clear" w:color="auto" w:fill="D9D9D9" w:themeFill="background1" w:themeFillShade="D9"/>
          </w:tcPr>
          <w:p w14:paraId="665299EC"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5F30068D" w14:textId="77777777" w:rsidTr="008300D5">
        <w:trPr>
          <w:cantSplit/>
          <w:trHeight w:val="293"/>
        </w:trPr>
        <w:tc>
          <w:tcPr>
            <w:tcW w:w="387" w:type="pct"/>
            <w:vMerge/>
            <w:shd w:val="clear" w:color="auto" w:fill="FF6600"/>
            <w:textDirection w:val="btLr"/>
            <w:vAlign w:val="center"/>
          </w:tcPr>
          <w:p w14:paraId="1F043988" w14:textId="77777777" w:rsidR="00953C7D" w:rsidRPr="000A3626" w:rsidRDefault="00953C7D" w:rsidP="000A3626">
            <w:pPr>
              <w:pStyle w:val="itemx"/>
              <w:keepNext/>
              <w:numPr>
                <w:ilvl w:val="0"/>
                <w:numId w:val="0"/>
              </w:numPr>
              <w:tabs>
                <w:tab w:val="left" w:pos="1122"/>
              </w:tabs>
              <w:spacing w:before="0" w:after="0"/>
              <w:ind w:left="113" w:right="113"/>
              <w:jc w:val="center"/>
              <w:rPr>
                <w:rFonts w:asciiTheme="majorHAnsi" w:hAnsiTheme="majorHAnsi" w:cs="Arial"/>
                <w:b/>
                <w:lang w:val="pt-BR"/>
              </w:rPr>
            </w:pPr>
          </w:p>
        </w:tc>
        <w:tc>
          <w:tcPr>
            <w:tcW w:w="1894" w:type="pct"/>
            <w:vMerge/>
            <w:shd w:val="clear" w:color="auto" w:fill="FF6600"/>
            <w:vAlign w:val="center"/>
          </w:tcPr>
          <w:p w14:paraId="001FCE02"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p>
        </w:tc>
        <w:tc>
          <w:tcPr>
            <w:tcW w:w="1795" w:type="pct"/>
            <w:shd w:val="clear" w:color="auto" w:fill="D9D9D9" w:themeFill="background1" w:themeFillShade="D9"/>
            <w:vAlign w:val="center"/>
          </w:tcPr>
          <w:p w14:paraId="5F2ECDA9"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sz w:val="20"/>
                <w:szCs w:val="20"/>
                <w:lang w:val="pt-BR"/>
              </w:rPr>
            </w:pPr>
            <w:r w:rsidRPr="000A3626">
              <w:rPr>
                <w:rFonts w:asciiTheme="majorHAnsi" w:hAnsiTheme="majorHAnsi" w:cstheme="majorHAnsi"/>
                <w:sz w:val="20"/>
                <w:szCs w:val="20"/>
                <w:lang w:val="pt-BR"/>
              </w:rPr>
              <w:t>Capitania dos Portos de Macapá</w:t>
            </w:r>
          </w:p>
        </w:tc>
        <w:tc>
          <w:tcPr>
            <w:tcW w:w="924" w:type="pct"/>
            <w:vMerge/>
            <w:shd w:val="clear" w:color="auto" w:fill="D9D9D9" w:themeFill="background1" w:themeFillShade="D9"/>
          </w:tcPr>
          <w:p w14:paraId="2194A94F"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theme="majorHAnsi"/>
                <w:sz w:val="20"/>
                <w:szCs w:val="20"/>
                <w:lang w:val="pt-BR"/>
              </w:rPr>
            </w:pPr>
          </w:p>
        </w:tc>
      </w:tr>
      <w:tr w:rsidR="00953C7D" w:rsidRPr="000A3626" w14:paraId="6A98F879" w14:textId="77777777" w:rsidTr="008300D5">
        <w:trPr>
          <w:cantSplit/>
          <w:trHeight w:val="365"/>
        </w:trPr>
        <w:tc>
          <w:tcPr>
            <w:tcW w:w="387" w:type="pct"/>
            <w:vMerge/>
            <w:shd w:val="clear" w:color="auto" w:fill="FF6600"/>
            <w:vAlign w:val="center"/>
          </w:tcPr>
          <w:p w14:paraId="50783AAB"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6600"/>
            <w:vAlign w:val="center"/>
          </w:tcPr>
          <w:p w14:paraId="2F6F9E18"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p>
        </w:tc>
        <w:tc>
          <w:tcPr>
            <w:tcW w:w="1795" w:type="pct"/>
            <w:shd w:val="clear" w:color="auto" w:fill="D9D9D9" w:themeFill="background1" w:themeFillShade="D9"/>
            <w:vAlign w:val="center"/>
          </w:tcPr>
          <w:p w14:paraId="6810CEBD"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SEMA (Secretaria Estadual do Meio Ambiente do Estado do Amapá)</w:t>
            </w:r>
          </w:p>
        </w:tc>
        <w:tc>
          <w:tcPr>
            <w:tcW w:w="924" w:type="pct"/>
            <w:vMerge/>
            <w:shd w:val="clear" w:color="auto" w:fill="D9D9D9" w:themeFill="background1" w:themeFillShade="D9"/>
          </w:tcPr>
          <w:p w14:paraId="67D82890"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5BA09535" w14:textId="77777777" w:rsidTr="00953C7D">
        <w:trPr>
          <w:trHeight w:val="699"/>
        </w:trPr>
        <w:tc>
          <w:tcPr>
            <w:tcW w:w="387" w:type="pct"/>
            <w:vMerge/>
            <w:shd w:val="clear" w:color="auto" w:fill="FF6600"/>
            <w:vAlign w:val="center"/>
          </w:tcPr>
          <w:p w14:paraId="098123D6"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shd w:val="clear" w:color="auto" w:fill="FF6600"/>
            <w:vAlign w:val="center"/>
          </w:tcPr>
          <w:p w14:paraId="3A486F1B"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E3D31">
              <w:rPr>
                <w:rFonts w:asciiTheme="majorHAnsi" w:hAnsiTheme="majorHAnsi" w:cs="Arial"/>
                <w:color w:val="FFFFFF" w:themeColor="background1"/>
                <w:lang w:val="pt-BR"/>
              </w:rPr>
              <w:t>Formulário de Comunicação Inicial da ANP na plataforma do SISO (de acordo com a Lei Federal 9966/00, Art. 22 e Resolução ANP Nº 44/09, Art. 2 e Anexo I)</w:t>
            </w:r>
          </w:p>
        </w:tc>
        <w:tc>
          <w:tcPr>
            <w:tcW w:w="1795" w:type="pct"/>
            <w:shd w:val="clear" w:color="auto" w:fill="D9D9D9" w:themeFill="background1" w:themeFillShade="D9"/>
            <w:vAlign w:val="center"/>
          </w:tcPr>
          <w:p w14:paraId="07DB38A7" w14:textId="616897A8"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Arial"/>
                <w:sz w:val="20"/>
                <w:szCs w:val="20"/>
                <w:lang w:val="pt-BR"/>
              </w:rPr>
              <w:t>ANP</w:t>
            </w:r>
            <w:r w:rsidR="00F02324">
              <w:rPr>
                <w:rFonts w:asciiTheme="majorHAnsi" w:hAnsiTheme="majorHAnsi" w:cs="Arial"/>
                <w:sz w:val="20"/>
                <w:szCs w:val="20"/>
                <w:lang w:val="pt-BR"/>
              </w:rPr>
              <w:t xml:space="preserve"> </w:t>
            </w:r>
            <w:r w:rsidR="00F02324" w:rsidRPr="00F02324">
              <w:rPr>
                <w:rFonts w:asciiTheme="majorHAnsi" w:hAnsiTheme="majorHAnsi" w:cs="Arial"/>
                <w:sz w:val="20"/>
                <w:szCs w:val="20"/>
                <w:vertAlign w:val="superscript"/>
                <w:lang w:val="pt-BR"/>
              </w:rPr>
              <w:t>2</w:t>
            </w:r>
          </w:p>
        </w:tc>
        <w:tc>
          <w:tcPr>
            <w:tcW w:w="924" w:type="pct"/>
            <w:vMerge/>
            <w:shd w:val="clear" w:color="auto" w:fill="D9D9D9" w:themeFill="background1" w:themeFillShade="D9"/>
          </w:tcPr>
          <w:p w14:paraId="001909FB" w14:textId="77777777" w:rsidR="00953C7D" w:rsidRPr="000A3626" w:rsidRDefault="00953C7D" w:rsidP="000A3626">
            <w:pPr>
              <w:pStyle w:val="xl40"/>
              <w:keepNext/>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p>
        </w:tc>
      </w:tr>
      <w:tr w:rsidR="00953C7D" w:rsidRPr="000A3626" w14:paraId="66A811ED" w14:textId="77777777" w:rsidTr="00953C7D">
        <w:trPr>
          <w:trHeight w:val="842"/>
        </w:trPr>
        <w:tc>
          <w:tcPr>
            <w:tcW w:w="387" w:type="pct"/>
            <w:vMerge/>
            <w:shd w:val="clear" w:color="auto" w:fill="FF6600"/>
            <w:vAlign w:val="center"/>
          </w:tcPr>
          <w:p w14:paraId="3A8906D8" w14:textId="77777777"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p>
        </w:tc>
        <w:tc>
          <w:tcPr>
            <w:tcW w:w="1894" w:type="pct"/>
            <w:shd w:val="clear" w:color="auto" w:fill="FF6600"/>
            <w:vAlign w:val="center"/>
          </w:tcPr>
          <w:p w14:paraId="35D865DC" w14:textId="77777777" w:rsidR="00953C7D" w:rsidRPr="00FE3D31" w:rsidRDefault="00953C7D" w:rsidP="000A3626">
            <w:pPr>
              <w:pStyle w:val="itemx"/>
              <w:keepNext/>
              <w:numPr>
                <w:ilvl w:val="0"/>
                <w:numId w:val="0"/>
              </w:numPr>
              <w:tabs>
                <w:tab w:val="left" w:pos="1122"/>
              </w:tabs>
              <w:spacing w:before="0" w:after="0"/>
              <w:jc w:val="left"/>
              <w:rPr>
                <w:rFonts w:asciiTheme="majorHAnsi" w:hAnsiTheme="majorHAnsi" w:cs="Arial"/>
                <w:color w:val="FFFFFF" w:themeColor="background1"/>
                <w:lang w:val="pt-BR"/>
              </w:rPr>
            </w:pPr>
            <w:r w:rsidRPr="00FE3D31">
              <w:rPr>
                <w:rFonts w:asciiTheme="majorHAnsi" w:hAnsiTheme="majorHAnsi" w:cs="Arial"/>
                <w:color w:val="FFFFFF" w:themeColor="background1"/>
                <w:lang w:val="pt-BR"/>
              </w:rPr>
              <w:t xml:space="preserve">Formulário de Comunicação Inicial da ANP </w:t>
            </w:r>
            <w:r w:rsidRPr="00FE3D31">
              <w:rPr>
                <w:rFonts w:asciiTheme="majorHAnsi" w:hAnsiTheme="majorHAnsi"/>
                <w:color w:val="FFFFFF" w:themeColor="background1"/>
                <w:lang w:val="pt-BR"/>
              </w:rPr>
              <w:t>enviado via fax ou e-mail</w:t>
            </w:r>
            <w:r w:rsidRPr="00FE3D31" w:rsidDel="00B5103F">
              <w:rPr>
                <w:rFonts w:asciiTheme="majorHAnsi" w:hAnsiTheme="majorHAnsi" w:cs="Arial"/>
                <w:color w:val="FFFFFF" w:themeColor="background1"/>
                <w:lang w:val="pt-BR"/>
              </w:rPr>
              <w:t xml:space="preserve"> </w:t>
            </w:r>
            <w:r w:rsidRPr="00FE3D31">
              <w:rPr>
                <w:rFonts w:asciiTheme="majorHAnsi" w:hAnsiTheme="majorHAnsi" w:cs="Arial"/>
                <w:color w:val="FFFFFF" w:themeColor="background1"/>
                <w:lang w:val="pt-BR"/>
              </w:rPr>
              <w:t>(de acordo com a Lei Federal 9966/00, Art. 22 e Resolução ANP Nº 44/09, Art. 2 e Anexo I)</w:t>
            </w:r>
          </w:p>
        </w:tc>
        <w:tc>
          <w:tcPr>
            <w:tcW w:w="1795" w:type="pct"/>
            <w:shd w:val="clear" w:color="auto" w:fill="D9D9D9" w:themeFill="background1" w:themeFillShade="D9"/>
            <w:vAlign w:val="center"/>
          </w:tcPr>
          <w:p w14:paraId="49C87726" w14:textId="048F0025"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r w:rsidR="00F02324">
              <w:rPr>
                <w:rFonts w:asciiTheme="majorHAnsi" w:hAnsiTheme="majorHAnsi" w:cs="Arial"/>
                <w:lang w:val="pt-BR"/>
              </w:rPr>
              <w:t xml:space="preserve"> </w:t>
            </w:r>
            <w:r w:rsidR="00F02324" w:rsidRPr="00F02324">
              <w:rPr>
                <w:rFonts w:asciiTheme="majorHAnsi" w:hAnsiTheme="majorHAnsi" w:cs="Arial"/>
                <w:vertAlign w:val="superscript"/>
                <w:lang w:val="pt-BR"/>
              </w:rPr>
              <w:t>2</w:t>
            </w:r>
            <w:r w:rsidRPr="000A3626">
              <w:rPr>
                <w:rFonts w:asciiTheme="majorHAnsi" w:hAnsiTheme="majorHAnsi" w:cs="Arial"/>
                <w:lang w:val="pt-BR"/>
              </w:rPr>
              <w:t xml:space="preserve"> – se SISO inoperante</w:t>
            </w:r>
          </w:p>
        </w:tc>
        <w:tc>
          <w:tcPr>
            <w:tcW w:w="924" w:type="pct"/>
            <w:vMerge/>
            <w:shd w:val="clear" w:color="auto" w:fill="D9D9D9" w:themeFill="background1" w:themeFillShade="D9"/>
          </w:tcPr>
          <w:p w14:paraId="2A8FB88F" w14:textId="77777777"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p>
        </w:tc>
      </w:tr>
      <w:tr w:rsidR="00953C7D" w:rsidRPr="000A3626" w14:paraId="71BF6178" w14:textId="77777777" w:rsidTr="00953C7D">
        <w:trPr>
          <w:cantSplit/>
          <w:trHeight w:val="247"/>
        </w:trPr>
        <w:tc>
          <w:tcPr>
            <w:tcW w:w="387" w:type="pct"/>
            <w:vMerge w:val="restart"/>
            <w:shd w:val="clear" w:color="auto" w:fill="FF9900"/>
            <w:textDirection w:val="btLr"/>
            <w:vAlign w:val="center"/>
          </w:tcPr>
          <w:p w14:paraId="58C491FB" w14:textId="77777777" w:rsidR="00953C7D" w:rsidRPr="000A3626" w:rsidRDefault="00953C7D" w:rsidP="000A3626">
            <w:pPr>
              <w:pStyle w:val="itemx"/>
              <w:numPr>
                <w:ilvl w:val="0"/>
                <w:numId w:val="0"/>
              </w:numP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t>RELATÓRIO DE ACOMPANHAMENTO</w:t>
            </w:r>
          </w:p>
        </w:tc>
        <w:tc>
          <w:tcPr>
            <w:tcW w:w="1894" w:type="pct"/>
            <w:vMerge w:val="restart"/>
            <w:shd w:val="clear" w:color="auto" w:fill="FF9900"/>
            <w:vAlign w:val="center"/>
          </w:tcPr>
          <w:p w14:paraId="08211EB5" w14:textId="12C78DB7" w:rsidR="00953C7D" w:rsidRPr="000A3626" w:rsidRDefault="00953C7D" w:rsidP="000A3626">
            <w:pPr>
              <w:pStyle w:val="xl40"/>
              <w:pBdr>
                <w:top w:val="none" w:sz="0" w:space="0" w:color="auto"/>
                <w:bottom w:val="none" w:sz="0" w:space="0" w:color="auto"/>
                <w:right w:val="none" w:sz="0" w:space="0" w:color="auto"/>
              </w:pBdr>
              <w:tabs>
                <w:tab w:val="left" w:pos="1122"/>
              </w:tabs>
              <w:spacing w:before="0" w:beforeAutospacing="0" w:after="0" w:afterAutospacing="0"/>
              <w:rPr>
                <w:rFonts w:asciiTheme="majorHAnsi" w:hAnsiTheme="majorHAnsi" w:cs="Arial"/>
                <w:sz w:val="20"/>
                <w:szCs w:val="20"/>
                <w:lang w:val="pt-BR"/>
              </w:rPr>
            </w:pPr>
            <w:r w:rsidRPr="000A3626">
              <w:rPr>
                <w:rFonts w:asciiTheme="majorHAnsi" w:hAnsiTheme="majorHAnsi" w:cstheme="majorHAnsi"/>
                <w:sz w:val="20"/>
                <w:szCs w:val="20"/>
                <w:lang w:val="pt-BR"/>
              </w:rPr>
              <w:t>Relatório de Situação</w:t>
            </w:r>
            <w:r w:rsidR="00F02324">
              <w:rPr>
                <w:rFonts w:asciiTheme="majorHAnsi" w:hAnsiTheme="majorHAnsi" w:cs="Arial"/>
                <w:sz w:val="20"/>
                <w:szCs w:val="20"/>
                <w:vertAlign w:val="superscript"/>
                <w:lang w:val="pt-BR"/>
              </w:rPr>
              <w:t>3</w:t>
            </w:r>
            <w:r w:rsidRPr="000A3626">
              <w:rPr>
                <w:rFonts w:asciiTheme="majorHAnsi" w:hAnsiTheme="majorHAnsi" w:cs="Arial"/>
                <w:sz w:val="20"/>
                <w:szCs w:val="20"/>
                <w:lang w:val="pt-BR"/>
              </w:rPr>
              <w:t xml:space="preserve"> </w:t>
            </w:r>
            <w:r w:rsidR="000C4B02">
              <w:rPr>
                <w:rFonts w:asciiTheme="majorHAnsi" w:hAnsiTheme="majorHAnsi" w:cstheme="majorHAnsi"/>
                <w:sz w:val="20"/>
                <w:szCs w:val="20"/>
                <w:lang w:val="pt-BR"/>
              </w:rPr>
              <w:t>via fax ou e-mail</w:t>
            </w:r>
          </w:p>
        </w:tc>
        <w:tc>
          <w:tcPr>
            <w:tcW w:w="1795" w:type="pct"/>
            <w:shd w:val="clear" w:color="auto" w:fill="D9D9D9" w:themeFill="background1" w:themeFillShade="D9"/>
            <w:vAlign w:val="center"/>
          </w:tcPr>
          <w:p w14:paraId="79A3B50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theme="majorHAnsi"/>
                <w:lang w:val="pt-BR"/>
              </w:rPr>
              <w:t>Capitania dos Portos de Macapá</w:t>
            </w:r>
          </w:p>
        </w:tc>
        <w:tc>
          <w:tcPr>
            <w:tcW w:w="924" w:type="pct"/>
            <w:vMerge w:val="restart"/>
            <w:shd w:val="clear" w:color="auto" w:fill="D9D9D9" w:themeFill="background1" w:themeFillShade="D9"/>
            <w:vAlign w:val="center"/>
          </w:tcPr>
          <w:p w14:paraId="1864E55A" w14:textId="59A07FB1" w:rsidR="00953C7D" w:rsidRPr="000A3626" w:rsidRDefault="000A3626" w:rsidP="000A3626">
            <w:pPr>
              <w:pStyle w:val="itemx"/>
              <w:numPr>
                <w:ilvl w:val="0"/>
                <w:numId w:val="0"/>
              </w:numPr>
              <w:tabs>
                <w:tab w:val="left" w:pos="1122"/>
              </w:tabs>
              <w:spacing w:before="0" w:after="0"/>
              <w:jc w:val="center"/>
              <w:rPr>
                <w:rFonts w:asciiTheme="majorHAnsi" w:hAnsiTheme="majorHAnsi" w:cstheme="majorHAnsi"/>
                <w:b/>
                <w:lang w:val="pt-BR"/>
              </w:rPr>
            </w:pPr>
            <w:r>
              <w:rPr>
                <w:rFonts w:asciiTheme="majorHAnsi" w:hAnsiTheme="majorHAnsi" w:cstheme="majorHAnsi"/>
                <w:b/>
                <w:lang w:val="pt-BR"/>
              </w:rPr>
              <w:t>Diariamente</w:t>
            </w:r>
            <w:r w:rsidR="00F02324">
              <w:rPr>
                <w:rFonts w:asciiTheme="majorHAnsi" w:hAnsiTheme="majorHAnsi" w:cstheme="majorHAnsi"/>
                <w:b/>
                <w:vertAlign w:val="superscript"/>
                <w:lang w:val="pt-BR"/>
              </w:rPr>
              <w:t>5</w:t>
            </w:r>
          </w:p>
        </w:tc>
      </w:tr>
      <w:tr w:rsidR="00953C7D" w:rsidRPr="000A3626" w14:paraId="16FEE6C6" w14:textId="77777777" w:rsidTr="00953C7D">
        <w:trPr>
          <w:cantSplit/>
          <w:trHeight w:val="269"/>
        </w:trPr>
        <w:tc>
          <w:tcPr>
            <w:tcW w:w="387" w:type="pct"/>
            <w:vMerge/>
            <w:shd w:val="clear" w:color="auto" w:fill="FF9900"/>
            <w:vAlign w:val="center"/>
          </w:tcPr>
          <w:p w14:paraId="560B2623"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04C2FC23"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474F8203" w14:textId="0F3D7AC4" w:rsidR="00953C7D" w:rsidRPr="000A3626" w:rsidRDefault="00953C7D" w:rsidP="00F02324">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shd w:val="clear" w:color="auto" w:fill="D9D9D9" w:themeFill="background1" w:themeFillShade="D9"/>
          </w:tcPr>
          <w:p w14:paraId="503B88E0"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21061981" w14:textId="77777777" w:rsidTr="00953C7D">
        <w:trPr>
          <w:cantSplit/>
          <w:trHeight w:val="241"/>
        </w:trPr>
        <w:tc>
          <w:tcPr>
            <w:tcW w:w="387" w:type="pct"/>
            <w:vMerge/>
            <w:shd w:val="clear" w:color="auto" w:fill="FF9900"/>
            <w:vAlign w:val="center"/>
          </w:tcPr>
          <w:p w14:paraId="4BE7F4E6"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1CAAF386"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654D189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59B572E8"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6219584B" w14:textId="77777777" w:rsidTr="00953C7D">
        <w:trPr>
          <w:cantSplit/>
          <w:trHeight w:val="1155"/>
        </w:trPr>
        <w:tc>
          <w:tcPr>
            <w:tcW w:w="387" w:type="pct"/>
            <w:vMerge/>
            <w:shd w:val="clear" w:color="auto" w:fill="FF9900"/>
            <w:vAlign w:val="center"/>
          </w:tcPr>
          <w:p w14:paraId="020D40EF"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9900"/>
            <w:vAlign w:val="center"/>
          </w:tcPr>
          <w:p w14:paraId="5180C6D9"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54594B40" w14:textId="0C945823"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r w:rsidR="00F02324">
              <w:rPr>
                <w:rFonts w:asciiTheme="majorHAnsi" w:hAnsiTheme="majorHAnsi" w:cs="Arial"/>
                <w:lang w:val="pt-BR"/>
              </w:rPr>
              <w:t xml:space="preserve"> </w:t>
            </w:r>
            <w:r w:rsidR="00F02324" w:rsidRPr="00F02324">
              <w:rPr>
                <w:rFonts w:asciiTheme="majorHAnsi" w:hAnsiTheme="majorHAnsi" w:cs="Arial"/>
                <w:vertAlign w:val="superscript"/>
                <w:lang w:val="pt-BR"/>
              </w:rPr>
              <w:t>4</w:t>
            </w:r>
          </w:p>
        </w:tc>
        <w:tc>
          <w:tcPr>
            <w:tcW w:w="924" w:type="pct"/>
            <w:vMerge/>
            <w:shd w:val="clear" w:color="auto" w:fill="D9D9D9" w:themeFill="background1" w:themeFillShade="D9"/>
          </w:tcPr>
          <w:p w14:paraId="00A8AD9F"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37FEA060" w14:textId="77777777" w:rsidTr="00953C7D">
        <w:trPr>
          <w:trHeight w:val="250"/>
        </w:trPr>
        <w:tc>
          <w:tcPr>
            <w:tcW w:w="387" w:type="pct"/>
            <w:vMerge w:val="restart"/>
            <w:shd w:val="clear" w:color="auto" w:fill="FFFF00"/>
            <w:textDirection w:val="btLr"/>
            <w:vAlign w:val="center"/>
          </w:tcPr>
          <w:p w14:paraId="015D238C" w14:textId="580679A7" w:rsidR="00953C7D" w:rsidRPr="000A3626" w:rsidRDefault="00953C7D" w:rsidP="000C4B02">
            <w:pPr>
              <w:pStyle w:val="itemx"/>
              <w:keepNext/>
              <w:keepLines/>
              <w:numPr>
                <w:ilvl w:val="0"/>
                <w:numId w:val="0"/>
              </w:numP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lastRenderedPageBreak/>
              <w:t>APLICAÇÃO</w:t>
            </w:r>
            <w:r w:rsidR="00F02324">
              <w:rPr>
                <w:rFonts w:asciiTheme="majorHAnsi" w:hAnsiTheme="majorHAnsi" w:cs="Arial"/>
                <w:b/>
                <w:lang w:val="pt-BR"/>
              </w:rPr>
              <w:t xml:space="preserve"> DE</w:t>
            </w:r>
            <w:r w:rsidR="00D913B3">
              <w:rPr>
                <w:rFonts w:asciiTheme="majorHAnsi" w:hAnsiTheme="majorHAnsi" w:cs="Arial"/>
                <w:b/>
                <w:lang w:val="pt-BR"/>
              </w:rPr>
              <w:t xml:space="preserve"> </w:t>
            </w:r>
            <w:r w:rsidRPr="000A3626">
              <w:rPr>
                <w:rFonts w:asciiTheme="majorHAnsi" w:hAnsiTheme="majorHAnsi" w:cs="Arial"/>
                <w:b/>
                <w:lang w:val="pt-BR"/>
              </w:rPr>
              <w:t>DISPERSANTE</w:t>
            </w:r>
          </w:p>
        </w:tc>
        <w:tc>
          <w:tcPr>
            <w:tcW w:w="1894" w:type="pct"/>
            <w:vMerge w:val="restart"/>
            <w:shd w:val="clear" w:color="auto" w:fill="FFFF00"/>
            <w:vAlign w:val="center"/>
          </w:tcPr>
          <w:p w14:paraId="6D2958D2" w14:textId="616E30A9"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Comunicação da intenção formal de proceder com a estratégia de aplicação de Dispersão Química (de acordo com as definições do</w:t>
            </w:r>
            <w:r w:rsidR="00F02324">
              <w:rPr>
                <w:rFonts w:asciiTheme="majorHAnsi" w:hAnsiTheme="majorHAnsi" w:cs="Arial"/>
                <w:lang w:val="pt-BR"/>
              </w:rPr>
              <w:t xml:space="preserve"> Artigo 4 e em formulário conforme Anexo I da </w:t>
            </w:r>
            <w:r w:rsidRPr="000A3626">
              <w:rPr>
                <w:rFonts w:asciiTheme="majorHAnsi" w:hAnsiTheme="majorHAnsi" w:cs="Arial"/>
                <w:lang w:val="pt-BR"/>
              </w:rPr>
              <w:t>Resolução CONAMA N</w:t>
            </w:r>
            <w:r w:rsidRPr="000A3626">
              <w:rPr>
                <w:rFonts w:asciiTheme="majorHAnsi" w:hAnsiTheme="majorHAnsi" w:cs="Arial"/>
                <w:vertAlign w:val="superscript"/>
                <w:lang w:val="pt-BR"/>
              </w:rPr>
              <w:t>o</w:t>
            </w:r>
            <w:r w:rsidRPr="000A3626">
              <w:rPr>
                <w:rFonts w:asciiTheme="majorHAnsi" w:hAnsiTheme="majorHAnsi" w:cs="Arial"/>
                <w:lang w:val="pt-BR"/>
              </w:rPr>
              <w:t xml:space="preserve">. </w:t>
            </w:r>
            <w:r w:rsidR="00F02324">
              <w:rPr>
                <w:rFonts w:asciiTheme="majorHAnsi" w:hAnsiTheme="majorHAnsi" w:cs="Arial"/>
                <w:lang w:val="pt-BR"/>
              </w:rPr>
              <w:t>472</w:t>
            </w:r>
            <w:r w:rsidRPr="000A3626">
              <w:rPr>
                <w:rFonts w:asciiTheme="majorHAnsi" w:hAnsiTheme="majorHAnsi" w:cs="Arial"/>
                <w:lang w:val="pt-BR"/>
              </w:rPr>
              <w:t>/</w:t>
            </w:r>
            <w:r w:rsidR="00F02324">
              <w:rPr>
                <w:rFonts w:asciiTheme="majorHAnsi" w:hAnsiTheme="majorHAnsi" w:cs="Arial"/>
                <w:lang w:val="pt-BR"/>
              </w:rPr>
              <w:t>15</w:t>
            </w:r>
            <w:r w:rsidRPr="000A3626">
              <w:rPr>
                <w:rFonts w:asciiTheme="majorHAnsi" w:hAnsiTheme="majorHAnsi" w:cs="Arial"/>
                <w:lang w:val="pt-BR"/>
              </w:rPr>
              <w:t>)</w:t>
            </w:r>
          </w:p>
        </w:tc>
        <w:tc>
          <w:tcPr>
            <w:tcW w:w="1795" w:type="pct"/>
            <w:shd w:val="clear" w:color="auto" w:fill="D9D9D9" w:themeFill="background1" w:themeFillShade="D9"/>
            <w:vAlign w:val="center"/>
          </w:tcPr>
          <w:p w14:paraId="66415B83" w14:textId="3D9FF5AE"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e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74609344" w14:textId="04FBB8D9" w:rsidR="00953C7D" w:rsidRPr="000A3626" w:rsidRDefault="000A3626" w:rsidP="000A3626">
            <w:pPr>
              <w:pStyle w:val="itemx"/>
              <w:keepNext/>
              <w:keepLines/>
              <w:numPr>
                <w:ilvl w:val="0"/>
                <w:numId w:val="0"/>
              </w:numPr>
              <w:tabs>
                <w:tab w:val="left" w:pos="1122"/>
              </w:tabs>
              <w:spacing w:before="0" w:after="0"/>
              <w:jc w:val="center"/>
              <w:rPr>
                <w:rFonts w:asciiTheme="majorHAnsi" w:hAnsiTheme="majorHAnsi" w:cs="Arial"/>
                <w:b/>
                <w:lang w:val="pt-BR"/>
              </w:rPr>
            </w:pPr>
            <w:r>
              <w:rPr>
                <w:rFonts w:asciiTheme="majorHAnsi" w:hAnsiTheme="majorHAnsi" w:cs="Arial"/>
                <w:b/>
                <w:lang w:val="pt-BR"/>
              </w:rPr>
              <w:t>Antes do início da operação</w:t>
            </w:r>
            <w:r w:rsidR="00F02324">
              <w:rPr>
                <w:rFonts w:asciiTheme="majorHAnsi" w:hAnsiTheme="majorHAnsi" w:cs="Arial"/>
                <w:b/>
                <w:vertAlign w:val="superscript"/>
                <w:lang w:val="pt-BR"/>
              </w:rPr>
              <w:t>6</w:t>
            </w:r>
          </w:p>
        </w:tc>
      </w:tr>
      <w:tr w:rsidR="00953C7D" w:rsidRPr="000A3626" w14:paraId="48707F37" w14:textId="77777777" w:rsidTr="00953C7D">
        <w:trPr>
          <w:trHeight w:val="353"/>
        </w:trPr>
        <w:tc>
          <w:tcPr>
            <w:tcW w:w="387" w:type="pct"/>
            <w:vMerge/>
            <w:shd w:val="clear" w:color="auto" w:fill="FFFF00"/>
            <w:vAlign w:val="center"/>
          </w:tcPr>
          <w:p w14:paraId="3E5B4257" w14:textId="77777777" w:rsidR="00953C7D" w:rsidRPr="000A3626" w:rsidRDefault="00953C7D" w:rsidP="000A3626">
            <w:pPr>
              <w:pStyle w:val="itemx"/>
              <w:keepNext/>
              <w:keepLines/>
              <w:tabs>
                <w:tab w:val="left" w:pos="1122"/>
              </w:tabs>
              <w:spacing w:before="0" w:after="0"/>
              <w:ind w:left="113" w:right="113"/>
              <w:jc w:val="center"/>
              <w:rPr>
                <w:rFonts w:asciiTheme="majorHAnsi" w:hAnsiTheme="majorHAnsi" w:cs="Arial"/>
                <w:lang w:val="pt-BR"/>
              </w:rPr>
            </w:pPr>
          </w:p>
        </w:tc>
        <w:tc>
          <w:tcPr>
            <w:tcW w:w="1894" w:type="pct"/>
            <w:vMerge/>
            <w:shd w:val="clear" w:color="auto" w:fill="FFFF00"/>
            <w:vAlign w:val="center"/>
          </w:tcPr>
          <w:p w14:paraId="4E0CD7AD"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5DBADA0B"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644BBBCC"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r>
      <w:tr w:rsidR="00953C7D" w:rsidRPr="000A3626" w14:paraId="55AB1AB0" w14:textId="77777777" w:rsidTr="00953C7D">
        <w:trPr>
          <w:trHeight w:val="267"/>
        </w:trPr>
        <w:tc>
          <w:tcPr>
            <w:tcW w:w="387" w:type="pct"/>
            <w:vMerge/>
            <w:shd w:val="clear" w:color="auto" w:fill="FFFF00"/>
            <w:textDirection w:val="btLr"/>
            <w:vAlign w:val="center"/>
          </w:tcPr>
          <w:p w14:paraId="1ECD2F5C" w14:textId="77777777" w:rsidR="00953C7D" w:rsidRPr="000A3626" w:rsidRDefault="00953C7D" w:rsidP="000A3626">
            <w:pPr>
              <w:pStyle w:val="itemx"/>
              <w:keepNext/>
              <w:keepLines/>
              <w:numPr>
                <w:ilvl w:val="0"/>
                <w:numId w:val="0"/>
              </w:numPr>
              <w:tabs>
                <w:tab w:val="left" w:pos="1122"/>
              </w:tabs>
              <w:spacing w:before="0" w:after="0"/>
              <w:ind w:left="113" w:right="113"/>
              <w:jc w:val="center"/>
              <w:rPr>
                <w:rFonts w:asciiTheme="majorHAnsi" w:hAnsiTheme="majorHAnsi" w:cs="Arial"/>
                <w:lang w:val="pt-BR"/>
              </w:rPr>
            </w:pPr>
          </w:p>
        </w:tc>
        <w:tc>
          <w:tcPr>
            <w:tcW w:w="1894" w:type="pct"/>
            <w:vMerge w:val="restart"/>
            <w:shd w:val="clear" w:color="auto" w:fill="FFFF00"/>
            <w:vAlign w:val="center"/>
          </w:tcPr>
          <w:p w14:paraId="409E8FC0" w14:textId="63D400F8"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de Aplicação de Dispersante Químico (de acordo com as definições do </w:t>
            </w:r>
            <w:r w:rsidR="00F02324">
              <w:rPr>
                <w:rFonts w:asciiTheme="majorHAnsi" w:hAnsiTheme="majorHAnsi" w:cs="Arial"/>
                <w:lang w:val="pt-BR"/>
              </w:rPr>
              <w:t>Artigo 15 e Anexo IV</w:t>
            </w:r>
            <w:r w:rsidR="000C4B02">
              <w:rPr>
                <w:rFonts w:asciiTheme="majorHAnsi" w:hAnsiTheme="majorHAnsi" w:cs="Arial"/>
                <w:lang w:val="pt-BR"/>
              </w:rPr>
              <w:t xml:space="preserve"> da Resolução CONAMA Nº </w:t>
            </w:r>
            <w:r w:rsidR="00F02324">
              <w:rPr>
                <w:rFonts w:asciiTheme="majorHAnsi" w:hAnsiTheme="majorHAnsi" w:cs="Arial"/>
                <w:lang w:val="pt-BR"/>
              </w:rPr>
              <w:t>472</w:t>
            </w:r>
            <w:r w:rsidR="000C4B02">
              <w:rPr>
                <w:rFonts w:asciiTheme="majorHAnsi" w:hAnsiTheme="majorHAnsi" w:cs="Arial"/>
                <w:lang w:val="pt-BR"/>
              </w:rPr>
              <w:t>/</w:t>
            </w:r>
            <w:r w:rsidR="00F02324">
              <w:rPr>
                <w:rFonts w:asciiTheme="majorHAnsi" w:hAnsiTheme="majorHAnsi" w:cs="Arial"/>
                <w:lang w:val="pt-BR"/>
              </w:rPr>
              <w:t>15</w:t>
            </w:r>
            <w:r w:rsidR="000C4B02">
              <w:rPr>
                <w:rFonts w:asciiTheme="majorHAnsi" w:hAnsiTheme="majorHAnsi" w:cs="Arial"/>
                <w:lang w:val="pt-BR"/>
              </w:rPr>
              <w:t>)</w:t>
            </w:r>
          </w:p>
        </w:tc>
        <w:tc>
          <w:tcPr>
            <w:tcW w:w="1795" w:type="pct"/>
            <w:shd w:val="clear" w:color="auto" w:fill="D9D9D9" w:themeFill="background1" w:themeFillShade="D9"/>
            <w:vAlign w:val="center"/>
          </w:tcPr>
          <w:p w14:paraId="1DFD7C7D" w14:textId="6CDF0A6C"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209D82AE"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r w:rsidRPr="000A3626">
              <w:rPr>
                <w:rFonts w:asciiTheme="majorHAnsi" w:hAnsiTheme="majorHAnsi" w:cstheme="majorHAnsi"/>
                <w:b/>
                <w:lang w:val="pt-BR"/>
              </w:rPr>
              <w:t>No prazo de 15 dias após o término da operação de aplicação de dispersante</w:t>
            </w:r>
          </w:p>
        </w:tc>
      </w:tr>
      <w:tr w:rsidR="00953C7D" w:rsidRPr="000A3626" w14:paraId="0B69887B" w14:textId="77777777" w:rsidTr="00953C7D">
        <w:trPr>
          <w:trHeight w:val="339"/>
        </w:trPr>
        <w:tc>
          <w:tcPr>
            <w:tcW w:w="387" w:type="pct"/>
            <w:vMerge/>
            <w:shd w:val="clear" w:color="auto" w:fill="FFFF00"/>
            <w:vAlign w:val="center"/>
          </w:tcPr>
          <w:p w14:paraId="202BA4BC"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FF00"/>
            <w:vAlign w:val="center"/>
          </w:tcPr>
          <w:p w14:paraId="455B8F1F"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648E7565" w14:textId="77777777" w:rsidR="00953C7D" w:rsidRPr="000A3626" w:rsidRDefault="00953C7D" w:rsidP="000A3626">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vAlign w:val="center"/>
          </w:tcPr>
          <w:p w14:paraId="483A9B6D"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p>
        </w:tc>
      </w:tr>
      <w:tr w:rsidR="00953C7D" w:rsidRPr="000A3626" w14:paraId="2C8D07E6" w14:textId="77777777" w:rsidTr="00953C7D">
        <w:trPr>
          <w:trHeight w:val="261"/>
        </w:trPr>
        <w:tc>
          <w:tcPr>
            <w:tcW w:w="387" w:type="pct"/>
            <w:vMerge/>
            <w:shd w:val="clear" w:color="auto" w:fill="FFFF00"/>
            <w:vAlign w:val="center"/>
          </w:tcPr>
          <w:p w14:paraId="6AA58F07"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Arial"/>
                <w:lang w:val="pt-BR"/>
              </w:rPr>
            </w:pPr>
          </w:p>
        </w:tc>
        <w:tc>
          <w:tcPr>
            <w:tcW w:w="1894" w:type="pct"/>
            <w:vMerge w:val="restart"/>
            <w:shd w:val="clear" w:color="auto" w:fill="FFFF00"/>
            <w:vAlign w:val="center"/>
          </w:tcPr>
          <w:p w14:paraId="6C6CF028" w14:textId="490680C9"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Final (de acordo com as definições </w:t>
            </w:r>
            <w:r w:rsidR="00F02324">
              <w:rPr>
                <w:rFonts w:asciiTheme="majorHAnsi" w:hAnsiTheme="majorHAnsi" w:cs="Arial"/>
                <w:lang w:val="pt-BR"/>
              </w:rPr>
              <w:t xml:space="preserve">do Artigo 16, que remete ao 15 e Anexo IV, </w:t>
            </w:r>
            <w:r w:rsidRPr="000A3626">
              <w:rPr>
                <w:rFonts w:asciiTheme="majorHAnsi" w:hAnsiTheme="majorHAnsi" w:cs="Arial"/>
                <w:lang w:val="pt-BR"/>
              </w:rPr>
              <w:t>da Resolução CONAMA N</w:t>
            </w:r>
            <w:r w:rsidR="00F02324">
              <w:rPr>
                <w:rFonts w:asciiTheme="majorHAnsi" w:hAnsiTheme="majorHAnsi" w:cs="Arial"/>
                <w:lang w:val="pt-BR"/>
              </w:rPr>
              <w:t>º</w:t>
            </w:r>
            <w:r w:rsidRPr="000A3626">
              <w:rPr>
                <w:rFonts w:asciiTheme="majorHAnsi" w:hAnsiTheme="majorHAnsi" w:cs="Arial"/>
                <w:lang w:val="pt-BR"/>
              </w:rPr>
              <w:t xml:space="preserve"> </w:t>
            </w:r>
            <w:r w:rsidR="00F02324">
              <w:rPr>
                <w:rFonts w:asciiTheme="majorHAnsi" w:hAnsiTheme="majorHAnsi" w:cs="Arial"/>
                <w:lang w:val="pt-BR"/>
              </w:rPr>
              <w:t>472</w:t>
            </w:r>
            <w:r w:rsidRPr="000A3626">
              <w:rPr>
                <w:rFonts w:asciiTheme="majorHAnsi" w:hAnsiTheme="majorHAnsi" w:cs="Arial"/>
                <w:lang w:val="pt-BR"/>
              </w:rPr>
              <w:t>/</w:t>
            </w:r>
            <w:r w:rsidR="00F02324">
              <w:rPr>
                <w:rFonts w:asciiTheme="majorHAnsi" w:hAnsiTheme="majorHAnsi" w:cs="Arial"/>
                <w:lang w:val="pt-BR"/>
              </w:rPr>
              <w:t>15</w:t>
            </w:r>
            <w:r w:rsidRPr="000A3626">
              <w:rPr>
                <w:rFonts w:asciiTheme="majorHAnsi" w:hAnsiTheme="majorHAnsi" w:cs="Arial"/>
                <w:lang w:val="pt-BR"/>
              </w:rPr>
              <w:t>)</w:t>
            </w:r>
          </w:p>
        </w:tc>
        <w:tc>
          <w:tcPr>
            <w:tcW w:w="1795" w:type="pct"/>
            <w:shd w:val="clear" w:color="auto" w:fill="D9D9D9" w:themeFill="background1" w:themeFillShade="D9"/>
            <w:vAlign w:val="center"/>
          </w:tcPr>
          <w:p w14:paraId="2A462EF6" w14:textId="08615FDF" w:rsidR="00953C7D" w:rsidRPr="000A3626" w:rsidRDefault="00953C7D" w:rsidP="00F02324">
            <w:pPr>
              <w:pStyle w:val="itemx"/>
              <w:keepNext/>
              <w:keepLines/>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618453BB" w14:textId="77777777" w:rsidR="00953C7D" w:rsidRPr="000A3626" w:rsidRDefault="00953C7D" w:rsidP="000A3626">
            <w:pPr>
              <w:pStyle w:val="itemx"/>
              <w:keepNext/>
              <w:keepLines/>
              <w:numPr>
                <w:ilvl w:val="0"/>
                <w:numId w:val="0"/>
              </w:numPr>
              <w:tabs>
                <w:tab w:val="left" w:pos="1122"/>
              </w:tabs>
              <w:spacing w:before="0" w:after="0"/>
              <w:jc w:val="center"/>
              <w:rPr>
                <w:rFonts w:asciiTheme="majorHAnsi" w:hAnsiTheme="majorHAnsi" w:cstheme="majorHAnsi"/>
                <w:b/>
                <w:lang w:val="pt-BR"/>
              </w:rPr>
            </w:pPr>
            <w:r w:rsidRPr="000A3626">
              <w:rPr>
                <w:rFonts w:asciiTheme="majorHAnsi" w:hAnsiTheme="majorHAnsi" w:cstheme="majorHAnsi"/>
                <w:b/>
                <w:lang w:val="pt-BR"/>
              </w:rPr>
              <w:t>No prazo de 90 dias após o término da operação de aplicação de dispersante</w:t>
            </w:r>
          </w:p>
        </w:tc>
      </w:tr>
      <w:tr w:rsidR="00953C7D" w:rsidRPr="000A3626" w14:paraId="4B768E0E" w14:textId="77777777" w:rsidTr="00953C7D">
        <w:trPr>
          <w:trHeight w:val="237"/>
        </w:trPr>
        <w:tc>
          <w:tcPr>
            <w:tcW w:w="387" w:type="pct"/>
            <w:vMerge/>
            <w:shd w:val="clear" w:color="auto" w:fill="FFFF00"/>
            <w:vAlign w:val="center"/>
          </w:tcPr>
          <w:p w14:paraId="3974C9AA"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p>
        </w:tc>
        <w:tc>
          <w:tcPr>
            <w:tcW w:w="1894" w:type="pct"/>
            <w:vMerge/>
            <w:shd w:val="clear" w:color="auto" w:fill="FFFF00"/>
            <w:vAlign w:val="center"/>
          </w:tcPr>
          <w:p w14:paraId="506940B2"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70E3C082"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6C5D1EE1"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72E89852" w14:textId="77777777" w:rsidTr="00953C7D">
        <w:trPr>
          <w:trHeight w:val="247"/>
        </w:trPr>
        <w:tc>
          <w:tcPr>
            <w:tcW w:w="387" w:type="pct"/>
            <w:vMerge w:val="restart"/>
            <w:shd w:val="clear" w:color="auto" w:fill="99CC00"/>
            <w:textDirection w:val="btLr"/>
            <w:vAlign w:val="center"/>
          </w:tcPr>
          <w:p w14:paraId="1E3493B8" w14:textId="77777777" w:rsidR="00953C7D" w:rsidRPr="000A3626" w:rsidRDefault="00953C7D" w:rsidP="000A3626">
            <w:pPr>
              <w:pStyle w:val="itemx"/>
              <w:keepNext/>
              <w:numPr>
                <w:ilvl w:val="0"/>
                <w:numId w:val="0"/>
              </w:numPr>
              <w:pBdr>
                <w:top w:val="none" w:sz="0" w:space="2" w:color="FFFF00" w:shadow="1"/>
                <w:left w:val="none" w:sz="0" w:space="2" w:color="FFFF00" w:shadow="1"/>
                <w:bottom w:val="none" w:sz="0" w:space="2" w:color="FFFF00" w:shadow="1"/>
                <w:right w:val="none" w:sz="0" w:space="2" w:color="FFFF00" w:shadow="1"/>
              </w:pBdr>
              <w:tabs>
                <w:tab w:val="left" w:pos="1122"/>
              </w:tabs>
              <w:spacing w:before="0" w:after="0"/>
              <w:ind w:left="113" w:right="113"/>
              <w:jc w:val="center"/>
              <w:rPr>
                <w:rFonts w:asciiTheme="majorHAnsi" w:hAnsiTheme="majorHAnsi" w:cs="Arial"/>
                <w:b/>
                <w:lang w:val="pt-BR"/>
              </w:rPr>
            </w:pPr>
            <w:r w:rsidRPr="000A3626">
              <w:rPr>
                <w:rFonts w:asciiTheme="majorHAnsi" w:hAnsiTheme="majorHAnsi" w:cs="Arial"/>
                <w:b/>
                <w:lang w:val="pt-BR"/>
              </w:rPr>
              <w:t>RELATÓRIOS FINAIS</w:t>
            </w:r>
          </w:p>
        </w:tc>
        <w:tc>
          <w:tcPr>
            <w:tcW w:w="1894" w:type="pct"/>
            <w:vMerge w:val="restart"/>
            <w:shd w:val="clear" w:color="auto" w:fill="99CC00"/>
            <w:vAlign w:val="center"/>
          </w:tcPr>
          <w:p w14:paraId="6213AB25" w14:textId="77777777" w:rsidR="00953C7D" w:rsidRPr="000A3626" w:rsidRDefault="00953C7D" w:rsidP="000A3626">
            <w:pPr>
              <w:pStyle w:val="itemx"/>
              <w:keepNext/>
              <w:numPr>
                <w:ilvl w:val="0"/>
                <w:numId w:val="0"/>
              </w:numPr>
              <w:tabs>
                <w:tab w:val="left" w:pos="1122"/>
              </w:tabs>
              <w:spacing w:before="0" w:after="0"/>
              <w:rPr>
                <w:rFonts w:asciiTheme="majorHAnsi" w:hAnsiTheme="majorHAnsi" w:cs="Arial"/>
                <w:lang w:val="pt-BR"/>
              </w:rPr>
            </w:pPr>
            <w:r w:rsidRPr="000A3626">
              <w:rPr>
                <w:rFonts w:asciiTheme="majorHAnsi" w:hAnsiTheme="majorHAnsi" w:cs="Arial"/>
                <w:lang w:val="pt-BR"/>
              </w:rPr>
              <w:t>Intenção Formal de Finalização das Operações de Resposta</w:t>
            </w:r>
          </w:p>
        </w:tc>
        <w:tc>
          <w:tcPr>
            <w:tcW w:w="1795" w:type="pct"/>
            <w:shd w:val="clear" w:color="auto" w:fill="D9D9D9" w:themeFill="background1" w:themeFillShade="D9"/>
            <w:vAlign w:val="center"/>
          </w:tcPr>
          <w:p w14:paraId="27999837" w14:textId="77777777"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theme="majorHAnsi"/>
                <w:lang w:val="pt-BR"/>
              </w:rPr>
              <w:t>Capitania dos Portos de Macapá</w:t>
            </w:r>
          </w:p>
        </w:tc>
        <w:tc>
          <w:tcPr>
            <w:tcW w:w="924" w:type="pct"/>
            <w:vMerge w:val="restart"/>
            <w:shd w:val="clear" w:color="auto" w:fill="D9D9D9" w:themeFill="background1" w:themeFillShade="D9"/>
            <w:vAlign w:val="center"/>
          </w:tcPr>
          <w:p w14:paraId="4A712D6D" w14:textId="48FA38ED" w:rsidR="00953C7D" w:rsidRPr="000A3626" w:rsidRDefault="00953C7D" w:rsidP="00F02324">
            <w:pPr>
              <w:pStyle w:val="itemx"/>
              <w:numPr>
                <w:ilvl w:val="0"/>
                <w:numId w:val="0"/>
              </w:numPr>
              <w:tabs>
                <w:tab w:val="left" w:pos="1122"/>
              </w:tabs>
              <w:spacing w:before="0" w:after="0"/>
              <w:jc w:val="center"/>
              <w:rPr>
                <w:rFonts w:asciiTheme="majorHAnsi" w:hAnsiTheme="majorHAnsi" w:cstheme="majorHAnsi"/>
                <w:lang w:val="pt-BR"/>
              </w:rPr>
            </w:pPr>
            <w:r w:rsidRPr="000A3626">
              <w:rPr>
                <w:rFonts w:asciiTheme="majorHAnsi" w:hAnsiTheme="majorHAnsi" w:cstheme="majorHAnsi"/>
                <w:b/>
                <w:lang w:val="pt-BR"/>
              </w:rPr>
              <w:t xml:space="preserve">Anterior ao final das operações com base nos critérios apresentados no </w:t>
            </w:r>
            <w:r w:rsidR="00F02324">
              <w:rPr>
                <w:rFonts w:asciiTheme="majorHAnsi" w:hAnsiTheme="majorHAnsi" w:cstheme="majorHAnsi"/>
                <w:b/>
                <w:lang w:val="pt-BR"/>
              </w:rPr>
              <w:t xml:space="preserve">Capítulo </w:t>
            </w:r>
            <w:r w:rsidRPr="000A3626">
              <w:rPr>
                <w:rFonts w:asciiTheme="majorHAnsi" w:hAnsiTheme="majorHAnsi" w:cstheme="majorHAnsi"/>
                <w:b/>
                <w:lang w:val="pt-BR"/>
              </w:rPr>
              <w:fldChar w:fldCharType="begin"/>
            </w:r>
            <w:r w:rsidRPr="000A3626">
              <w:rPr>
                <w:rFonts w:asciiTheme="majorHAnsi" w:hAnsiTheme="majorHAnsi" w:cstheme="majorHAnsi"/>
                <w:b/>
                <w:lang w:val="pt-BR"/>
              </w:rPr>
              <w:instrText xml:space="preserve"> REF _Ref414455170 \r \h </w:instrText>
            </w:r>
            <w:r w:rsidR="000A3626" w:rsidRPr="000A3626">
              <w:rPr>
                <w:rFonts w:asciiTheme="majorHAnsi" w:hAnsiTheme="majorHAnsi" w:cstheme="majorHAnsi"/>
                <w:b/>
                <w:lang w:val="pt-BR"/>
              </w:rPr>
              <w:instrText xml:space="preserve"> \* MERGEFORMAT </w:instrText>
            </w:r>
            <w:r w:rsidRPr="000A3626">
              <w:rPr>
                <w:rFonts w:asciiTheme="majorHAnsi" w:hAnsiTheme="majorHAnsi" w:cstheme="majorHAnsi"/>
                <w:b/>
                <w:lang w:val="pt-BR"/>
              </w:rPr>
            </w:r>
            <w:r w:rsidRPr="000A3626">
              <w:rPr>
                <w:rFonts w:asciiTheme="majorHAnsi" w:hAnsiTheme="majorHAnsi" w:cstheme="majorHAnsi"/>
                <w:b/>
                <w:lang w:val="pt-BR"/>
              </w:rPr>
              <w:fldChar w:fldCharType="separate"/>
            </w:r>
            <w:r w:rsidR="00897470">
              <w:rPr>
                <w:rFonts w:asciiTheme="majorHAnsi" w:hAnsiTheme="majorHAnsi" w:cstheme="majorHAnsi"/>
                <w:b/>
                <w:lang w:val="pt-BR"/>
              </w:rPr>
              <w:t>10</w:t>
            </w:r>
            <w:r w:rsidRPr="000A3626">
              <w:rPr>
                <w:rFonts w:asciiTheme="majorHAnsi" w:hAnsiTheme="majorHAnsi" w:cstheme="majorHAnsi"/>
                <w:b/>
                <w:lang w:val="pt-BR"/>
              </w:rPr>
              <w:fldChar w:fldCharType="end"/>
            </w:r>
            <w:r w:rsidR="00F02324">
              <w:rPr>
                <w:rFonts w:asciiTheme="majorHAnsi" w:hAnsiTheme="majorHAnsi" w:cstheme="majorHAnsi"/>
                <w:b/>
                <w:lang w:val="pt-BR"/>
              </w:rPr>
              <w:t xml:space="preserve"> deste Plano</w:t>
            </w:r>
          </w:p>
        </w:tc>
      </w:tr>
      <w:tr w:rsidR="00953C7D" w:rsidRPr="000A3626" w14:paraId="2A3C8D44" w14:textId="77777777" w:rsidTr="00953C7D">
        <w:trPr>
          <w:trHeight w:val="247"/>
        </w:trPr>
        <w:tc>
          <w:tcPr>
            <w:tcW w:w="387" w:type="pct"/>
            <w:vMerge/>
            <w:shd w:val="clear" w:color="auto" w:fill="99CC00"/>
            <w:textDirection w:val="btLr"/>
            <w:vAlign w:val="center"/>
          </w:tcPr>
          <w:p w14:paraId="602866F1" w14:textId="77777777" w:rsidR="00953C7D" w:rsidRPr="000A3626" w:rsidRDefault="00953C7D" w:rsidP="000A3626">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09020DC9"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2ED79084" w14:textId="44D8AC3E" w:rsidR="00953C7D" w:rsidRPr="000A3626" w:rsidRDefault="00953C7D" w:rsidP="00F02324">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shd w:val="clear" w:color="auto" w:fill="D9D9D9" w:themeFill="background1" w:themeFillShade="D9"/>
          </w:tcPr>
          <w:p w14:paraId="1ECFF025"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4DD4C553" w14:textId="77777777" w:rsidTr="00953C7D">
        <w:trPr>
          <w:trHeight w:val="247"/>
        </w:trPr>
        <w:tc>
          <w:tcPr>
            <w:tcW w:w="387" w:type="pct"/>
            <w:vMerge/>
            <w:shd w:val="clear" w:color="auto" w:fill="99CC00"/>
            <w:textDirection w:val="btLr"/>
            <w:vAlign w:val="center"/>
          </w:tcPr>
          <w:p w14:paraId="70042AAA" w14:textId="77777777" w:rsidR="00953C7D" w:rsidRPr="000A3626" w:rsidRDefault="00953C7D" w:rsidP="000A3626">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6AE5A81A"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076EE077"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43A5E1D0"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7AADC3B5" w14:textId="77777777" w:rsidTr="00953C7D">
        <w:trPr>
          <w:trHeight w:val="176"/>
        </w:trPr>
        <w:tc>
          <w:tcPr>
            <w:tcW w:w="387" w:type="pct"/>
            <w:vMerge/>
            <w:shd w:val="clear" w:color="auto" w:fill="99CC00"/>
            <w:textDirection w:val="btLr"/>
            <w:vAlign w:val="center"/>
          </w:tcPr>
          <w:p w14:paraId="76A2D60B" w14:textId="77777777" w:rsidR="00953C7D" w:rsidRPr="000A3626" w:rsidRDefault="00953C7D" w:rsidP="000A3626">
            <w:pPr>
              <w:pStyle w:val="itemx"/>
              <w:tabs>
                <w:tab w:val="left" w:pos="1122"/>
              </w:tabs>
              <w:spacing w:before="0" w:after="0"/>
              <w:ind w:left="113" w:right="113"/>
              <w:jc w:val="left"/>
              <w:rPr>
                <w:rFonts w:asciiTheme="majorHAnsi" w:hAnsiTheme="majorHAnsi" w:cs="Arial"/>
                <w:b/>
                <w:lang w:val="pt-BR"/>
              </w:rPr>
            </w:pPr>
          </w:p>
        </w:tc>
        <w:tc>
          <w:tcPr>
            <w:tcW w:w="1894" w:type="pct"/>
            <w:vMerge/>
            <w:shd w:val="clear" w:color="auto" w:fill="99CC00"/>
            <w:vAlign w:val="center"/>
          </w:tcPr>
          <w:p w14:paraId="5FFA5C7B"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22BAB786"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p>
        </w:tc>
        <w:tc>
          <w:tcPr>
            <w:tcW w:w="924" w:type="pct"/>
            <w:vMerge/>
            <w:shd w:val="clear" w:color="auto" w:fill="D9D9D9" w:themeFill="background1" w:themeFillShade="D9"/>
          </w:tcPr>
          <w:p w14:paraId="701F452D"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3C9CECC9" w14:textId="77777777" w:rsidTr="00953C7D">
        <w:trPr>
          <w:trHeight w:val="247"/>
        </w:trPr>
        <w:tc>
          <w:tcPr>
            <w:tcW w:w="387" w:type="pct"/>
            <w:vMerge/>
            <w:shd w:val="clear" w:color="auto" w:fill="99CC00"/>
            <w:textDirection w:val="btLr"/>
            <w:vAlign w:val="center"/>
          </w:tcPr>
          <w:p w14:paraId="7739FA66" w14:textId="77777777" w:rsidR="00953C7D" w:rsidRPr="000A3626" w:rsidRDefault="00953C7D" w:rsidP="000A3626">
            <w:pPr>
              <w:pStyle w:val="itemx"/>
              <w:numPr>
                <w:ilvl w:val="0"/>
                <w:numId w:val="0"/>
              </w:numPr>
              <w:tabs>
                <w:tab w:val="left" w:pos="1122"/>
              </w:tabs>
              <w:spacing w:before="0" w:after="0"/>
              <w:ind w:left="113" w:right="113"/>
              <w:jc w:val="left"/>
              <w:rPr>
                <w:rFonts w:asciiTheme="majorHAnsi" w:hAnsiTheme="majorHAnsi" w:cs="Arial"/>
                <w:b/>
                <w:lang w:val="pt-BR"/>
              </w:rPr>
            </w:pPr>
          </w:p>
        </w:tc>
        <w:tc>
          <w:tcPr>
            <w:tcW w:w="1894" w:type="pct"/>
            <w:vMerge w:val="restart"/>
            <w:shd w:val="clear" w:color="auto" w:fill="99CC00"/>
            <w:vAlign w:val="center"/>
          </w:tcPr>
          <w:p w14:paraId="064820CE"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 xml:space="preserve">Relatório final de avaliação com a análise crítica do desempenho do PEI (de acordo com a Resolução Conama nº 398/08, Art. 7 º - parágrafo único) </w:t>
            </w:r>
          </w:p>
        </w:tc>
        <w:tc>
          <w:tcPr>
            <w:tcW w:w="1795" w:type="pct"/>
            <w:shd w:val="clear" w:color="auto" w:fill="D9D9D9" w:themeFill="background1" w:themeFillShade="D9"/>
            <w:vAlign w:val="center"/>
          </w:tcPr>
          <w:p w14:paraId="181F3B28" w14:textId="22D32BB8" w:rsidR="00953C7D" w:rsidRPr="000A3626" w:rsidRDefault="00953C7D" w:rsidP="00F02324">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IBAMA (CGEMA &amp; C</w:t>
            </w:r>
            <w:r w:rsidR="00F02324">
              <w:rPr>
                <w:rFonts w:asciiTheme="majorHAnsi" w:hAnsiTheme="majorHAnsi" w:cs="Arial"/>
                <w:lang w:val="pt-BR"/>
              </w:rPr>
              <w:t>OEXP</w:t>
            </w:r>
            <w:r w:rsidRPr="000A3626">
              <w:rPr>
                <w:rFonts w:asciiTheme="majorHAnsi" w:hAnsiTheme="majorHAnsi" w:cs="Arial"/>
                <w:lang w:val="pt-BR"/>
              </w:rPr>
              <w:t>)</w:t>
            </w:r>
          </w:p>
        </w:tc>
        <w:tc>
          <w:tcPr>
            <w:tcW w:w="924" w:type="pct"/>
            <w:vMerge w:val="restart"/>
            <w:shd w:val="clear" w:color="auto" w:fill="D9D9D9" w:themeFill="background1" w:themeFillShade="D9"/>
            <w:vAlign w:val="center"/>
          </w:tcPr>
          <w:p w14:paraId="012D297A" w14:textId="77777777" w:rsidR="00953C7D" w:rsidRPr="000A3626" w:rsidRDefault="00953C7D" w:rsidP="000A3626">
            <w:pPr>
              <w:pStyle w:val="itemx"/>
              <w:numPr>
                <w:ilvl w:val="0"/>
                <w:numId w:val="0"/>
              </w:numPr>
              <w:tabs>
                <w:tab w:val="left" w:pos="1122"/>
              </w:tabs>
              <w:spacing w:before="0" w:after="0"/>
              <w:jc w:val="center"/>
              <w:rPr>
                <w:rFonts w:asciiTheme="majorHAnsi" w:hAnsiTheme="majorHAnsi" w:cs="Arial"/>
                <w:lang w:val="pt-BR"/>
              </w:rPr>
            </w:pPr>
            <w:r w:rsidRPr="000A3626">
              <w:rPr>
                <w:rFonts w:asciiTheme="majorHAnsi" w:hAnsiTheme="majorHAnsi" w:cstheme="majorHAnsi"/>
                <w:b/>
                <w:lang w:val="pt-BR"/>
              </w:rPr>
              <w:t>Em até 30 dias após o final das ações de resposta</w:t>
            </w:r>
          </w:p>
        </w:tc>
      </w:tr>
      <w:tr w:rsidR="00953C7D" w:rsidRPr="000A3626" w14:paraId="5B6875D9" w14:textId="77777777" w:rsidTr="00953C7D">
        <w:trPr>
          <w:trHeight w:val="247"/>
        </w:trPr>
        <w:tc>
          <w:tcPr>
            <w:tcW w:w="387" w:type="pct"/>
            <w:vMerge/>
            <w:shd w:val="clear" w:color="auto" w:fill="99CC00"/>
            <w:vAlign w:val="center"/>
          </w:tcPr>
          <w:p w14:paraId="6B34AF17"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894" w:type="pct"/>
            <w:vMerge/>
            <w:shd w:val="clear" w:color="auto" w:fill="99CC00"/>
            <w:vAlign w:val="center"/>
          </w:tcPr>
          <w:p w14:paraId="5F2DE304"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795" w:type="pct"/>
            <w:shd w:val="clear" w:color="auto" w:fill="D9D9D9" w:themeFill="background1" w:themeFillShade="D9"/>
            <w:vAlign w:val="center"/>
          </w:tcPr>
          <w:p w14:paraId="7E6AEC63"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SEMA (Secretaria Estadual do Meio Ambiente do Estado do Amapá)</w:t>
            </w:r>
          </w:p>
        </w:tc>
        <w:tc>
          <w:tcPr>
            <w:tcW w:w="924" w:type="pct"/>
            <w:vMerge/>
            <w:shd w:val="clear" w:color="auto" w:fill="D9D9D9" w:themeFill="background1" w:themeFillShade="D9"/>
          </w:tcPr>
          <w:p w14:paraId="66FB8D4B"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2605FA38" w14:textId="77777777" w:rsidTr="00953C7D">
        <w:trPr>
          <w:trHeight w:val="281"/>
        </w:trPr>
        <w:tc>
          <w:tcPr>
            <w:tcW w:w="387" w:type="pct"/>
            <w:vMerge/>
            <w:shd w:val="clear" w:color="auto" w:fill="99CC00"/>
            <w:vAlign w:val="center"/>
          </w:tcPr>
          <w:p w14:paraId="517DEC7C"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c>
          <w:tcPr>
            <w:tcW w:w="1894" w:type="pct"/>
            <w:shd w:val="clear" w:color="auto" w:fill="99CC00"/>
            <w:vAlign w:val="center"/>
          </w:tcPr>
          <w:p w14:paraId="66E6250A" w14:textId="77777777"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Relatório Detalhado do Incidente na plataforma do SISO (de acordo com a Resolução ANP Nº 44/09, Art. 3 e Anexo II)</w:t>
            </w:r>
          </w:p>
        </w:tc>
        <w:tc>
          <w:tcPr>
            <w:tcW w:w="1795" w:type="pct"/>
            <w:shd w:val="clear" w:color="auto" w:fill="D9D9D9" w:themeFill="background1" w:themeFillShade="D9"/>
            <w:vAlign w:val="center"/>
          </w:tcPr>
          <w:p w14:paraId="2627E23A" w14:textId="77777777" w:rsidR="00953C7D" w:rsidRPr="000A3626" w:rsidRDefault="00953C7D" w:rsidP="000A3626">
            <w:pPr>
              <w:pStyle w:val="itemx"/>
              <w:keepNext/>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w:t>
            </w:r>
          </w:p>
        </w:tc>
        <w:tc>
          <w:tcPr>
            <w:tcW w:w="924" w:type="pct"/>
            <w:vMerge w:val="restart"/>
            <w:shd w:val="clear" w:color="auto" w:fill="D9D9D9" w:themeFill="background1" w:themeFillShade="D9"/>
            <w:vAlign w:val="center"/>
          </w:tcPr>
          <w:p w14:paraId="631E8CA1" w14:textId="7BEDEC5F" w:rsidR="00953C7D" w:rsidRPr="000A3626" w:rsidRDefault="00953C7D" w:rsidP="000A3626">
            <w:pPr>
              <w:pStyle w:val="itemx"/>
              <w:keepNext/>
              <w:numPr>
                <w:ilvl w:val="0"/>
                <w:numId w:val="0"/>
              </w:numPr>
              <w:tabs>
                <w:tab w:val="left" w:pos="1122"/>
              </w:tabs>
              <w:spacing w:before="0" w:after="0"/>
              <w:jc w:val="center"/>
              <w:rPr>
                <w:rFonts w:asciiTheme="majorHAnsi" w:hAnsiTheme="majorHAnsi" w:cs="Arial"/>
                <w:lang w:val="pt-BR"/>
              </w:rPr>
            </w:pPr>
            <w:r w:rsidRPr="000A3626">
              <w:rPr>
                <w:rFonts w:asciiTheme="majorHAnsi" w:hAnsiTheme="majorHAnsi" w:cstheme="majorHAnsi"/>
                <w:b/>
                <w:lang w:val="pt-BR"/>
              </w:rPr>
              <w:t xml:space="preserve">Em até 30 dias </w:t>
            </w:r>
            <w:r w:rsidR="000A3626">
              <w:rPr>
                <w:rFonts w:asciiTheme="majorHAnsi" w:hAnsiTheme="majorHAnsi" w:cstheme="majorHAnsi"/>
                <w:b/>
                <w:lang w:val="pt-BR"/>
              </w:rPr>
              <w:t>a partir da comunicação inicial</w:t>
            </w:r>
            <w:r w:rsidR="00F02324">
              <w:rPr>
                <w:rFonts w:asciiTheme="majorHAnsi" w:hAnsiTheme="majorHAnsi" w:cstheme="majorHAnsi"/>
                <w:b/>
                <w:vertAlign w:val="superscript"/>
                <w:lang w:val="pt-BR"/>
              </w:rPr>
              <w:t>7</w:t>
            </w:r>
          </w:p>
        </w:tc>
      </w:tr>
      <w:tr w:rsidR="00953C7D" w:rsidRPr="000A3626" w14:paraId="529840F4" w14:textId="77777777" w:rsidTr="00953C7D">
        <w:trPr>
          <w:trHeight w:val="396"/>
        </w:trPr>
        <w:tc>
          <w:tcPr>
            <w:tcW w:w="387" w:type="pct"/>
            <w:vMerge/>
            <w:shd w:val="clear" w:color="auto" w:fill="99CC00"/>
            <w:vAlign w:val="center"/>
          </w:tcPr>
          <w:p w14:paraId="4E5D083D"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b/>
                <w:lang w:val="pt-BR"/>
              </w:rPr>
            </w:pPr>
          </w:p>
        </w:tc>
        <w:tc>
          <w:tcPr>
            <w:tcW w:w="1894" w:type="pct"/>
            <w:shd w:val="clear" w:color="auto" w:fill="99CC00"/>
            <w:vAlign w:val="center"/>
          </w:tcPr>
          <w:p w14:paraId="6211FA74"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Relatório Detalhado do Incidente (de acordo com a Resolução ANP Nº 44/09, Art. 3 e Anexo II)</w:t>
            </w:r>
          </w:p>
        </w:tc>
        <w:tc>
          <w:tcPr>
            <w:tcW w:w="1795" w:type="pct"/>
            <w:shd w:val="clear" w:color="auto" w:fill="D9D9D9" w:themeFill="background1" w:themeFillShade="D9"/>
            <w:vAlign w:val="center"/>
          </w:tcPr>
          <w:p w14:paraId="66C21C5D"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r w:rsidRPr="000A3626">
              <w:rPr>
                <w:rFonts w:asciiTheme="majorHAnsi" w:hAnsiTheme="majorHAnsi" w:cs="Arial"/>
                <w:lang w:val="pt-BR"/>
              </w:rPr>
              <w:t>ANP – se SISO inoperante</w:t>
            </w:r>
          </w:p>
        </w:tc>
        <w:tc>
          <w:tcPr>
            <w:tcW w:w="924" w:type="pct"/>
            <w:vMerge/>
            <w:shd w:val="clear" w:color="auto" w:fill="D9D9D9" w:themeFill="background1" w:themeFillShade="D9"/>
          </w:tcPr>
          <w:p w14:paraId="3FC70F06" w14:textId="77777777" w:rsidR="00953C7D" w:rsidRPr="000A3626" w:rsidRDefault="00953C7D" w:rsidP="000A3626">
            <w:pPr>
              <w:pStyle w:val="itemx"/>
              <w:numPr>
                <w:ilvl w:val="0"/>
                <w:numId w:val="0"/>
              </w:numPr>
              <w:tabs>
                <w:tab w:val="left" w:pos="1122"/>
              </w:tabs>
              <w:spacing w:before="0" w:after="0"/>
              <w:jc w:val="left"/>
              <w:rPr>
                <w:rFonts w:asciiTheme="majorHAnsi" w:hAnsiTheme="majorHAnsi" w:cs="Arial"/>
                <w:lang w:val="pt-BR"/>
              </w:rPr>
            </w:pPr>
          </w:p>
        </w:tc>
      </w:tr>
      <w:tr w:rsidR="00953C7D" w:rsidRPr="000A3626" w14:paraId="55E33C76" w14:textId="77777777" w:rsidTr="00953C7D">
        <w:trPr>
          <w:trHeight w:val="764"/>
        </w:trPr>
        <w:tc>
          <w:tcPr>
            <w:tcW w:w="5000" w:type="pct"/>
            <w:gridSpan w:val="4"/>
            <w:shd w:val="clear" w:color="auto" w:fill="FFFFFF" w:themeFill="background1"/>
            <w:vAlign w:val="center"/>
          </w:tcPr>
          <w:p w14:paraId="5F122FB3" w14:textId="77777777" w:rsidR="00F02324" w:rsidRDefault="000A3626" w:rsidP="00F02324">
            <w:pPr>
              <w:pStyle w:val="itemx"/>
              <w:numPr>
                <w:ilvl w:val="0"/>
                <w:numId w:val="0"/>
              </w:numPr>
              <w:tabs>
                <w:tab w:val="left" w:pos="1170"/>
              </w:tabs>
              <w:spacing w:before="0" w:after="0"/>
              <w:ind w:left="900" w:hanging="900"/>
              <w:rPr>
                <w:rFonts w:asciiTheme="majorHAnsi" w:hAnsiTheme="majorHAnsi" w:cs="Arial"/>
                <w:lang w:val="pt-BR"/>
              </w:rPr>
            </w:pPr>
            <w:r w:rsidRPr="000A3626">
              <w:rPr>
                <w:rFonts w:asciiTheme="majorHAnsi" w:hAnsiTheme="majorHAnsi" w:cs="Arial"/>
                <w:b/>
                <w:lang w:val="pt-BR"/>
              </w:rPr>
              <w:t>Legenda:</w:t>
            </w:r>
            <w:r>
              <w:rPr>
                <w:rFonts w:asciiTheme="majorHAnsi" w:hAnsiTheme="majorHAnsi" w:cs="Arial"/>
                <w:lang w:val="pt-BR"/>
              </w:rPr>
              <w:t xml:space="preserve"> </w:t>
            </w:r>
            <w:r w:rsidR="00953C7D" w:rsidRPr="000A3626">
              <w:rPr>
                <w:rFonts w:asciiTheme="majorHAnsi" w:hAnsiTheme="majorHAnsi" w:cs="Arial"/>
                <w:vertAlign w:val="superscript"/>
                <w:lang w:val="pt-BR"/>
              </w:rPr>
              <w:t>1</w:t>
            </w:r>
            <w:r w:rsidR="00953C7D" w:rsidRPr="000A3626">
              <w:rPr>
                <w:rFonts w:asciiTheme="majorHAnsi" w:hAnsiTheme="majorHAnsi" w:cs="Arial"/>
                <w:lang w:val="pt-BR"/>
              </w:rPr>
              <w:t xml:space="preserve"> Considerado como o prazo necessário para coletar informações iniciais confiáveis (principalmente as do formulário/Relatório Geral do Incidente) e recolher as aprovações para sua liberação,</w:t>
            </w:r>
            <w:r w:rsidR="000C4B02">
              <w:rPr>
                <w:rFonts w:asciiTheme="majorHAnsi" w:hAnsiTheme="majorHAnsi" w:cs="Arial"/>
                <w:lang w:val="pt-BR"/>
              </w:rPr>
              <w:t xml:space="preserve"> conforme procedimento definido; </w:t>
            </w:r>
          </w:p>
          <w:p w14:paraId="60A96EF2" w14:textId="57BCD48C" w:rsidR="00F02324" w:rsidRDefault="00F02324" w:rsidP="00F02324">
            <w:pPr>
              <w:pStyle w:val="itemx"/>
              <w:numPr>
                <w:ilvl w:val="0"/>
                <w:numId w:val="0"/>
              </w:numPr>
              <w:tabs>
                <w:tab w:val="left" w:pos="1170"/>
              </w:tabs>
              <w:spacing w:before="0" w:after="0"/>
              <w:ind w:left="900"/>
              <w:rPr>
                <w:rFonts w:asciiTheme="majorHAnsi" w:hAnsiTheme="majorHAnsi" w:cs="Arial"/>
                <w:lang w:val="pt-BR"/>
              </w:rPr>
            </w:pPr>
            <w:r w:rsidRPr="00F02324">
              <w:rPr>
                <w:rFonts w:asciiTheme="majorHAnsi" w:hAnsiTheme="majorHAnsi" w:cs="Arial"/>
                <w:vertAlign w:val="superscript"/>
                <w:lang w:val="pt-BR"/>
              </w:rPr>
              <w:t>2</w:t>
            </w:r>
            <w:r>
              <w:rPr>
                <w:rFonts w:asciiTheme="majorHAnsi" w:hAnsiTheme="majorHAnsi" w:cs="Arial"/>
                <w:lang w:val="pt-BR"/>
              </w:rPr>
              <w:t xml:space="preserve">  De acordo com a natureza do incidente, o prazo de comunicação é classificado, e informações necessárias, determinadas conforme expresso na versão 3 do Manual de Comunicação de Incidentes de Exploração e Produção de Petróleo e Gás Natural (MCI), da SSM/ANP.</w:t>
            </w:r>
          </w:p>
          <w:p w14:paraId="3205E219" w14:textId="03275BDB" w:rsidR="00F02324" w:rsidRDefault="00F02324" w:rsidP="00F02324">
            <w:pPr>
              <w:pStyle w:val="itemx"/>
              <w:numPr>
                <w:ilvl w:val="0"/>
                <w:numId w:val="0"/>
              </w:numPr>
              <w:tabs>
                <w:tab w:val="left" w:pos="900"/>
              </w:tabs>
              <w:spacing w:before="0" w:after="0"/>
              <w:ind w:left="900"/>
              <w:rPr>
                <w:rFonts w:asciiTheme="majorHAnsi" w:hAnsiTheme="majorHAnsi" w:cstheme="majorHAnsi"/>
                <w:lang w:val="pt-BR"/>
              </w:rPr>
            </w:pPr>
            <w:r>
              <w:rPr>
                <w:rFonts w:asciiTheme="majorHAnsi" w:hAnsiTheme="majorHAnsi" w:cs="Arial"/>
                <w:vertAlign w:val="superscript"/>
                <w:lang w:val="pt-BR"/>
              </w:rPr>
              <w:t>3</w:t>
            </w:r>
            <w:r w:rsidR="00953C7D" w:rsidRPr="000A3626">
              <w:rPr>
                <w:rFonts w:asciiTheme="majorHAnsi" w:hAnsiTheme="majorHAnsi" w:cs="Arial"/>
                <w:lang w:val="pt-BR"/>
              </w:rPr>
              <w:t xml:space="preserve"> Para </w:t>
            </w:r>
            <w:r w:rsidR="00953C7D" w:rsidRPr="000A3626">
              <w:rPr>
                <w:rFonts w:asciiTheme="majorHAnsi" w:hAnsiTheme="majorHAnsi" w:cstheme="majorHAnsi"/>
                <w:lang w:val="pt-BR"/>
              </w:rPr>
              <w:t>eventos incidentais que causem derramamentos com descargas iguais ou superiores às Descargas Médias (Tiers 2 e 3) de ól</w:t>
            </w:r>
            <w:r w:rsidR="000C4B02">
              <w:rPr>
                <w:rFonts w:asciiTheme="majorHAnsi" w:hAnsiTheme="majorHAnsi" w:cstheme="majorHAnsi"/>
                <w:lang w:val="pt-BR"/>
              </w:rPr>
              <w:t xml:space="preserve">eo ou fluido de base não aquosa; </w:t>
            </w:r>
          </w:p>
          <w:p w14:paraId="0E94A5BD" w14:textId="77777777" w:rsidR="00F02324" w:rsidRPr="00CB0082" w:rsidRDefault="00F02324" w:rsidP="00F02324">
            <w:pPr>
              <w:pStyle w:val="itemx"/>
              <w:numPr>
                <w:ilvl w:val="0"/>
                <w:numId w:val="0"/>
              </w:numPr>
              <w:tabs>
                <w:tab w:val="left" w:pos="1122"/>
              </w:tabs>
              <w:spacing w:before="0" w:after="0"/>
              <w:ind w:left="851"/>
              <w:rPr>
                <w:rFonts w:asciiTheme="majorHAnsi" w:hAnsiTheme="majorHAnsi" w:cs="Arial"/>
                <w:lang w:val="pt-BR"/>
              </w:rPr>
            </w:pPr>
            <w:r w:rsidRPr="00695567">
              <w:rPr>
                <w:rFonts w:asciiTheme="majorHAnsi" w:hAnsiTheme="majorHAnsi" w:cs="Arial"/>
                <w:vertAlign w:val="superscript"/>
                <w:lang w:val="pt-BR"/>
              </w:rPr>
              <w:lastRenderedPageBreak/>
              <w:t>4</w:t>
            </w:r>
            <w:r>
              <w:rPr>
                <w:rFonts w:asciiTheme="majorHAnsi" w:hAnsiTheme="majorHAnsi" w:cs="Arial"/>
                <w:lang w:val="pt-BR"/>
              </w:rPr>
              <w:t xml:space="preserve"> Conforme descrito MCI, as atualizações de um cenário acidental a ANP devem ser enviadas a cada 12 horas até o final do incidente. Caso surja uma informação considerada relevante, esta deverá ser enviada de imediato, não sendo necessário aguardar o prazo estipulado para atualização. É entendimento da BP Energy, que esta comunicação extra não interfere na periodicidade definida anteriormente para as atualizações. </w:t>
            </w:r>
          </w:p>
          <w:p w14:paraId="17FB867A" w14:textId="77777777" w:rsidR="00F02324" w:rsidRDefault="00F02324" w:rsidP="00F02324">
            <w:pPr>
              <w:pStyle w:val="itemx"/>
              <w:numPr>
                <w:ilvl w:val="0"/>
                <w:numId w:val="0"/>
              </w:numPr>
              <w:tabs>
                <w:tab w:val="left" w:pos="0"/>
              </w:tabs>
              <w:spacing w:before="0" w:after="0"/>
              <w:ind w:firstLine="900"/>
              <w:rPr>
                <w:rFonts w:asciiTheme="majorHAnsi" w:hAnsiTheme="majorHAnsi" w:cs="Arial"/>
                <w:vertAlign w:val="superscript"/>
                <w:lang w:val="pt-BR"/>
              </w:rPr>
            </w:pPr>
          </w:p>
          <w:p w14:paraId="26AED95F" w14:textId="77777777" w:rsidR="00F02324" w:rsidRDefault="00F02324" w:rsidP="00F02324">
            <w:pPr>
              <w:pStyle w:val="itemx"/>
              <w:numPr>
                <w:ilvl w:val="0"/>
                <w:numId w:val="0"/>
              </w:numPr>
              <w:tabs>
                <w:tab w:val="left" w:pos="900"/>
              </w:tabs>
              <w:spacing w:before="0" w:after="0"/>
              <w:ind w:left="900"/>
              <w:rPr>
                <w:rFonts w:asciiTheme="majorHAnsi" w:hAnsiTheme="majorHAnsi" w:cs="Arial"/>
                <w:lang w:val="pt-BR"/>
              </w:rPr>
            </w:pPr>
            <w:r>
              <w:rPr>
                <w:rFonts w:asciiTheme="majorHAnsi" w:hAnsiTheme="majorHAnsi" w:cs="Arial"/>
                <w:vertAlign w:val="superscript"/>
                <w:lang w:val="pt-BR"/>
              </w:rPr>
              <w:t>5</w:t>
            </w:r>
            <w:r w:rsidR="00953C7D" w:rsidRPr="000A3626">
              <w:rPr>
                <w:rFonts w:asciiTheme="majorHAnsi" w:hAnsiTheme="majorHAnsi" w:cs="Arial"/>
                <w:lang w:val="pt-BR"/>
              </w:rPr>
              <w:t xml:space="preserve"> Emitido diariamente, começando nas primeiras 72 horas a partir da ocorrência do incidente. A frequência de emissão pode ser revista se o evento diminuir sua magnitude e se aprovado p</w:t>
            </w:r>
            <w:r w:rsidR="000C4B02">
              <w:rPr>
                <w:rFonts w:asciiTheme="majorHAnsi" w:hAnsiTheme="majorHAnsi" w:cs="Arial"/>
                <w:lang w:val="pt-BR"/>
              </w:rPr>
              <w:t xml:space="preserve">elas autoridades destinatárias; </w:t>
            </w:r>
          </w:p>
          <w:p w14:paraId="18957C3C" w14:textId="2DA6DEBB" w:rsidR="00F02324" w:rsidRDefault="00F02324" w:rsidP="00F02324">
            <w:pPr>
              <w:pStyle w:val="itemx"/>
              <w:numPr>
                <w:ilvl w:val="0"/>
                <w:numId w:val="0"/>
              </w:numPr>
              <w:tabs>
                <w:tab w:val="left" w:pos="900"/>
              </w:tabs>
              <w:spacing w:before="0" w:after="0"/>
              <w:ind w:left="900"/>
              <w:rPr>
                <w:rFonts w:asciiTheme="majorHAnsi" w:hAnsiTheme="majorHAnsi" w:cs="Arial"/>
                <w:lang w:val="pt-BR"/>
              </w:rPr>
            </w:pPr>
            <w:r>
              <w:rPr>
                <w:rFonts w:asciiTheme="majorHAnsi" w:hAnsiTheme="majorHAnsi" w:cs="Arial"/>
                <w:vertAlign w:val="superscript"/>
                <w:lang w:val="pt-BR"/>
              </w:rPr>
              <w:t>6</w:t>
            </w:r>
            <w:r w:rsidR="00953C7D" w:rsidRPr="000A3626">
              <w:rPr>
                <w:rFonts w:asciiTheme="majorHAnsi" w:hAnsiTheme="majorHAnsi" w:cs="Arial"/>
                <w:lang w:val="pt-BR"/>
              </w:rPr>
              <w:t xml:space="preserve"> Feito com antecedência, para dar a oportunidade às agências ambientais competentes de tomar todas as medidas necessárias para acompanhar e/ou monitorar esta operação d</w:t>
            </w:r>
            <w:r w:rsidR="000C4B02">
              <w:rPr>
                <w:rFonts w:asciiTheme="majorHAnsi" w:hAnsiTheme="majorHAnsi" w:cs="Arial"/>
                <w:lang w:val="pt-BR"/>
              </w:rPr>
              <w:t>e aplicação;</w:t>
            </w:r>
          </w:p>
          <w:p w14:paraId="3600C06F" w14:textId="32F4320A" w:rsidR="00953C7D" w:rsidRPr="000A3626" w:rsidRDefault="00F02324" w:rsidP="00F02324">
            <w:pPr>
              <w:pStyle w:val="itemx"/>
              <w:numPr>
                <w:ilvl w:val="0"/>
                <w:numId w:val="0"/>
              </w:numPr>
              <w:tabs>
                <w:tab w:val="left" w:pos="0"/>
              </w:tabs>
              <w:spacing w:before="0" w:after="0"/>
              <w:ind w:firstLine="900"/>
              <w:rPr>
                <w:rFonts w:asciiTheme="majorHAnsi" w:hAnsiTheme="majorHAnsi" w:cs="Arial"/>
                <w:lang w:val="pt-BR"/>
              </w:rPr>
            </w:pPr>
            <w:r>
              <w:rPr>
                <w:rFonts w:asciiTheme="majorHAnsi" w:hAnsiTheme="majorHAnsi" w:cs="Arial"/>
                <w:vertAlign w:val="superscript"/>
                <w:lang w:val="pt-BR"/>
              </w:rPr>
              <w:t>7</w:t>
            </w:r>
            <w:r w:rsidR="00953C7D" w:rsidRPr="000A3626">
              <w:rPr>
                <w:rFonts w:asciiTheme="majorHAnsi" w:hAnsiTheme="majorHAnsi" w:cs="Arial"/>
                <w:lang w:val="pt-BR"/>
              </w:rPr>
              <w:t xml:space="preserve"> Uma prorrogação pode ser concedida pela ANP com base na requisição formal com suporte técnico pela BP Energy.</w:t>
            </w:r>
          </w:p>
        </w:tc>
      </w:tr>
    </w:tbl>
    <w:p w14:paraId="0993686A" w14:textId="77777777" w:rsidR="00953C7D" w:rsidRDefault="00953C7D" w:rsidP="00953C7D">
      <w:pPr>
        <w:pStyle w:val="tier1Itext"/>
        <w:sectPr w:rsidR="00953C7D" w:rsidSect="00656D39">
          <w:headerReference w:type="even" r:id="rId37"/>
          <w:headerReference w:type="default" r:id="rId38"/>
          <w:footerReference w:type="even" r:id="rId39"/>
          <w:footerReference w:type="default" r:id="rId40"/>
          <w:headerReference w:type="first" r:id="rId41"/>
          <w:footerReference w:type="first" r:id="rId42"/>
          <w:pgSz w:w="16839" w:h="11907" w:orient="landscape" w:code="9"/>
          <w:pgMar w:top="1418" w:right="1418" w:bottom="1418" w:left="1418" w:header="170" w:footer="0" w:gutter="0"/>
          <w:cols w:space="720"/>
          <w:docGrid w:linePitch="360"/>
        </w:sectPr>
      </w:pPr>
    </w:p>
    <w:p w14:paraId="77197369" w14:textId="756C4585" w:rsidR="00953C7D" w:rsidRDefault="00953C7D" w:rsidP="001222DA">
      <w:pPr>
        <w:pStyle w:val="tier1Itext"/>
      </w:pPr>
      <w:r>
        <w:lastRenderedPageBreak/>
        <w:t>O</w:t>
      </w:r>
      <w:r w:rsidR="00FA49B6">
        <w:t>s</w:t>
      </w:r>
      <w:r>
        <w:t xml:space="preserve"> </w:t>
      </w:r>
      <w:r w:rsidR="00ED19C7" w:rsidRPr="00ED19C7">
        <w:rPr>
          <w:b/>
        </w:rPr>
        <w:t>APÊNDICE</w:t>
      </w:r>
      <w:r w:rsidR="00FA49B6">
        <w:rPr>
          <w:b/>
        </w:rPr>
        <w:t>S</w:t>
      </w:r>
      <w:r w:rsidR="00ED19C7" w:rsidRPr="00ED19C7">
        <w:rPr>
          <w:b/>
        </w:rPr>
        <w:t xml:space="preserve"> B</w:t>
      </w:r>
      <w:r w:rsidR="00ED19C7">
        <w:t xml:space="preserve"> </w:t>
      </w:r>
      <w:r>
        <w:t xml:space="preserve">e </w:t>
      </w:r>
      <w:r w:rsidR="0027197D">
        <w:rPr>
          <w:b/>
        </w:rPr>
        <w:t>D</w:t>
      </w:r>
      <w:r w:rsidR="00ED19C7">
        <w:t xml:space="preserve"> </w:t>
      </w:r>
      <w:r>
        <w:t>apresentam, respectivamente, os meios pelos quais as referidas autoridades deverão ser notificadas e os modelos de formulários de notificação e atualização do incidente, desenvolvidos com base nas legislações mencionadas anteriormente.</w:t>
      </w:r>
    </w:p>
    <w:p w14:paraId="266D793C" w14:textId="77777777" w:rsidR="00953C7D" w:rsidRPr="008300D5"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8300D5">
        <w:rPr>
          <w:rFonts w:asciiTheme="majorHAnsi" w:hAnsiTheme="majorHAnsi"/>
        </w:rPr>
        <w:t>Notificações para Outras Partes Interessadas</w:t>
      </w:r>
    </w:p>
    <w:p w14:paraId="50D0B076" w14:textId="3C8EE243" w:rsidR="00953C7D" w:rsidRPr="005D76E0" w:rsidRDefault="00953C7D" w:rsidP="001222DA">
      <w:pPr>
        <w:pStyle w:val="tier1Itext"/>
      </w:pPr>
      <w:r w:rsidRPr="005D76E0">
        <w:t xml:space="preserve">Todos os outros grupos de partes interessadas são geridos de acordo com o Plano de </w:t>
      </w:r>
      <w:r w:rsidR="0027197D">
        <w:t>Comunicação durante Crises</w:t>
      </w:r>
      <w:r w:rsidRPr="005D76E0">
        <w:t xml:space="preserve">, normalmente coordenado pelos Oficiais de Relação com Comunidades </w:t>
      </w:r>
      <w:r w:rsidR="0027197D">
        <w:t>&amp;</w:t>
      </w:r>
      <w:r w:rsidRPr="005D76E0">
        <w:t xml:space="preserve"> Governo ou o Conselheiro de Relações (no caso do acionamento da BST).</w:t>
      </w:r>
    </w:p>
    <w:p w14:paraId="710E8B83" w14:textId="77777777" w:rsidR="00953C7D" w:rsidRPr="00466813" w:rsidRDefault="00953C7D" w:rsidP="001222DA">
      <w:pPr>
        <w:pStyle w:val="tier1Itext"/>
      </w:pPr>
      <w:r w:rsidRPr="00466813">
        <w:t xml:space="preserve">Comunidades ou Associações de Pescadores potencialmente impactadas por qualquer evento de vazamento de óleo serão diretamente contatadas pelo Oficial de Relações (Comunidades), que é o ponto focal de provisão de informações </w:t>
      </w:r>
      <w:r>
        <w:t>e relacionamento com</w:t>
      </w:r>
      <w:r w:rsidRPr="00466813">
        <w:t xml:space="preserve"> estes grupos. As autoridades locais serão engajadas pelo Oficial de Relação (Governo), que conduzirá as negociações para autorização e suporte dos principais aspectos das operações de resposta, nos casos em que o óleo chegar à costa, no que tange à proteção e limpeza. As avaliações do incidente e de sua potencial magnitude irão definir os tempos em que estas partes interessadas deverão ser contatadas.</w:t>
      </w:r>
      <w:r>
        <w:t xml:space="preserve"> Esta análise também definirá o dimensionamento do time da IMT mobilizado, o que neste caso determinará a necessidade de haver dois Oficiais de Relações ou se as </w:t>
      </w:r>
      <w:r w:rsidR="00116E63">
        <w:t xml:space="preserve">posições </w:t>
      </w:r>
      <w:r>
        <w:t>podem ser exercidas por um único profissional.</w:t>
      </w:r>
    </w:p>
    <w:p w14:paraId="560B08F7" w14:textId="77777777" w:rsidR="00953C7D" w:rsidRPr="002E1F4C" w:rsidRDefault="00953C7D" w:rsidP="001222DA">
      <w:pPr>
        <w:pStyle w:val="tier1Itext"/>
        <w:keepLines w:val="0"/>
      </w:pPr>
      <w:r w:rsidRPr="002E1F4C">
        <w:t>Grupos de</w:t>
      </w:r>
      <w:r w:rsidRPr="005534F6">
        <w:t xml:space="preserve"> </w:t>
      </w:r>
      <w:r w:rsidRPr="002E1F4C">
        <w:t>contatos críticos</w:t>
      </w:r>
      <w:r w:rsidRPr="002E1F4C">
        <w:rPr>
          <w:rStyle w:val="FootnoteReference"/>
          <w:rFonts w:cstheme="majorHAnsi"/>
          <w:szCs w:val="22"/>
        </w:rPr>
        <w:footnoteReference w:id="15"/>
      </w:r>
      <w:r w:rsidRPr="002E1F4C">
        <w:t xml:space="preserve"> como as </w:t>
      </w:r>
      <w:r w:rsidR="00116E63">
        <w:t>OSROs</w:t>
      </w:r>
      <w:r w:rsidRPr="002E1F4C">
        <w:t xml:space="preserve"> e especialistas técnicos devem ser preferencialmente </w:t>
      </w:r>
      <w:r>
        <w:t>contatados</w:t>
      </w:r>
      <w:r w:rsidRPr="002E1F4C">
        <w:t xml:space="preserve"> </w:t>
      </w:r>
      <w:r w:rsidR="00116E63">
        <w:t>pelos profissionais</w:t>
      </w:r>
      <w:r w:rsidRPr="002E1F4C">
        <w:t xml:space="preserve"> que rotineiramente exercem este tipo de relação, sendo designados como assistentes</w:t>
      </w:r>
      <w:r w:rsidRPr="002E1F4C">
        <w:rPr>
          <w:rStyle w:val="FootnoteReference"/>
          <w:rFonts w:cstheme="majorHAnsi"/>
          <w:szCs w:val="22"/>
        </w:rPr>
        <w:footnoteReference w:id="16"/>
      </w:r>
      <w:r w:rsidRPr="002E1F4C">
        <w:t xml:space="preserve"> ou auxiliares para os oficiais e líderes, quando necessário. Sempre que uma designação cresce muito mais do que uma mera assistência ou função de apoio, o sistema de gestão deve avaliar a necessidade de criação de </w:t>
      </w:r>
      <w:r>
        <w:t xml:space="preserve">uma delegação ou </w:t>
      </w:r>
      <w:r w:rsidRPr="002E1F4C">
        <w:t>um</w:t>
      </w:r>
      <w:r w:rsidR="00116E63">
        <w:t xml:space="preserve">a filial </w:t>
      </w:r>
      <w:r w:rsidRPr="002E1F4C">
        <w:t>específic</w:t>
      </w:r>
      <w:r w:rsidR="00116E63">
        <w:t>a</w:t>
      </w:r>
      <w:r w:rsidRPr="002E1F4C">
        <w:t xml:space="preserve"> para essa ação, função ou realização.</w:t>
      </w:r>
    </w:p>
    <w:p w14:paraId="0063C69F" w14:textId="77777777" w:rsidR="00953C7D" w:rsidRPr="002E1F4C" w:rsidRDefault="00953C7D" w:rsidP="001222DA">
      <w:pPr>
        <w:pStyle w:val="tier1Itext"/>
      </w:pPr>
      <w:r w:rsidRPr="002E1F4C">
        <w:lastRenderedPageBreak/>
        <w:t>N</w:t>
      </w:r>
      <w:r>
        <w:t>a</w:t>
      </w:r>
      <w:r w:rsidRPr="002E1F4C">
        <w:t xml:space="preserve"> </w:t>
      </w:r>
      <w:r w:rsidRPr="00073EAB">
        <w:rPr>
          <w:b/>
        </w:rPr>
        <w:fldChar w:fldCharType="begin"/>
      </w:r>
      <w:r w:rsidRPr="00073EAB">
        <w:rPr>
          <w:b/>
        </w:rPr>
        <w:instrText xml:space="preserve"> REF _Ref413164694 \h  \* MERGEFORMAT </w:instrText>
      </w:r>
      <w:r w:rsidRPr="00073EAB">
        <w:rPr>
          <w:b/>
        </w:rPr>
      </w:r>
      <w:r w:rsidRPr="00073EAB">
        <w:rPr>
          <w:b/>
        </w:rPr>
        <w:fldChar w:fldCharType="separate"/>
      </w:r>
      <w:r w:rsidR="00897470" w:rsidRPr="00897470">
        <w:rPr>
          <w:b/>
          <w:szCs w:val="22"/>
        </w:rPr>
        <w:t xml:space="preserve">Tabela </w:t>
      </w:r>
      <w:r w:rsidR="00897470" w:rsidRPr="00897470">
        <w:rPr>
          <w:b/>
          <w:noProof/>
          <w:szCs w:val="22"/>
        </w:rPr>
        <w:t>12</w:t>
      </w:r>
      <w:r w:rsidRPr="00073EAB">
        <w:rPr>
          <w:b/>
        </w:rPr>
        <w:fldChar w:fldCharType="end"/>
      </w:r>
      <w:r>
        <w:rPr>
          <w:b/>
        </w:rPr>
        <w:t xml:space="preserve"> </w:t>
      </w:r>
      <w:r w:rsidRPr="002E1F4C">
        <w:t>a seguir, é apresentada uma lista de algumas partes interessadas</w:t>
      </w:r>
      <w:r>
        <w:t>, especialistas técnicos</w:t>
      </w:r>
      <w:r w:rsidRPr="002E1F4C">
        <w:t xml:space="preserve"> e/ou ações requerid</w:t>
      </w:r>
      <w:r>
        <w:t>o</w:t>
      </w:r>
      <w:r w:rsidRPr="002E1F4C">
        <w:t xml:space="preserve">s </w:t>
      </w:r>
      <w:r>
        <w:t xml:space="preserve">durante a </w:t>
      </w:r>
      <w:r w:rsidRPr="002E1F4C">
        <w:t xml:space="preserve">resposta e </w:t>
      </w:r>
      <w:r>
        <w:t xml:space="preserve">seus respectivos interlocutores na IMT, bem como outras </w:t>
      </w:r>
      <w:r w:rsidR="00116E63">
        <w:t xml:space="preserve">posições </w:t>
      </w:r>
      <w:r>
        <w:t>que podem assistir nesta relação</w:t>
      </w:r>
      <w:r w:rsidRPr="002E1F4C">
        <w:t xml:space="preserve">. Também é apresentada, quando pertinente, a indicação daqueles casos onde é sugerida a criação de um </w:t>
      </w:r>
      <w:r>
        <w:t>comitê técnico de avaliação e condução da questão.</w:t>
      </w:r>
    </w:p>
    <w:tbl>
      <w:tblPr>
        <w:tblW w:w="5000" w:type="pct"/>
        <w:tblCellMar>
          <w:left w:w="115" w:type="dxa"/>
          <w:right w:w="115" w:type="dxa"/>
        </w:tblCellMar>
        <w:tblLook w:val="01E0" w:firstRow="1" w:lastRow="1" w:firstColumn="1" w:lastColumn="1" w:noHBand="0" w:noVBand="0"/>
      </w:tblPr>
      <w:tblGrid>
        <w:gridCol w:w="2358"/>
        <w:gridCol w:w="2685"/>
        <w:gridCol w:w="3430"/>
        <w:gridCol w:w="597"/>
      </w:tblGrid>
      <w:tr w:rsidR="00953C7D" w:rsidRPr="001222DA" w14:paraId="16CF40FB" w14:textId="77777777" w:rsidTr="00A90493">
        <w:trPr>
          <w:cantSplit/>
          <w:trHeight w:val="340"/>
          <w:tblHeader/>
        </w:trPr>
        <w:tc>
          <w:tcPr>
            <w:tcW w:w="5000" w:type="pct"/>
            <w:gridSpan w:val="4"/>
            <w:tcBorders>
              <w:bottom w:val="single" w:sz="12" w:space="0" w:color="FFFFFF" w:themeColor="background1"/>
            </w:tcBorders>
            <w:shd w:val="clear" w:color="auto" w:fill="FFFFFF" w:themeFill="background1"/>
            <w:vAlign w:val="bottom"/>
          </w:tcPr>
          <w:p w14:paraId="0EC781E7" w14:textId="77777777" w:rsidR="00953C7D" w:rsidRPr="001222DA" w:rsidRDefault="00953C7D" w:rsidP="001222DA">
            <w:pPr>
              <w:pStyle w:val="Caption"/>
              <w:spacing w:before="0" w:after="0" w:line="240" w:lineRule="auto"/>
              <w:jc w:val="left"/>
              <w:rPr>
                <w:szCs w:val="20"/>
              </w:rPr>
            </w:pPr>
            <w:bookmarkStart w:id="116" w:name="_Ref413164694"/>
            <w:bookmarkStart w:id="117" w:name="_Toc413848079"/>
            <w:bookmarkStart w:id="118" w:name="_Toc523834044"/>
            <w:r w:rsidRPr="001222DA">
              <w:rPr>
                <w:szCs w:val="20"/>
              </w:rPr>
              <w:t xml:space="preserve">Tabela </w:t>
            </w:r>
            <w:r w:rsidR="0036087F" w:rsidRPr="001222DA">
              <w:rPr>
                <w:szCs w:val="20"/>
              </w:rPr>
              <w:fldChar w:fldCharType="begin"/>
            </w:r>
            <w:r w:rsidR="0036087F" w:rsidRPr="001222DA">
              <w:rPr>
                <w:szCs w:val="20"/>
              </w:rPr>
              <w:instrText xml:space="preserve"> SEQ Tabela \* ARABIC </w:instrText>
            </w:r>
            <w:r w:rsidR="0036087F" w:rsidRPr="001222DA">
              <w:rPr>
                <w:szCs w:val="20"/>
              </w:rPr>
              <w:fldChar w:fldCharType="separate"/>
            </w:r>
            <w:r w:rsidR="00897470">
              <w:rPr>
                <w:noProof/>
                <w:szCs w:val="20"/>
              </w:rPr>
              <w:t>12</w:t>
            </w:r>
            <w:r w:rsidR="0036087F" w:rsidRPr="001222DA">
              <w:rPr>
                <w:noProof/>
                <w:szCs w:val="20"/>
              </w:rPr>
              <w:fldChar w:fldCharType="end"/>
            </w:r>
            <w:bookmarkEnd w:id="116"/>
            <w:r w:rsidRPr="001222DA">
              <w:rPr>
                <w:szCs w:val="20"/>
              </w:rPr>
              <w:t>: Algumas partes interessadas específicas e seus interlocutores.</w:t>
            </w:r>
            <w:bookmarkEnd w:id="117"/>
            <w:bookmarkEnd w:id="118"/>
          </w:p>
        </w:tc>
      </w:tr>
      <w:tr w:rsidR="00953C7D" w:rsidRPr="001222DA" w14:paraId="447DD0C9" w14:textId="77777777" w:rsidTr="00A90493">
        <w:trPr>
          <w:cantSplit/>
          <w:trHeight w:val="737"/>
          <w:tblHeader/>
        </w:trPr>
        <w:tc>
          <w:tcPr>
            <w:tcW w:w="130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27FC98A9" w14:textId="77777777" w:rsidR="00953C7D" w:rsidRPr="001222DA" w:rsidRDefault="00953C7D" w:rsidP="001222DA">
            <w:pPr>
              <w:keepNext/>
              <w:keepLines/>
              <w:spacing w:before="0" w:line="240" w:lineRule="auto"/>
              <w:jc w:val="center"/>
              <w:rPr>
                <w:rFonts w:asciiTheme="majorHAnsi" w:hAnsiTheme="majorHAnsi"/>
                <w:b/>
                <w:color w:val="FFFFFF" w:themeColor="background1"/>
                <w:sz w:val="20"/>
                <w:szCs w:val="20"/>
              </w:rPr>
            </w:pPr>
            <w:r w:rsidRPr="001222DA">
              <w:rPr>
                <w:rFonts w:asciiTheme="majorHAnsi" w:hAnsiTheme="majorHAnsi"/>
                <w:b/>
                <w:color w:val="FFFFFF" w:themeColor="background1"/>
                <w:sz w:val="20"/>
                <w:szCs w:val="20"/>
              </w:rPr>
              <w:t>Parte Interessada (Ação Exigida)</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20794F43" w14:textId="77777777" w:rsidR="00953C7D" w:rsidRPr="001222DA" w:rsidRDefault="00953C7D" w:rsidP="001222DA">
            <w:pPr>
              <w:keepNext/>
              <w:keepLines/>
              <w:spacing w:before="0" w:line="240" w:lineRule="auto"/>
              <w:jc w:val="center"/>
              <w:rPr>
                <w:rFonts w:asciiTheme="majorHAnsi" w:hAnsiTheme="majorHAnsi"/>
                <w:b/>
                <w:color w:val="FFFFFF" w:themeColor="background1"/>
                <w:sz w:val="20"/>
                <w:szCs w:val="20"/>
              </w:rPr>
            </w:pPr>
            <w:r w:rsidRPr="001222DA">
              <w:rPr>
                <w:rFonts w:asciiTheme="majorHAnsi" w:hAnsiTheme="majorHAnsi"/>
                <w:b/>
                <w:color w:val="FFFFFF" w:themeColor="background1"/>
                <w:sz w:val="20"/>
                <w:szCs w:val="20"/>
              </w:rPr>
              <w:t>Principal Interlocutor</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68E28E69" w14:textId="77777777" w:rsidR="00953C7D" w:rsidRPr="001222DA" w:rsidRDefault="001222DA" w:rsidP="001222DA">
            <w:pPr>
              <w:pStyle w:val="itemx"/>
              <w:numPr>
                <w:ilvl w:val="0"/>
                <w:numId w:val="0"/>
              </w:numPr>
              <w:tabs>
                <w:tab w:val="left" w:pos="1122"/>
              </w:tabs>
              <w:spacing w:before="0" w:after="0"/>
              <w:jc w:val="center"/>
              <w:rPr>
                <w:rFonts w:asciiTheme="majorHAnsi" w:hAnsiTheme="majorHAnsi" w:cs="Arial"/>
                <w:b/>
                <w:color w:val="FFFFFF" w:themeColor="background1"/>
                <w:lang w:val="pt-BR" w:eastAsia="en-US"/>
              </w:rPr>
            </w:pPr>
            <w:r>
              <w:rPr>
                <w:rFonts w:asciiTheme="majorHAnsi" w:hAnsiTheme="majorHAnsi" w:cs="Arial"/>
                <w:b/>
                <w:color w:val="FFFFFF" w:themeColor="background1"/>
                <w:lang w:val="pt-BR" w:eastAsia="en-US"/>
              </w:rPr>
              <w:t>Assistente</w:t>
            </w:r>
            <w:r w:rsidRPr="001222DA">
              <w:rPr>
                <w:rFonts w:asciiTheme="majorHAnsi" w:hAnsiTheme="majorHAnsi" w:cs="Arial"/>
                <w:b/>
                <w:color w:val="FFFFFF" w:themeColor="background1"/>
                <w:vertAlign w:val="superscript"/>
                <w:lang w:val="pt-BR" w:eastAsia="en-US"/>
              </w:rPr>
              <w:t>1</w:t>
            </w:r>
          </w:p>
        </w:tc>
        <w:tc>
          <w:tcPr>
            <w:tcW w:w="32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themeFill="text2"/>
            <w:vAlign w:val="center"/>
          </w:tcPr>
          <w:p w14:paraId="567E4083" w14:textId="77777777" w:rsidR="00953C7D" w:rsidRPr="001222DA" w:rsidRDefault="00953C7D" w:rsidP="001222DA">
            <w:pPr>
              <w:pStyle w:val="itemx"/>
              <w:numPr>
                <w:ilvl w:val="0"/>
                <w:numId w:val="0"/>
              </w:numPr>
              <w:tabs>
                <w:tab w:val="left" w:pos="1122"/>
              </w:tabs>
              <w:spacing w:before="0" w:after="0"/>
              <w:ind w:left="-115" w:right="-115"/>
              <w:jc w:val="center"/>
              <w:rPr>
                <w:rFonts w:asciiTheme="majorHAnsi" w:hAnsiTheme="majorHAnsi" w:cs="Arial"/>
                <w:b/>
                <w:color w:val="FFFFFF" w:themeColor="background1"/>
                <w:vertAlign w:val="superscript"/>
                <w:lang w:val="pt-BR" w:eastAsia="en-US"/>
              </w:rPr>
            </w:pPr>
            <w:r w:rsidRPr="001222DA">
              <w:rPr>
                <w:rFonts w:asciiTheme="majorHAnsi" w:hAnsiTheme="majorHAnsi" w:cs="Arial"/>
                <w:b/>
                <w:color w:val="FFFFFF" w:themeColor="background1"/>
                <w:lang w:val="pt-BR" w:eastAsia="en-US"/>
              </w:rPr>
              <w:t>CT</w:t>
            </w:r>
            <w:r w:rsidR="001222DA" w:rsidRPr="001222DA">
              <w:rPr>
                <w:rFonts w:asciiTheme="majorHAnsi" w:hAnsiTheme="majorHAnsi" w:cs="Arial"/>
                <w:b/>
                <w:color w:val="FFFFFF" w:themeColor="background1"/>
                <w:vertAlign w:val="superscript"/>
                <w:lang w:val="pt-BR" w:eastAsia="en-US"/>
              </w:rPr>
              <w:t>2</w:t>
            </w:r>
          </w:p>
        </w:tc>
      </w:tr>
      <w:tr w:rsidR="00953C7D" w:rsidRPr="001222DA" w14:paraId="12A3A216" w14:textId="77777777" w:rsidTr="00A90493">
        <w:trPr>
          <w:cantSplit/>
        </w:trPr>
        <w:tc>
          <w:tcPr>
            <w:tcW w:w="1300" w:type="pct"/>
            <w:tcBorders>
              <w:top w:val="single" w:sz="12" w:space="0" w:color="FFFFFF" w:themeColor="background1"/>
              <w:right w:val="single" w:sz="12" w:space="0" w:color="FFFFFF" w:themeColor="background1"/>
            </w:tcBorders>
            <w:shd w:val="clear" w:color="auto" w:fill="A6A6A6" w:themeFill="background1" w:themeFillShade="A6"/>
            <w:vAlign w:val="center"/>
          </w:tcPr>
          <w:p w14:paraId="29BF77C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Parceiros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162CF1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 Conselheiro de Relações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6AF1E8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Assuntos Legais / Assessor Jurídico</w:t>
            </w:r>
          </w:p>
          <w:p w14:paraId="773359A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Gerente de Contrato</w:t>
            </w:r>
          </w:p>
        </w:tc>
        <w:tc>
          <w:tcPr>
            <w:tcW w:w="329" w:type="pct"/>
            <w:tcBorders>
              <w:top w:val="single" w:sz="12" w:space="0" w:color="FFFFFF" w:themeColor="background1"/>
              <w:left w:val="single" w:sz="12" w:space="0" w:color="FFFFFF" w:themeColor="background1"/>
            </w:tcBorders>
            <w:shd w:val="clear" w:color="auto" w:fill="EEECE1" w:themeFill="background2"/>
            <w:vAlign w:val="center"/>
          </w:tcPr>
          <w:p w14:paraId="0803BE2E"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5F86E19"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A8DE26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ANP</w:t>
            </w:r>
          </w:p>
          <w:p w14:paraId="2032B2E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4051D1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33983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30663E9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Líder da Equipe de Perfuração</w:t>
            </w:r>
          </w:p>
          <w:p w14:paraId="5D7B82F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b/>
                <w:i/>
                <w:color w:val="000099"/>
                <w:lang w:val="pt-BR"/>
              </w:rPr>
              <w:t>Gerente de Operações</w:t>
            </w:r>
          </w:p>
        </w:tc>
        <w:tc>
          <w:tcPr>
            <w:tcW w:w="329" w:type="pct"/>
            <w:tcBorders>
              <w:left w:val="single" w:sz="12" w:space="0" w:color="FFFFFF" w:themeColor="background1"/>
            </w:tcBorders>
            <w:shd w:val="clear" w:color="auto" w:fill="EEECE1" w:themeFill="background2"/>
            <w:vAlign w:val="center"/>
          </w:tcPr>
          <w:p w14:paraId="665C175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2A2C557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56A49AD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IBAMA (Notificações)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3D4D0F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662848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5C830A3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0C288166"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01D6D25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Agência(s) Ambiental(is) Estadual(is) (Notificações)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509BA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470A1D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3FFDF18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07443CD"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08F8CAF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Marinha – Autoridade Portuária (Notificação)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B90612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7CEC81D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183EF3E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Marítima da BP</w:t>
            </w:r>
          </w:p>
        </w:tc>
        <w:tc>
          <w:tcPr>
            <w:tcW w:w="329" w:type="pct"/>
            <w:tcBorders>
              <w:left w:val="single" w:sz="12" w:space="0" w:color="FFFFFF" w:themeColor="background1"/>
            </w:tcBorders>
            <w:shd w:val="clear" w:color="auto" w:fill="EEECE1" w:themeFill="background2"/>
            <w:vAlign w:val="center"/>
          </w:tcPr>
          <w:p w14:paraId="4220694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6366EDAC"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759FC5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Comunidades Pesqueiras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23292F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(Comunidade)</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93CBCC9"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6A23478E"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Coordenador de Licenciamento</w:t>
            </w:r>
          </w:p>
        </w:tc>
        <w:tc>
          <w:tcPr>
            <w:tcW w:w="329" w:type="pct"/>
            <w:tcBorders>
              <w:left w:val="single" w:sz="12" w:space="0" w:color="FFFFFF" w:themeColor="background1"/>
            </w:tcBorders>
            <w:shd w:val="clear" w:color="auto" w:fill="EEECE1" w:themeFill="background2"/>
            <w:vAlign w:val="center"/>
          </w:tcPr>
          <w:p w14:paraId="667CF8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78F7294"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EB8BB31"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IBP e outras companhias de petróleo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FF2539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 Conselheiro de Relações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E7DAD6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1671672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7C45FE08"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52B53B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Administração de Defesa Civil Municipal ou Estadual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A372C9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Segurança (Patrimonial) / Conselheiro de Segurança (Patrimonial)</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1B624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IC ou OSC</w:t>
            </w:r>
          </w:p>
          <w:p w14:paraId="539A6A98"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329" w:type="pct"/>
            <w:tcBorders>
              <w:left w:val="single" w:sz="12" w:space="0" w:color="FFFFFF" w:themeColor="background1"/>
            </w:tcBorders>
            <w:shd w:val="clear" w:color="auto" w:fill="EEECE1" w:themeFill="background2"/>
            <w:vAlign w:val="center"/>
          </w:tcPr>
          <w:p w14:paraId="65F828E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E04360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42F6A2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Polícia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A0712C9"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Segurança (Patrimonial) / Conselheiro de Segurança (Patrimonial)</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C68759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IC ou OSC</w:t>
            </w:r>
          </w:p>
          <w:p w14:paraId="1E743A7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tc>
        <w:tc>
          <w:tcPr>
            <w:tcW w:w="329" w:type="pct"/>
            <w:tcBorders>
              <w:left w:val="single" w:sz="12" w:space="0" w:color="FFFFFF" w:themeColor="background1"/>
            </w:tcBorders>
            <w:shd w:val="clear" w:color="auto" w:fill="EEECE1" w:themeFill="background2"/>
            <w:vAlign w:val="center"/>
          </w:tcPr>
          <w:p w14:paraId="6BF480F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08BABCDC"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298C0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Órgão Regional do Ministério do Trabalho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90D481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RH / Conselheiro de RH</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D941E4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p w14:paraId="665A8E4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da Unidade Médica</w:t>
            </w:r>
          </w:p>
        </w:tc>
        <w:tc>
          <w:tcPr>
            <w:tcW w:w="329" w:type="pct"/>
            <w:tcBorders>
              <w:left w:val="single" w:sz="12" w:space="0" w:color="FFFFFF" w:themeColor="background1"/>
            </w:tcBorders>
            <w:shd w:val="clear" w:color="auto" w:fill="EEECE1" w:themeFill="background2"/>
            <w:vAlign w:val="center"/>
          </w:tcPr>
          <w:p w14:paraId="3B10A5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1A68A54A"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7EEC012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Força Aérea (SAR)/Aviação Civil (ANAC) (Comunicações)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EF484E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Gerente de Operações Áreas</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59BDFB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Oficial de Relação (Governo)</w:t>
            </w:r>
          </w:p>
          <w:p w14:paraId="07E37AF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p w14:paraId="3CF0B0F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de Aviação da BP</w:t>
            </w:r>
          </w:p>
        </w:tc>
        <w:tc>
          <w:tcPr>
            <w:tcW w:w="329" w:type="pct"/>
            <w:tcBorders>
              <w:left w:val="single" w:sz="12" w:space="0" w:color="FFFFFF" w:themeColor="background1"/>
            </w:tcBorders>
            <w:shd w:val="clear" w:color="auto" w:fill="EEECE1" w:themeFill="background2"/>
            <w:vAlign w:val="center"/>
          </w:tcPr>
          <w:p w14:paraId="78C0E04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6CC01BD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B99C2D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lang w:val="pt-BR"/>
              </w:rPr>
            </w:pPr>
            <w:r w:rsidRPr="001222DA">
              <w:rPr>
                <w:rFonts w:asciiTheme="majorHAnsi" w:hAnsiTheme="majorHAnsi" w:cstheme="majorHAnsi"/>
                <w:b/>
                <w:lang w:val="pt-BR"/>
              </w:rPr>
              <w:t>Organizações de Resposta a Vazamentos de Óleo (OceanPact, Hidroclean, CCA e OSRL)</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4D4FD2A"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A00F12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 / Conselheiro de CCM/ER</w:t>
            </w:r>
          </w:p>
          <w:p w14:paraId="213118AD"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738C69B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35D71C8F"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20F823D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Informações Meteorológicas atualizadas</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A833C1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7A4B0B8" w14:textId="0D58E754"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 xml:space="preserve">Líder de Unidade de </w:t>
            </w:r>
            <w:r w:rsidR="0027197D">
              <w:rPr>
                <w:rFonts w:asciiTheme="majorHAnsi" w:hAnsiTheme="majorHAnsi" w:cstheme="majorHAnsi"/>
                <w:lang w:val="pt-BR"/>
              </w:rPr>
              <w:t xml:space="preserve">Situação e/ou Líder de Unidade de </w:t>
            </w:r>
            <w:r w:rsidRPr="001222DA">
              <w:rPr>
                <w:rFonts w:asciiTheme="majorHAnsi" w:hAnsiTheme="majorHAnsi" w:cstheme="majorHAnsi"/>
                <w:lang w:val="pt-BR"/>
              </w:rPr>
              <w:t>RC&amp;E</w:t>
            </w:r>
          </w:p>
          <w:p w14:paraId="141C5A7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w:t>
            </w:r>
          </w:p>
        </w:tc>
        <w:tc>
          <w:tcPr>
            <w:tcW w:w="329" w:type="pct"/>
            <w:tcBorders>
              <w:left w:val="single" w:sz="12" w:space="0" w:color="FFFFFF" w:themeColor="background1"/>
            </w:tcBorders>
            <w:shd w:val="clear" w:color="auto" w:fill="EEECE1" w:themeFill="background2"/>
            <w:vAlign w:val="center"/>
          </w:tcPr>
          <w:p w14:paraId="1EC63B2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53879C12"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86F5CF0"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lastRenderedPageBreak/>
              <w:t>Modelagem de derramamentos de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34D2581"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PSC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41A46FD3"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5C62C0B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lang w:val="pt-BR"/>
              </w:rPr>
            </w:pPr>
          </w:p>
        </w:tc>
      </w:tr>
      <w:tr w:rsidR="00953C7D" w:rsidRPr="001222DA" w14:paraId="2E3B6D96"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47B40D9" w14:textId="3B94622C"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 xml:space="preserve">Lançamento e Monitoramento de </w:t>
            </w:r>
            <w:r w:rsidR="00EE16FF">
              <w:rPr>
                <w:rFonts w:asciiTheme="majorHAnsi" w:hAnsiTheme="majorHAnsi" w:cstheme="majorHAnsi"/>
                <w:b/>
                <w:i/>
                <w:lang w:val="pt-BR"/>
              </w:rPr>
              <w:t>Bóia</w:t>
            </w:r>
            <w:r w:rsidRPr="001222DA">
              <w:rPr>
                <w:rFonts w:asciiTheme="majorHAnsi" w:hAnsiTheme="majorHAnsi" w:cstheme="majorHAnsi"/>
                <w:b/>
                <w:i/>
                <w:lang w:val="pt-BR"/>
              </w:rPr>
              <w:t>s de Deriva para Derrama- mentos de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5773844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5A72BA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79438467"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57F3C75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8E7EB3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Monitoramento por Satélite</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4382B2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PSC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9DD10AC"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60D58095"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w:t>
            </w:r>
          </w:p>
        </w:tc>
        <w:tc>
          <w:tcPr>
            <w:tcW w:w="329" w:type="pct"/>
            <w:tcBorders>
              <w:left w:val="single" w:sz="12" w:space="0" w:color="FFFFFF" w:themeColor="background1"/>
            </w:tcBorders>
            <w:shd w:val="clear" w:color="auto" w:fill="EEECE1" w:themeFill="background2"/>
            <w:vAlign w:val="center"/>
          </w:tcPr>
          <w:p w14:paraId="79B2B5C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3C72C091"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3E32415F"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Monitoramento ambiental</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02B6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6817705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LSC</w:t>
            </w:r>
          </w:p>
          <w:p w14:paraId="663CF2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color w:val="000099"/>
                <w:lang w:val="pt-BR"/>
              </w:rPr>
            </w:pPr>
            <w:r w:rsidRPr="001222DA">
              <w:rPr>
                <w:rFonts w:asciiTheme="majorHAnsi" w:hAnsiTheme="majorHAnsi" w:cstheme="majorHAnsi"/>
                <w:b/>
                <w:i/>
                <w:color w:val="000099"/>
                <w:lang w:val="pt-BR"/>
              </w:rPr>
              <w:t>Autoridade Marítima da BP</w:t>
            </w:r>
          </w:p>
        </w:tc>
        <w:tc>
          <w:tcPr>
            <w:tcW w:w="329" w:type="pct"/>
            <w:tcBorders>
              <w:left w:val="single" w:sz="12" w:space="0" w:color="FFFFFF" w:themeColor="background1"/>
            </w:tcBorders>
            <w:shd w:val="clear" w:color="auto" w:fill="EEECE1" w:themeFill="background2"/>
            <w:vAlign w:val="center"/>
          </w:tcPr>
          <w:p w14:paraId="4B274444"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2B50D09B"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195248AE"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Aplicação de Dispersante por via Aérea</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04BAF210"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12E501CB"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Coordenador de CCM/ER – Conselheiro de CCM/ER &amp; HSE</w:t>
            </w:r>
          </w:p>
          <w:p w14:paraId="76828223"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p w14:paraId="07C77E2A" w14:textId="77777777" w:rsidR="00953C7D" w:rsidRPr="001222DA" w:rsidRDefault="00953C7D" w:rsidP="001222DA">
            <w:pPr>
              <w:pStyle w:val="itemx"/>
              <w:keepNext/>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b/>
                <w:i/>
                <w:color w:val="000099"/>
                <w:lang w:val="pt-BR"/>
              </w:rPr>
              <w:t>Gerente de Operações Áreas</w:t>
            </w:r>
          </w:p>
        </w:tc>
        <w:tc>
          <w:tcPr>
            <w:tcW w:w="329" w:type="pct"/>
            <w:tcBorders>
              <w:left w:val="single" w:sz="12" w:space="0" w:color="FFFFFF" w:themeColor="background1"/>
            </w:tcBorders>
            <w:shd w:val="clear" w:color="auto" w:fill="EEECE1" w:themeFill="background2"/>
            <w:vAlign w:val="center"/>
          </w:tcPr>
          <w:p w14:paraId="0B3FD81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257BA675" w14:textId="77777777" w:rsidTr="00A90493">
        <w:trPr>
          <w:cantSplit/>
        </w:trPr>
        <w:tc>
          <w:tcPr>
            <w:tcW w:w="1300" w:type="pct"/>
            <w:tcBorders>
              <w:right w:val="single" w:sz="12" w:space="0" w:color="FFFFFF" w:themeColor="background1"/>
            </w:tcBorders>
            <w:shd w:val="clear" w:color="auto" w:fill="A6A6A6" w:themeFill="background1" w:themeFillShade="A6"/>
            <w:vAlign w:val="center"/>
          </w:tcPr>
          <w:p w14:paraId="565F884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b/>
                <w:i/>
                <w:lang w:val="pt-BR"/>
              </w:rPr>
            </w:pPr>
            <w:r w:rsidRPr="001222DA">
              <w:rPr>
                <w:rFonts w:asciiTheme="majorHAnsi" w:hAnsiTheme="majorHAnsi" w:cstheme="majorHAnsi"/>
                <w:b/>
                <w:i/>
                <w:lang w:val="pt-BR"/>
              </w:rPr>
              <w:t>Recuperação e Reabilitação de Animais Selvagens e Vegetação Impactados por Óleo</w:t>
            </w:r>
          </w:p>
        </w:tc>
        <w:tc>
          <w:tcPr>
            <w:tcW w:w="148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29FBC796"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OSC</w:t>
            </w:r>
          </w:p>
        </w:tc>
        <w:tc>
          <w:tcPr>
            <w:tcW w:w="189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EEECE1" w:themeFill="background2"/>
            <w:vAlign w:val="center"/>
          </w:tcPr>
          <w:p w14:paraId="3B249D62"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theme="majorHAnsi"/>
                <w:lang w:val="pt-BR"/>
              </w:rPr>
            </w:pPr>
            <w:r w:rsidRPr="001222DA">
              <w:rPr>
                <w:rFonts w:asciiTheme="majorHAnsi" w:hAnsiTheme="majorHAnsi" w:cstheme="majorHAnsi"/>
                <w:lang w:val="pt-BR"/>
              </w:rPr>
              <w:t>Líder de Unidade de RC&amp;E</w:t>
            </w:r>
          </w:p>
        </w:tc>
        <w:tc>
          <w:tcPr>
            <w:tcW w:w="329" w:type="pct"/>
            <w:tcBorders>
              <w:left w:val="single" w:sz="12" w:space="0" w:color="FFFFFF" w:themeColor="background1"/>
            </w:tcBorders>
            <w:shd w:val="clear" w:color="auto" w:fill="EEECE1" w:themeFill="background2"/>
            <w:vAlign w:val="center"/>
          </w:tcPr>
          <w:p w14:paraId="06B694EB" w14:textId="77777777" w:rsidR="00953C7D" w:rsidRPr="001222DA" w:rsidRDefault="00953C7D" w:rsidP="001222DA">
            <w:pPr>
              <w:pStyle w:val="itemx"/>
              <w:numPr>
                <w:ilvl w:val="0"/>
                <w:numId w:val="0"/>
              </w:numPr>
              <w:tabs>
                <w:tab w:val="left" w:pos="1122"/>
              </w:tabs>
              <w:spacing w:before="0" w:after="0"/>
              <w:jc w:val="center"/>
              <w:rPr>
                <w:rFonts w:asciiTheme="majorHAnsi" w:hAnsiTheme="majorHAnsi" w:cs="Arial"/>
                <w:b/>
                <w:lang w:val="pt-BR"/>
              </w:rPr>
            </w:pPr>
            <w:r w:rsidRPr="001222DA">
              <w:rPr>
                <w:rFonts w:asciiTheme="majorHAnsi" w:hAnsiTheme="majorHAnsi" w:cs="Arial"/>
                <w:b/>
                <w:lang w:val="pt-BR"/>
              </w:rPr>
              <w:t>X</w:t>
            </w:r>
          </w:p>
        </w:tc>
      </w:tr>
      <w:tr w:rsidR="00953C7D" w:rsidRPr="001222DA" w14:paraId="061FB681" w14:textId="77777777" w:rsidTr="00A90493">
        <w:trPr>
          <w:cantSplit/>
        </w:trPr>
        <w:tc>
          <w:tcPr>
            <w:tcW w:w="5000" w:type="pct"/>
            <w:gridSpan w:val="4"/>
            <w:shd w:val="clear" w:color="auto" w:fill="FFFFFF" w:themeFill="background1"/>
          </w:tcPr>
          <w:p w14:paraId="13AD9AFE" w14:textId="46A7D577" w:rsidR="00953C7D" w:rsidRPr="001222DA" w:rsidRDefault="001222DA" w:rsidP="0027197D">
            <w:pPr>
              <w:pStyle w:val="itemx"/>
              <w:numPr>
                <w:ilvl w:val="0"/>
                <w:numId w:val="0"/>
              </w:numPr>
              <w:tabs>
                <w:tab w:val="left" w:pos="1122"/>
              </w:tabs>
              <w:spacing w:before="0" w:after="0"/>
              <w:rPr>
                <w:rFonts w:asciiTheme="majorHAnsi" w:hAnsiTheme="majorHAnsi" w:cstheme="majorHAnsi"/>
                <w:lang w:val="pt-BR"/>
              </w:rPr>
            </w:pPr>
            <w:r w:rsidRPr="001222DA">
              <w:rPr>
                <w:rFonts w:asciiTheme="majorHAnsi" w:hAnsiTheme="majorHAnsi" w:cstheme="majorHAnsi"/>
                <w:b/>
                <w:lang w:val="pt-BR"/>
              </w:rPr>
              <w:t>Legenda:</w:t>
            </w:r>
            <w:r>
              <w:rPr>
                <w:rFonts w:asciiTheme="majorHAnsi" w:hAnsiTheme="majorHAnsi" w:cstheme="majorHAnsi"/>
                <w:lang w:val="pt-BR"/>
              </w:rPr>
              <w:t xml:space="preserve"> ¹</w:t>
            </w:r>
            <w:r w:rsidR="00953C7D" w:rsidRPr="001222DA">
              <w:rPr>
                <w:rFonts w:asciiTheme="majorHAnsi" w:hAnsiTheme="majorHAnsi" w:cstheme="majorHAnsi"/>
                <w:lang w:val="pt-BR"/>
              </w:rPr>
              <w:t xml:space="preserve"> As funções da BP Energy fora da estrutura do ICS são apresentadas em fonte itálica na cor azul. Normalmente estão envolvidos na resposta como Especi</w:t>
            </w:r>
            <w:r>
              <w:rPr>
                <w:rFonts w:asciiTheme="majorHAnsi" w:hAnsiTheme="majorHAnsi" w:cstheme="majorHAnsi"/>
                <w:lang w:val="pt-BR"/>
              </w:rPr>
              <w:t>alistas Técnicos; ²</w:t>
            </w:r>
            <w:r w:rsidR="00953C7D" w:rsidRPr="001222DA">
              <w:rPr>
                <w:rFonts w:asciiTheme="majorHAnsi" w:hAnsiTheme="majorHAnsi" w:cstheme="majorHAnsi"/>
                <w:lang w:val="pt-BR"/>
              </w:rPr>
              <w:t xml:space="preserve"> Constituição de </w:t>
            </w:r>
            <w:r w:rsidR="0027197D">
              <w:rPr>
                <w:rFonts w:asciiTheme="majorHAnsi" w:hAnsiTheme="majorHAnsi" w:cstheme="majorHAnsi"/>
                <w:lang w:val="pt-BR"/>
              </w:rPr>
              <w:t>C</w:t>
            </w:r>
            <w:r w:rsidR="00953C7D" w:rsidRPr="001222DA">
              <w:rPr>
                <w:rFonts w:asciiTheme="majorHAnsi" w:hAnsiTheme="majorHAnsi" w:cstheme="majorHAnsi"/>
                <w:lang w:val="pt-BR"/>
              </w:rPr>
              <w:t xml:space="preserve">omitê </w:t>
            </w:r>
            <w:r w:rsidR="0027197D">
              <w:rPr>
                <w:rFonts w:asciiTheme="majorHAnsi" w:hAnsiTheme="majorHAnsi" w:cstheme="majorHAnsi"/>
                <w:lang w:val="pt-BR"/>
              </w:rPr>
              <w:t>T</w:t>
            </w:r>
            <w:r w:rsidR="00953C7D" w:rsidRPr="001222DA">
              <w:rPr>
                <w:rFonts w:asciiTheme="majorHAnsi" w:hAnsiTheme="majorHAnsi" w:cstheme="majorHAnsi"/>
                <w:lang w:val="pt-BR"/>
              </w:rPr>
              <w:t>écnico específico é sugerida.</w:t>
            </w:r>
          </w:p>
        </w:tc>
      </w:tr>
    </w:tbl>
    <w:p w14:paraId="09A91722" w14:textId="77777777" w:rsidR="00953C7D" w:rsidRPr="007F7381"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7F7381">
        <w:rPr>
          <w:rFonts w:asciiTheme="majorHAnsi" w:hAnsiTheme="majorHAnsi"/>
        </w:rPr>
        <w:t>Notificações recebidas</w:t>
      </w:r>
    </w:p>
    <w:p w14:paraId="36E92388" w14:textId="77777777" w:rsidR="00953C7D" w:rsidRPr="006D29C9" w:rsidRDefault="00953C7D" w:rsidP="007F7381">
      <w:pPr>
        <w:pStyle w:val="tier1Itext"/>
      </w:pPr>
      <w:r w:rsidRPr="006D29C9">
        <w:t>As partes interessadas comunicadas e notificadas durante um incidente de vazamento de óleo serão devidamente informadas sobre os meios de contato a serem utilizados. Nos comunicados de informação divulgados para o público em geral, a BP Energy garantirá o destaque dos canais de contato para comunicações, comentários, dúvidas e reclamações, os mesmos utilizados no Programa de Comunicação Social planejado para as atividades no Bloco FZA-M-59 e que serão bem disseminados em toda</w:t>
      </w:r>
      <w:r>
        <w:t xml:space="preserve"> a</w:t>
      </w:r>
      <w:r w:rsidRPr="006D29C9">
        <w:t xml:space="preserve"> área de influência do projeto. Os contatos são:</w:t>
      </w:r>
    </w:p>
    <w:p w14:paraId="2904EA61" w14:textId="77777777" w:rsidR="00953C7D" w:rsidRPr="007F7381"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434" w:hanging="357"/>
        <w:rPr>
          <w:rFonts w:asciiTheme="majorHAnsi" w:hAnsiTheme="majorHAnsi" w:cstheme="majorHAnsi"/>
        </w:rPr>
      </w:pPr>
      <w:r w:rsidRPr="007F7381">
        <w:rPr>
          <w:rFonts w:asciiTheme="majorHAnsi" w:hAnsiTheme="majorHAnsi" w:cstheme="majorHAnsi"/>
        </w:rPr>
        <w:t>Número para ligação gratuita: 0-800-702 2827</w:t>
      </w:r>
    </w:p>
    <w:p w14:paraId="3CA05A23" w14:textId="77777777" w:rsidR="00953C7D" w:rsidRPr="007F7381" w:rsidRDefault="00953C7D" w:rsidP="00EA2A77">
      <w:pPr>
        <w:pStyle w:val="OCEBullet"/>
        <w:keepLines/>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434" w:hanging="357"/>
        <w:rPr>
          <w:rFonts w:asciiTheme="majorHAnsi" w:hAnsiTheme="majorHAnsi" w:cstheme="majorHAnsi"/>
        </w:rPr>
      </w:pPr>
      <w:r w:rsidRPr="007F7381">
        <w:rPr>
          <w:rFonts w:asciiTheme="majorHAnsi" w:hAnsiTheme="majorHAnsi" w:cstheme="majorHAnsi"/>
        </w:rPr>
        <w:t xml:space="preserve">Endereço eletrônico (E-mail): </w:t>
      </w:r>
      <w:hyperlink r:id="rId43" w:history="1">
        <w:r w:rsidRPr="007F7381">
          <w:rPr>
            <w:rStyle w:val="Hyperlink"/>
            <w:rFonts w:asciiTheme="majorHAnsi" w:hAnsiTheme="majorHAnsi" w:cstheme="majorHAnsi"/>
          </w:rPr>
          <w:t>falecomabp@bp.com</w:t>
        </w:r>
      </w:hyperlink>
    </w:p>
    <w:p w14:paraId="6EAED4D1" w14:textId="77777777" w:rsidR="00953C7D" w:rsidRPr="0023103C" w:rsidRDefault="00953C7D" w:rsidP="007F7381">
      <w:pPr>
        <w:pStyle w:val="tier1Itext"/>
      </w:pPr>
      <w:r w:rsidRPr="0023103C">
        <w:t xml:space="preserve">Durante o expediente normal de trabalho, o contato é imediatamente enviado para o avaliador destinado que definirá o melhor profissional da BP Energy para fornecer as respostas ou efetivar o contato para transmissão desta resposta. Os </w:t>
      </w:r>
      <w:r w:rsidRPr="00335B73">
        <w:t>contatos</w:t>
      </w:r>
      <w:r w:rsidRPr="0023103C">
        <w:t xml:space="preserve"> feitos fora do período de trabalho são registrados e verificados como primeira ação no período seguinte, seguindo o mesmo procedimento descrito.</w:t>
      </w:r>
    </w:p>
    <w:p w14:paraId="4427498A" w14:textId="77777777" w:rsidR="00953C7D" w:rsidRPr="0023103C" w:rsidRDefault="00953C7D" w:rsidP="007F7381">
      <w:pPr>
        <w:pStyle w:val="tier1Itext"/>
      </w:pPr>
      <w:r w:rsidRPr="0023103C">
        <w:lastRenderedPageBreak/>
        <w:t>Durante as emergências, as chamadas telefônicas e mensagens recebidas são direcionadas para o Oficial de Relação, que encaminhará os temas para a IMT.</w:t>
      </w:r>
    </w:p>
    <w:p w14:paraId="323D1777" w14:textId="77777777" w:rsidR="00953C7D" w:rsidRPr="0023103C" w:rsidRDefault="00953C7D" w:rsidP="007F7381">
      <w:pPr>
        <w:pStyle w:val="tier1Itext"/>
      </w:pPr>
      <w:r w:rsidRPr="0023103C">
        <w:t xml:space="preserve">Outra fonte importante de informação e forma de contato para o público em geral sobre a BP Brasil e </w:t>
      </w:r>
      <w:r>
        <w:t xml:space="preserve">a </w:t>
      </w:r>
      <w:r w:rsidRPr="0023103C">
        <w:t>BP Energy é a página da empresa na internet (</w:t>
      </w:r>
      <w:hyperlink r:id="rId44" w:history="1">
        <w:r w:rsidRPr="005B5012">
          <w:rPr>
            <w:rStyle w:val="Hyperlink"/>
          </w:rPr>
          <w:t>www.bp.com/brazil</w:t>
        </w:r>
      </w:hyperlink>
      <w:r>
        <w:rPr>
          <w:rStyle w:val="Hyperlink"/>
        </w:rPr>
        <w:t>)</w:t>
      </w:r>
      <w:r w:rsidRPr="0023103C">
        <w:t xml:space="preserve">, onde os </w:t>
      </w:r>
      <w:r w:rsidRPr="00335B73">
        <w:t>contatos</w:t>
      </w:r>
      <w:r w:rsidRPr="0023103C">
        <w:t xml:space="preserve"> da BP Energy podem ser acessados clicando-se no </w:t>
      </w:r>
      <w:r w:rsidRPr="0023103C">
        <w:rPr>
          <w:i/>
        </w:rPr>
        <w:t>link</w:t>
      </w:r>
      <w:r w:rsidRPr="0023103C">
        <w:t xml:space="preserve"> “Contate a BP no Brasil”.</w:t>
      </w:r>
    </w:p>
    <w:p w14:paraId="6CB9EC05" w14:textId="77777777" w:rsidR="00953C7D" w:rsidRPr="007F7381" w:rsidRDefault="00953C7D"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7F7381">
        <w:rPr>
          <w:rFonts w:asciiTheme="majorHAnsi" w:hAnsiTheme="majorHAnsi"/>
        </w:rPr>
        <w:t>Considerações Gerais</w:t>
      </w:r>
    </w:p>
    <w:p w14:paraId="33A07A12" w14:textId="77777777" w:rsidR="00953C7D" w:rsidRPr="0023103C" w:rsidRDefault="00953C7D" w:rsidP="007F7381">
      <w:pPr>
        <w:pStyle w:val="tier1Itext"/>
      </w:pPr>
      <w:r w:rsidRPr="0023103C">
        <w:t xml:space="preserve">Todos os tipos de comunicação com o público interno, os representantes da mídia, agências governamentais, parceiros e outras instituições competentes devem estar preparados de acordo com a estratégia de engajamento </w:t>
      </w:r>
      <w:r>
        <w:t xml:space="preserve">com </w:t>
      </w:r>
      <w:r w:rsidRPr="0023103C">
        <w:t>as partes interessadas da BP Energy e aprovado pelo IC ou seu Delegado.</w:t>
      </w:r>
    </w:p>
    <w:p w14:paraId="2E77E0ED" w14:textId="77777777" w:rsidR="00953C7D" w:rsidRPr="0023103C" w:rsidRDefault="00953C7D" w:rsidP="007F7381">
      <w:pPr>
        <w:pStyle w:val="tier1Itext"/>
      </w:pPr>
      <w:r w:rsidRPr="0023103C">
        <w:t>É importante destacar que a BP Energy segue os procedimentos da BP Global e tem a língua inglesa como o idioma principal falado durante a resposta no ICP, bem como formulários de resposta de emergência internos que também se apresentam nesta língua, em alinhamento com os utilizados em todo o mundo. Esta normalização é um procedimento natural, já que a empresa tem funcionários de fora do país que são parte ativa da IMT e também um diferencial importante quando se considera o rápido acesso ao pessoal de resposta treinado de outras entidades da BP no mundo, em casos de incidentes de grande escala, complexos ou de longa duração, que podem criar uma situação onde a capacidade operacional da BP Energy em responder usando apenas o seu pessoal (considerando contratados críticos) é ou pode ser ultrapassada.</w:t>
      </w:r>
    </w:p>
    <w:p w14:paraId="47FCBC83" w14:textId="77777777" w:rsidR="00953C7D" w:rsidRPr="0023103C" w:rsidRDefault="00953C7D" w:rsidP="007F7381">
      <w:pPr>
        <w:pStyle w:val="tier1Itext"/>
      </w:pPr>
      <w:r w:rsidRPr="0023103C">
        <w:t>Outros formulários exigidos pela legislação local são adicionados à lista de documentos da resposta, quando necessário, com as versões disponíveis nos dois idiomas (português e inglês).</w:t>
      </w:r>
    </w:p>
    <w:p w14:paraId="45D8D451" w14:textId="2D24DE59" w:rsidR="00953C7D" w:rsidRDefault="00953C7D" w:rsidP="007F7381">
      <w:pPr>
        <w:pStyle w:val="tier1Itext"/>
      </w:pPr>
      <w:r w:rsidRPr="0023103C">
        <w:t>A lista com identificação, números de telefone e meios de contato das autoridades a serem notificadas, empreiteiros e fornecedores críticos é</w:t>
      </w:r>
      <w:r w:rsidRPr="000B23B8">
        <w:t xml:space="preserve"> um documento periodicamente revisto, inteiramente verificado a cada seis meses</w:t>
      </w:r>
      <w:r w:rsidR="00116E63">
        <w:t>,</w:t>
      </w:r>
      <w:r w:rsidRPr="000B23B8">
        <w:t xml:space="preserve"> ou quando novas informações são fornecidas ou após revisões do PEI, e em completo alinhamento com os procedimentos atualizados do </w:t>
      </w:r>
      <w:r w:rsidR="0027197D">
        <w:t>Plano de Comunicações durante Crises</w:t>
      </w:r>
      <w:r w:rsidRPr="000B23B8">
        <w:t>.</w:t>
      </w:r>
      <w:r>
        <w:t xml:space="preserve"> Está disponível na intranet da BP</w:t>
      </w:r>
      <w:r w:rsidR="00116E63">
        <w:t xml:space="preserve"> Energy</w:t>
      </w:r>
      <w:r>
        <w:t xml:space="preserve"> e no ICP, sendo uma </w:t>
      </w:r>
      <w:r w:rsidRPr="0023103C">
        <w:t xml:space="preserve">lista resumida compilada a partir da existente </w:t>
      </w:r>
      <w:r w:rsidR="0027197D">
        <w:t>neste último plano</w:t>
      </w:r>
      <w:r w:rsidRPr="0023103C">
        <w:t xml:space="preserve"> e está dividida por grupo de partes interessadas</w:t>
      </w:r>
      <w:r w:rsidR="0027197D">
        <w:t>,</w:t>
      </w:r>
      <w:r w:rsidRPr="0023103C">
        <w:t xml:space="preserve"> a fim de facilitar o manuseio por diferentes funções da IMT durante as operações de resposta.</w:t>
      </w:r>
    </w:p>
    <w:p w14:paraId="7A72BD97" w14:textId="1EE05214" w:rsidR="00151441" w:rsidRDefault="00151441" w:rsidP="007F7381">
      <w:pPr>
        <w:pStyle w:val="tier1Itext"/>
      </w:pPr>
    </w:p>
    <w:p w14:paraId="4903B4AC" w14:textId="7696D496" w:rsidR="00151441" w:rsidRPr="003C1EF6" w:rsidRDefault="0045252D" w:rsidP="0041115F">
      <w:pPr>
        <w:pStyle w:val="Heading3"/>
        <w:ind w:left="1224"/>
        <w:rPr>
          <w:highlight w:val="lightGray"/>
          <w:lang w:val="pt-BR"/>
        </w:rPr>
      </w:pPr>
      <w:bookmarkStart w:id="119" w:name="_Toc523833888"/>
      <w:r w:rsidRPr="003C1EF6">
        <w:rPr>
          <w:highlight w:val="lightGray"/>
          <w:lang w:val="pt-BR"/>
        </w:rPr>
        <w:lastRenderedPageBreak/>
        <w:t>C</w:t>
      </w:r>
      <w:r w:rsidR="00151441" w:rsidRPr="003C1EF6">
        <w:rPr>
          <w:highlight w:val="lightGray"/>
          <w:lang w:val="pt-BR"/>
        </w:rPr>
        <w:t xml:space="preserve">omunicações </w:t>
      </w:r>
      <w:r w:rsidR="0041115F" w:rsidRPr="003C1EF6">
        <w:rPr>
          <w:highlight w:val="lightGray"/>
          <w:lang w:val="pt-BR"/>
        </w:rPr>
        <w:t xml:space="preserve">com </w:t>
      </w:r>
      <w:r w:rsidRPr="003C1EF6">
        <w:rPr>
          <w:highlight w:val="lightGray"/>
          <w:lang w:val="pt-BR"/>
        </w:rPr>
        <w:t>O</w:t>
      </w:r>
      <w:r w:rsidR="0041115F" w:rsidRPr="003C1EF6">
        <w:rPr>
          <w:highlight w:val="lightGray"/>
          <w:lang w:val="pt-BR"/>
        </w:rPr>
        <w:t xml:space="preserve">utros </w:t>
      </w:r>
      <w:r w:rsidRPr="003C1EF6">
        <w:rPr>
          <w:highlight w:val="lightGray"/>
          <w:lang w:val="pt-BR"/>
        </w:rPr>
        <w:t>P</w:t>
      </w:r>
      <w:r w:rsidR="0041115F" w:rsidRPr="003C1EF6">
        <w:rPr>
          <w:highlight w:val="lightGray"/>
          <w:lang w:val="pt-BR"/>
        </w:rPr>
        <w:t>aíses</w:t>
      </w:r>
      <w:bookmarkEnd w:id="119"/>
    </w:p>
    <w:p w14:paraId="6387F792" w14:textId="19ADB218" w:rsidR="0041115F" w:rsidRPr="003C1EF6" w:rsidRDefault="0041115F" w:rsidP="0041115F">
      <w:pPr>
        <w:pStyle w:val="tier1Itext"/>
        <w:rPr>
          <w:highlight w:val="lightGray"/>
        </w:rPr>
      </w:pPr>
      <w:r w:rsidRPr="003C1EF6">
        <w:rPr>
          <w:highlight w:val="lightGray"/>
        </w:rPr>
        <w:t>Em virtude da possibilidade da deriva de uma mancha de óleo vazado ir em direção à</w:t>
      </w:r>
      <w:r w:rsidR="004A3ED8" w:rsidRPr="003C1EF6">
        <w:rPr>
          <w:highlight w:val="lightGray"/>
        </w:rPr>
        <w:t>s</w:t>
      </w:r>
      <w:r w:rsidRPr="003C1EF6">
        <w:rPr>
          <w:highlight w:val="lightGray"/>
        </w:rPr>
        <w:t xml:space="preserve"> águas nacionais de outro(s) país(es), seguem abaixo as diretrizes que conduzirão as </w:t>
      </w:r>
      <w:r w:rsidR="00D23359" w:rsidRPr="003C1EF6">
        <w:rPr>
          <w:highlight w:val="lightGray"/>
        </w:rPr>
        <w:t xml:space="preserve">ações e </w:t>
      </w:r>
      <w:r w:rsidRPr="003C1EF6">
        <w:rPr>
          <w:highlight w:val="lightGray"/>
        </w:rPr>
        <w:t xml:space="preserve">comunicações a serem feitas pela BP Energy. É importante notar que tais diretrizes foram elaboradas considerando as interações e potencial participação da OSRL como operador da resposta </w:t>
      </w:r>
      <w:r w:rsidR="00391611" w:rsidRPr="003C1EF6">
        <w:rPr>
          <w:highlight w:val="lightGray"/>
        </w:rPr>
        <w:t>d</w:t>
      </w:r>
      <w:r w:rsidRPr="003C1EF6">
        <w:rPr>
          <w:highlight w:val="lightGray"/>
        </w:rPr>
        <w:t xml:space="preserve">o </w:t>
      </w:r>
      <w:r w:rsidRPr="003C1EF6">
        <w:rPr>
          <w:i/>
          <w:highlight w:val="lightGray"/>
        </w:rPr>
        <w:t>Caribbean Island OPRC Plan</w:t>
      </w:r>
      <w:r w:rsidRPr="003C1EF6">
        <w:rPr>
          <w:highlight w:val="lightGray"/>
        </w:rPr>
        <w:t xml:space="preserve"> (Plano Regional de Resposta e Cooperação a Vazamentos de Óleo no Caribe)</w:t>
      </w:r>
      <w:r w:rsidR="00391611" w:rsidRPr="003C1EF6">
        <w:rPr>
          <w:highlight w:val="lightGray"/>
        </w:rPr>
        <w:t>.</w:t>
      </w:r>
    </w:p>
    <w:p w14:paraId="1A1E8D77" w14:textId="0D973D69" w:rsidR="0041115F" w:rsidRPr="003C1EF6" w:rsidRDefault="00C05671" w:rsidP="00C05671">
      <w:pPr>
        <w:pStyle w:val="tier1Itext"/>
        <w:numPr>
          <w:ilvl w:val="0"/>
          <w:numId w:val="37"/>
        </w:numPr>
        <w:rPr>
          <w:highlight w:val="lightGray"/>
        </w:rPr>
      </w:pPr>
      <w:r w:rsidRPr="003C1EF6">
        <w:rPr>
          <w:highlight w:val="lightGray"/>
        </w:rPr>
        <w:t>Quando n</w:t>
      </w:r>
      <w:r w:rsidR="0078308B" w:rsidRPr="003C1EF6">
        <w:rPr>
          <w:highlight w:val="lightGray"/>
        </w:rPr>
        <w:t xml:space="preserve">a fase de avaliação do potencial do </w:t>
      </w:r>
      <w:r w:rsidRPr="003C1EF6">
        <w:rPr>
          <w:highlight w:val="lightGray"/>
        </w:rPr>
        <w:t xml:space="preserve">impacto do incidente houver a indicação que a deriva da mancha ultrapassará os limites das águas nacionais brasileiras, a modelagem deverá ser consultada para verificação de potencial </w:t>
      </w:r>
      <w:r w:rsidR="00771DBB" w:rsidRPr="003C1EF6">
        <w:rPr>
          <w:highlight w:val="lightGray"/>
        </w:rPr>
        <w:t>destinação</w:t>
      </w:r>
      <w:r w:rsidRPr="003C1EF6">
        <w:rPr>
          <w:highlight w:val="lightGray"/>
        </w:rPr>
        <w:t xml:space="preserve"> e estimativa de tempo de chegada em águas nacionais de algum país da região;</w:t>
      </w:r>
    </w:p>
    <w:p w14:paraId="1216FB0D" w14:textId="001351AA" w:rsidR="00C05671" w:rsidRPr="003C1EF6" w:rsidRDefault="00C05671" w:rsidP="00C05671">
      <w:pPr>
        <w:pStyle w:val="tier1Itext"/>
        <w:numPr>
          <w:ilvl w:val="0"/>
          <w:numId w:val="37"/>
        </w:numPr>
        <w:rPr>
          <w:highlight w:val="lightGray"/>
        </w:rPr>
      </w:pPr>
      <w:r w:rsidRPr="003C1EF6">
        <w:rPr>
          <w:highlight w:val="lightGray"/>
        </w:rPr>
        <w:t xml:space="preserve">Esta informação deverá ser passada na comunicação do incidente protocolar às autoridades brasileiras ou em mensagem complementar a estas mesmas autoridades </w:t>
      </w:r>
      <w:r w:rsidR="00D23359" w:rsidRPr="003C1EF6">
        <w:rPr>
          <w:highlight w:val="lightGray"/>
        </w:rPr>
        <w:t>e</w:t>
      </w:r>
      <w:r w:rsidRPr="003C1EF6">
        <w:rPr>
          <w:highlight w:val="lightGray"/>
        </w:rPr>
        <w:t xml:space="preserve"> ao representante do </w:t>
      </w:r>
      <w:r w:rsidR="00D23359" w:rsidRPr="003C1EF6">
        <w:rPr>
          <w:highlight w:val="lightGray"/>
        </w:rPr>
        <w:t>GAA, se já designado;</w:t>
      </w:r>
    </w:p>
    <w:p w14:paraId="20D29625" w14:textId="60ED3115" w:rsidR="00C05671" w:rsidRPr="003C1EF6" w:rsidRDefault="00C05671" w:rsidP="00C05671">
      <w:pPr>
        <w:pStyle w:val="tier1Itext"/>
        <w:numPr>
          <w:ilvl w:val="0"/>
          <w:numId w:val="37"/>
        </w:numPr>
        <w:rPr>
          <w:highlight w:val="lightGray"/>
        </w:rPr>
      </w:pPr>
      <w:r w:rsidRPr="003C1EF6">
        <w:rPr>
          <w:highlight w:val="lightGray"/>
        </w:rPr>
        <w:t>O LIO (IMT) ou o Conselheiro de C&amp;EA</w:t>
      </w:r>
      <w:r w:rsidR="00D23359" w:rsidRPr="003C1EF6">
        <w:rPr>
          <w:rStyle w:val="FootnoteReference"/>
          <w:highlight w:val="lightGray"/>
        </w:rPr>
        <w:footnoteReference w:id="17"/>
      </w:r>
      <w:r w:rsidRPr="003C1EF6">
        <w:rPr>
          <w:highlight w:val="lightGray"/>
        </w:rPr>
        <w:t xml:space="preserve"> (</w:t>
      </w:r>
      <w:r w:rsidR="00D23359" w:rsidRPr="003C1EF6">
        <w:rPr>
          <w:highlight w:val="lightGray"/>
        </w:rPr>
        <w:t>BST</w:t>
      </w:r>
      <w:r w:rsidRPr="003C1EF6">
        <w:rPr>
          <w:highlight w:val="lightGray"/>
        </w:rPr>
        <w:t>) da BP</w:t>
      </w:r>
      <w:r w:rsidR="00771DBB" w:rsidRPr="003C1EF6">
        <w:rPr>
          <w:highlight w:val="lightGray"/>
        </w:rPr>
        <w:t xml:space="preserve"> Energy</w:t>
      </w:r>
      <w:r w:rsidRPr="003C1EF6">
        <w:rPr>
          <w:highlight w:val="lightGray"/>
        </w:rPr>
        <w:t xml:space="preserve"> entrará em contato com representante do Ministério de Relações Exteriores</w:t>
      </w:r>
      <w:r w:rsidR="00D23359" w:rsidRPr="003C1EF6">
        <w:rPr>
          <w:highlight w:val="lightGray"/>
        </w:rPr>
        <w:t xml:space="preserve"> (MRE)</w:t>
      </w:r>
      <w:r w:rsidRPr="003C1EF6">
        <w:rPr>
          <w:highlight w:val="lightGray"/>
        </w:rPr>
        <w:t xml:space="preserve"> para estabelecer canal de comunicação direta e definir os protocolos </w:t>
      </w:r>
      <w:r w:rsidR="00D23359" w:rsidRPr="003C1EF6">
        <w:rPr>
          <w:highlight w:val="lightGray"/>
        </w:rPr>
        <w:t xml:space="preserve">a serem adotados </w:t>
      </w:r>
      <w:r w:rsidRPr="003C1EF6">
        <w:rPr>
          <w:highlight w:val="lightGray"/>
        </w:rPr>
        <w:t>para contat</w:t>
      </w:r>
      <w:r w:rsidR="00D23359" w:rsidRPr="003C1EF6">
        <w:rPr>
          <w:highlight w:val="lightGray"/>
        </w:rPr>
        <w:t>o com o(s) potencial(ais) país(es) a ser(em) impactado(s). No caso de insucesso n</w:t>
      </w:r>
      <w:r w:rsidR="00771DBB" w:rsidRPr="003C1EF6">
        <w:rPr>
          <w:highlight w:val="lightGray"/>
        </w:rPr>
        <w:t>est</w:t>
      </w:r>
      <w:r w:rsidR="00D23359" w:rsidRPr="003C1EF6">
        <w:rPr>
          <w:highlight w:val="lightGray"/>
        </w:rPr>
        <w:t>a conexão com o MRE, a BP Energy procederá com sua estratégia de comunicação, mantendo os representantes do Governo Brasileiro</w:t>
      </w:r>
      <w:r w:rsidR="00463AB3" w:rsidRPr="003C1EF6">
        <w:rPr>
          <w:highlight w:val="lightGray"/>
        </w:rPr>
        <w:t xml:space="preserve"> (incluindo os membros do GAA, caso já constituído) </w:t>
      </w:r>
      <w:r w:rsidR="00D23359" w:rsidRPr="003C1EF6">
        <w:rPr>
          <w:highlight w:val="lightGray"/>
        </w:rPr>
        <w:t xml:space="preserve"> informados</w:t>
      </w:r>
      <w:r w:rsidR="00771DBB" w:rsidRPr="003C1EF6">
        <w:rPr>
          <w:highlight w:val="lightGray"/>
        </w:rPr>
        <w:t>,</w:t>
      </w:r>
      <w:r w:rsidR="00D23359" w:rsidRPr="003C1EF6">
        <w:rPr>
          <w:highlight w:val="lightGray"/>
        </w:rPr>
        <w:t xml:space="preserve"> através de cópia </w:t>
      </w:r>
      <w:r w:rsidR="008F262A" w:rsidRPr="003C1EF6">
        <w:rPr>
          <w:highlight w:val="lightGray"/>
        </w:rPr>
        <w:t xml:space="preserve">em todas </w:t>
      </w:r>
      <w:r w:rsidR="00D23359" w:rsidRPr="003C1EF6">
        <w:rPr>
          <w:highlight w:val="lightGray"/>
        </w:rPr>
        <w:t>as comunicações realizadas;</w:t>
      </w:r>
    </w:p>
    <w:p w14:paraId="155D0016" w14:textId="5AFDCCAA" w:rsidR="00D23359" w:rsidRPr="003C1EF6" w:rsidRDefault="00D23359" w:rsidP="00C05671">
      <w:pPr>
        <w:pStyle w:val="tier1Itext"/>
        <w:numPr>
          <w:ilvl w:val="0"/>
          <w:numId w:val="37"/>
        </w:numPr>
        <w:rPr>
          <w:highlight w:val="lightGray"/>
        </w:rPr>
      </w:pPr>
      <w:r w:rsidRPr="003C1EF6">
        <w:rPr>
          <w:highlight w:val="lightGray"/>
        </w:rPr>
        <w:t>A BP ativará a prontidão da OSRL</w:t>
      </w:r>
      <w:r w:rsidR="00463AB3" w:rsidRPr="003C1EF6">
        <w:rPr>
          <w:highlight w:val="lightGray"/>
        </w:rPr>
        <w:t xml:space="preserve"> e </w:t>
      </w:r>
      <w:r w:rsidRPr="003C1EF6">
        <w:rPr>
          <w:highlight w:val="lightGray"/>
        </w:rPr>
        <w:t>usará os contatos listados</w:t>
      </w:r>
      <w:r w:rsidR="00463AB3" w:rsidRPr="003C1EF6">
        <w:rPr>
          <w:rStyle w:val="FootnoteReference"/>
          <w:highlight w:val="lightGray"/>
        </w:rPr>
        <w:footnoteReference w:id="18"/>
      </w:r>
      <w:r w:rsidRPr="003C1EF6">
        <w:rPr>
          <w:highlight w:val="lightGray"/>
        </w:rPr>
        <w:t xml:space="preserve"> na tabela a</w:t>
      </w:r>
      <w:r w:rsidR="00463AB3" w:rsidRPr="003C1EF6">
        <w:rPr>
          <w:highlight w:val="lightGray"/>
        </w:rPr>
        <w:t xml:space="preserve">presentada </w:t>
      </w:r>
      <w:r w:rsidR="00771DBB" w:rsidRPr="003C1EF6">
        <w:rPr>
          <w:highlight w:val="lightGray"/>
        </w:rPr>
        <w:t>no Apêndice B</w:t>
      </w:r>
      <w:r w:rsidR="00463AB3" w:rsidRPr="003C1EF6">
        <w:rPr>
          <w:highlight w:val="lightGray"/>
        </w:rPr>
        <w:t>. Ressalta-se que as informações desta tabela serão verificadas e, se necessário, atualizadas antes da realização da APO e</w:t>
      </w:r>
      <w:r w:rsidR="008F262A" w:rsidRPr="003C1EF6">
        <w:rPr>
          <w:highlight w:val="lightGray"/>
        </w:rPr>
        <w:t>,</w:t>
      </w:r>
      <w:r w:rsidR="00463AB3" w:rsidRPr="003C1EF6">
        <w:rPr>
          <w:highlight w:val="lightGray"/>
        </w:rPr>
        <w:t xml:space="preserve"> novamente</w:t>
      </w:r>
      <w:r w:rsidR="008F262A" w:rsidRPr="003C1EF6">
        <w:rPr>
          <w:highlight w:val="lightGray"/>
        </w:rPr>
        <w:t>,</w:t>
      </w:r>
      <w:r w:rsidR="00463AB3" w:rsidRPr="003C1EF6">
        <w:rPr>
          <w:highlight w:val="lightGray"/>
        </w:rPr>
        <w:t xml:space="preserve"> antes da entrada na camada objetivo do projeto de perfuração, sendo também validadas com a OSRL;</w:t>
      </w:r>
    </w:p>
    <w:p w14:paraId="577E4FE7" w14:textId="36720357" w:rsidR="00463AB3" w:rsidRPr="003C1EF6" w:rsidRDefault="009D3D9B" w:rsidP="00C05671">
      <w:pPr>
        <w:pStyle w:val="tier1Itext"/>
        <w:numPr>
          <w:ilvl w:val="0"/>
          <w:numId w:val="37"/>
        </w:numPr>
        <w:rPr>
          <w:highlight w:val="lightGray"/>
        </w:rPr>
      </w:pPr>
      <w:r>
        <w:rPr>
          <w:highlight w:val="lightGray"/>
        </w:rPr>
        <w:lastRenderedPageBreak/>
        <w:t>s</w:t>
      </w:r>
      <w:r w:rsidR="00463AB3" w:rsidRPr="003C1EF6">
        <w:rPr>
          <w:highlight w:val="lightGray"/>
        </w:rPr>
        <w:t xml:space="preserve">Após </w:t>
      </w:r>
      <w:r w:rsidR="008F262A" w:rsidRPr="003C1EF6">
        <w:rPr>
          <w:highlight w:val="lightGray"/>
        </w:rPr>
        <w:t xml:space="preserve">serem feitas </w:t>
      </w:r>
      <w:r w:rsidR="00463AB3" w:rsidRPr="003C1EF6">
        <w:rPr>
          <w:highlight w:val="lightGray"/>
        </w:rPr>
        <w:t>a</w:t>
      </w:r>
      <w:r w:rsidR="008F262A" w:rsidRPr="003C1EF6">
        <w:rPr>
          <w:highlight w:val="lightGray"/>
        </w:rPr>
        <w:t>s</w:t>
      </w:r>
      <w:r w:rsidR="00463AB3" w:rsidRPr="003C1EF6">
        <w:rPr>
          <w:highlight w:val="lightGray"/>
        </w:rPr>
        <w:t xml:space="preserve"> comunicaç</w:t>
      </w:r>
      <w:r w:rsidR="008F262A" w:rsidRPr="003C1EF6">
        <w:rPr>
          <w:highlight w:val="lightGray"/>
        </w:rPr>
        <w:t>ões iniciais</w:t>
      </w:r>
      <w:r w:rsidR="00463AB3" w:rsidRPr="003C1EF6">
        <w:rPr>
          <w:highlight w:val="lightGray"/>
        </w:rPr>
        <w:t>,</w:t>
      </w:r>
      <w:r w:rsidR="008F262A" w:rsidRPr="003C1EF6">
        <w:rPr>
          <w:highlight w:val="lightGray"/>
        </w:rPr>
        <w:t xml:space="preserve"> a BP avaliará a melhor forma de prosseguimento na interação com este(s) país(es), segundo suas </w:t>
      </w:r>
      <w:r w:rsidR="00771DBB" w:rsidRPr="003C1EF6">
        <w:rPr>
          <w:highlight w:val="lightGray"/>
        </w:rPr>
        <w:t>P</w:t>
      </w:r>
      <w:r w:rsidR="008F262A" w:rsidRPr="003C1EF6">
        <w:rPr>
          <w:highlight w:val="lightGray"/>
        </w:rPr>
        <w:t>olíticas</w:t>
      </w:r>
      <w:r w:rsidR="00771DBB" w:rsidRPr="003C1EF6">
        <w:rPr>
          <w:highlight w:val="lightGray"/>
        </w:rPr>
        <w:t xml:space="preserve"> Corporativas</w:t>
      </w:r>
      <w:r w:rsidR="008F262A" w:rsidRPr="003C1EF6">
        <w:rPr>
          <w:highlight w:val="lightGray"/>
        </w:rPr>
        <w:t xml:space="preserve"> de Comunicação e </w:t>
      </w:r>
      <w:r w:rsidR="00771DBB" w:rsidRPr="003C1EF6">
        <w:rPr>
          <w:highlight w:val="lightGray"/>
        </w:rPr>
        <w:t xml:space="preserve">de </w:t>
      </w:r>
      <w:r w:rsidR="008F262A" w:rsidRPr="003C1EF6">
        <w:rPr>
          <w:highlight w:val="lightGray"/>
        </w:rPr>
        <w:t xml:space="preserve">Resposta à Emergência, reforçando o seu compromisso com a realização de todos os esforços necessários para </w:t>
      </w:r>
      <w:r w:rsidR="00DA2798" w:rsidRPr="003C1EF6">
        <w:rPr>
          <w:highlight w:val="lightGray"/>
        </w:rPr>
        <w:t xml:space="preserve">que todas as ações que tenham que ser ativadas para o </w:t>
      </w:r>
      <w:r w:rsidR="008F262A" w:rsidRPr="003C1EF6">
        <w:rPr>
          <w:highlight w:val="lightGray"/>
        </w:rPr>
        <w:t>retorno da situação à normalidade</w:t>
      </w:r>
      <w:r w:rsidR="00DA2798" w:rsidRPr="003C1EF6">
        <w:rPr>
          <w:highlight w:val="lightGray"/>
        </w:rPr>
        <w:t xml:space="preserve"> sejam feitas</w:t>
      </w:r>
      <w:r w:rsidR="008F262A" w:rsidRPr="003C1EF6">
        <w:rPr>
          <w:highlight w:val="lightGray"/>
        </w:rPr>
        <w:t xml:space="preserve">. Esta condução pelo Corporativo será completamente alinhada com a gestão </w:t>
      </w:r>
      <w:r w:rsidR="00DA2798" w:rsidRPr="003C1EF6">
        <w:rPr>
          <w:highlight w:val="lightGray"/>
        </w:rPr>
        <w:t>da resposta no Brasil</w:t>
      </w:r>
      <w:r w:rsidR="008F262A" w:rsidRPr="003C1EF6">
        <w:rPr>
          <w:highlight w:val="lightGray"/>
        </w:rPr>
        <w:t xml:space="preserve">, sendo o LIO ou o Conselheiro de C&amp;EA os pontos focais de informação às autoridades nacionais.  </w:t>
      </w:r>
      <w:r w:rsidR="00463AB3" w:rsidRPr="003C1EF6">
        <w:rPr>
          <w:highlight w:val="lightGray"/>
        </w:rPr>
        <w:t xml:space="preserve"> </w:t>
      </w:r>
    </w:p>
    <w:p w14:paraId="1E952E9F" w14:textId="77777777" w:rsidR="00151441" w:rsidRPr="0023103C" w:rsidRDefault="00151441" w:rsidP="007F7381">
      <w:pPr>
        <w:pStyle w:val="tier1Itext"/>
      </w:pPr>
    </w:p>
    <w:p w14:paraId="2A560264" w14:textId="77777777" w:rsidR="008300D5" w:rsidRPr="009E316F" w:rsidRDefault="008300D5" w:rsidP="009D01BE">
      <w:pPr>
        <w:pStyle w:val="Heading2"/>
        <w:rPr>
          <w:lang w:val="pt-BR"/>
        </w:rPr>
      </w:pPr>
      <w:bookmarkStart w:id="120" w:name="_Ref414612668"/>
      <w:bookmarkStart w:id="121" w:name="_Ref414612954"/>
      <w:bookmarkStart w:id="122" w:name="_Toc523833889"/>
      <w:r w:rsidRPr="009E316F">
        <w:rPr>
          <w:lang w:val="pt-BR"/>
        </w:rPr>
        <w:t>Procedimento para Gestão dos Recursos de Resposta</w:t>
      </w:r>
      <w:bookmarkEnd w:id="120"/>
      <w:bookmarkEnd w:id="121"/>
      <w:bookmarkEnd w:id="122"/>
    </w:p>
    <w:p w14:paraId="40A67D6F" w14:textId="77777777" w:rsidR="008300D5" w:rsidRPr="00AE3B8F" w:rsidRDefault="008300D5" w:rsidP="007F7381">
      <w:pPr>
        <w:pStyle w:val="tier1Itext"/>
        <w:keepNext/>
      </w:pPr>
      <w:r w:rsidRPr="007C0FC1">
        <w:t>Durante um incidente</w:t>
      </w:r>
      <w:r>
        <w:t xml:space="preserve">, é de suma importância que sejam estabelecidos procedimentos de gerenciamento </w:t>
      </w:r>
      <w:r w:rsidRPr="007A7508">
        <w:t>dos recursos de resposta</w:t>
      </w:r>
      <w:r>
        <w:t>,</w:t>
      </w:r>
      <w:r w:rsidRPr="007A7508">
        <w:t xml:space="preserve"> </w:t>
      </w:r>
      <w:r>
        <w:t>a fim de otimizar</w:t>
      </w:r>
      <w:r w:rsidRPr="005E3469">
        <w:t xml:space="preserve"> </w:t>
      </w:r>
      <w:r>
        <w:t>a utilização dos mesmos</w:t>
      </w:r>
      <w:r w:rsidRPr="005E3469">
        <w:t xml:space="preserve"> e </w:t>
      </w:r>
      <w:r w:rsidRPr="00AE3B8F">
        <w:t>aumentar a eficácia das operações.</w:t>
      </w:r>
    </w:p>
    <w:p w14:paraId="4E26F3A0" w14:textId="5839FB05" w:rsidR="008300D5" w:rsidRDefault="008300D5" w:rsidP="007F7381">
      <w:pPr>
        <w:pStyle w:val="tier1Itext"/>
      </w:pPr>
      <w:r w:rsidRPr="00AE3B8F">
        <w:t>A BP</w:t>
      </w:r>
      <w:r>
        <w:t xml:space="preserve"> Energy</w:t>
      </w:r>
      <w:r w:rsidRPr="00AE3B8F">
        <w:t xml:space="preserve"> mant</w:t>
      </w:r>
      <w:r>
        <w:t>ém</w:t>
      </w:r>
      <w:r w:rsidRPr="00AE3B8F">
        <w:t xml:space="preserve"> um inventário de equipamentos de resposta dedicados e prontamente disponíveis para atender a qualquer acidente de derramamento de óleo proveniente de suas atividades. Adicionalmente, mediante a eventual ocorrência de incidentes de grande magnitude e complexidade, a </w:t>
      </w:r>
      <w:r>
        <w:t>empresa</w:t>
      </w:r>
      <w:r w:rsidRPr="00AE3B8F">
        <w:t xml:space="preserve"> poderá ainda obter recursos adicionais </w:t>
      </w:r>
      <w:r>
        <w:t>de OSROs, sob contrato no país, ou externos, da</w:t>
      </w:r>
      <w:r w:rsidRPr="00AE3B8F">
        <w:t xml:space="preserve"> </w:t>
      </w:r>
      <w:r w:rsidRPr="00AE3B8F">
        <w:rPr>
          <w:i/>
        </w:rPr>
        <w:t>Oil Spill Response Limited</w:t>
      </w:r>
      <w:r w:rsidRPr="00AE3B8F">
        <w:t xml:space="preserve"> (OSRL)</w:t>
      </w:r>
      <w:r w:rsidRPr="00AE3B8F">
        <w:rPr>
          <w:rStyle w:val="FootnoteReference"/>
        </w:rPr>
        <w:footnoteReference w:id="19"/>
      </w:r>
      <w:r>
        <w:t xml:space="preserve">, </w:t>
      </w:r>
      <w:r w:rsidR="007C0FC1">
        <w:t xml:space="preserve">através </w:t>
      </w:r>
      <w:r>
        <w:t>de contrato firmado globalmente com esta finalidade</w:t>
      </w:r>
      <w:r w:rsidRPr="00AE3B8F">
        <w:t>.</w:t>
      </w:r>
      <w:r>
        <w:t xml:space="preserve"> Conforme apresentado, a empresa deslocará parte dos recursos de seu inventário de resposta para a Base de Apoio de Belém, de forma a ter de maneira mais expedita acesso a eles, no caso de uma necessidade.</w:t>
      </w:r>
    </w:p>
    <w:p w14:paraId="435FDDB6" w14:textId="4EF6E17E" w:rsidR="009F2728" w:rsidRPr="008B0695" w:rsidRDefault="009F2728" w:rsidP="007F7381">
      <w:pPr>
        <w:pStyle w:val="tier1Itext"/>
      </w:pPr>
      <w:r w:rsidRPr="008B0695">
        <w:rPr>
          <w:highlight w:val="lightGray"/>
        </w:rPr>
        <w:t>Caso a deriva da mancha de um potencial vazamento chegue à</w:t>
      </w:r>
      <w:r w:rsidR="009D3D9B" w:rsidRPr="008B0695">
        <w:rPr>
          <w:highlight w:val="lightGray"/>
        </w:rPr>
        <w:t>s</w:t>
      </w:r>
      <w:r w:rsidRPr="008B0695">
        <w:rPr>
          <w:highlight w:val="lightGray"/>
        </w:rPr>
        <w:t xml:space="preserve"> águas nacionais de outros países na região do Caribe, a resposta, envolvendo ativação de recursos humanos e equipamentos, será coordenada pela OSRL (sob supervisão do time de resposta da BP), que além de disponibilizar estes recursos, possui o conhecimento sobre as autorizações necessárias para suas entradas, mobilizações e movimentações, bem como das técnicas autorizadas por cada país.</w:t>
      </w:r>
      <w:r w:rsidRPr="008B0695">
        <w:t xml:space="preserve"> </w:t>
      </w:r>
    </w:p>
    <w:p w14:paraId="475D14F8" w14:textId="10CAAE1D" w:rsidR="008300D5" w:rsidRPr="005E3469" w:rsidRDefault="007F7381" w:rsidP="007F7381">
      <w:pPr>
        <w:pStyle w:val="tier1Itext"/>
      </w:pPr>
      <w:r>
        <w:lastRenderedPageBreak/>
        <w:t xml:space="preserve">O </w:t>
      </w:r>
      <w:r w:rsidRPr="005B3229">
        <w:rPr>
          <w:b/>
        </w:rPr>
        <w:t xml:space="preserve">APÊNDICE </w:t>
      </w:r>
      <w:r w:rsidR="0005212C" w:rsidRPr="005B3229">
        <w:rPr>
          <w:b/>
        </w:rPr>
        <w:t>F</w:t>
      </w:r>
      <w:r>
        <w:t xml:space="preserve"> </w:t>
      </w:r>
      <w:r w:rsidR="008300D5" w:rsidRPr="005E3469">
        <w:t xml:space="preserve">apresenta o inventário </w:t>
      </w:r>
      <w:r w:rsidR="008300D5">
        <w:t>dos</w:t>
      </w:r>
      <w:r w:rsidR="008300D5" w:rsidRPr="005E3469">
        <w:t xml:space="preserve"> recursos táticos e os respectivos tempos mínimos para disponibilidade </w:t>
      </w:r>
      <w:r w:rsidR="008300D5">
        <w:t xml:space="preserve">dos mesmos </w:t>
      </w:r>
      <w:r w:rsidR="008300D5" w:rsidRPr="005E3469">
        <w:t>no local da ocorrência do derramamento de óleo.</w:t>
      </w:r>
    </w:p>
    <w:p w14:paraId="58FA51BF" w14:textId="77777777" w:rsidR="008300D5" w:rsidRPr="005B3229" w:rsidRDefault="008300D5" w:rsidP="006F18B8">
      <w:pPr>
        <w:pStyle w:val="Heading3"/>
        <w:ind w:left="1224"/>
        <w:rPr>
          <w:lang w:val="pt-BR"/>
        </w:rPr>
      </w:pPr>
      <w:bookmarkStart w:id="123" w:name="_Ref414539175"/>
      <w:bookmarkStart w:id="124" w:name="_Toc523833890"/>
      <w:r w:rsidRPr="005B3229">
        <w:rPr>
          <w:lang w:val="pt-BR"/>
        </w:rPr>
        <w:t>Mobilização de recursos táticos e instalações</w:t>
      </w:r>
      <w:bookmarkEnd w:id="123"/>
      <w:bookmarkEnd w:id="124"/>
    </w:p>
    <w:p w14:paraId="161EFC8F" w14:textId="034E08A7" w:rsidR="008300D5" w:rsidRPr="002D2F32" w:rsidRDefault="008300D5" w:rsidP="007F7381">
      <w:pPr>
        <w:pStyle w:val="tier1Itext"/>
      </w:pPr>
      <w:r w:rsidRPr="005E3469">
        <w:t xml:space="preserve">Os procedimentos </w:t>
      </w:r>
      <w:r>
        <w:t>para</w:t>
      </w:r>
      <w:r w:rsidRPr="005E3469">
        <w:t xml:space="preserve"> mobilização</w:t>
      </w:r>
      <w:r>
        <w:t xml:space="preserve"> de</w:t>
      </w:r>
      <w:r w:rsidRPr="005E3469">
        <w:t xml:space="preserve"> recursos </w:t>
      </w:r>
      <w:r>
        <w:t>abrangem</w:t>
      </w:r>
      <w:r w:rsidRPr="005E3469">
        <w:t xml:space="preserve"> ações </w:t>
      </w:r>
      <w:r>
        <w:t>de</w:t>
      </w:r>
      <w:r w:rsidRPr="005E3469">
        <w:t xml:space="preserve"> ativação/solicitação, transporte e atribuição de recursos humanos e materiais</w:t>
      </w:r>
      <w:r>
        <w:t xml:space="preserve"> coordenados pelo </w:t>
      </w:r>
      <w:r w:rsidR="007C0FC1">
        <w:t>Líder da Unidade de Recursos</w:t>
      </w:r>
      <w:r w:rsidR="007C0FC1" w:rsidRPr="009E65BE">
        <w:rPr>
          <w:i/>
        </w:rPr>
        <w:t xml:space="preserve"> </w:t>
      </w:r>
      <w:r>
        <w:t>(</w:t>
      </w:r>
      <w:r w:rsidR="005D2FF0">
        <w:t xml:space="preserve">em inglês, </w:t>
      </w:r>
      <w:r w:rsidR="005D2FF0" w:rsidRPr="009E65BE">
        <w:rPr>
          <w:i/>
        </w:rPr>
        <w:t>Resource Unit Leader</w:t>
      </w:r>
      <w:r w:rsidR="005D2FF0">
        <w:rPr>
          <w:i/>
        </w:rPr>
        <w:t xml:space="preserve"> </w:t>
      </w:r>
      <w:r w:rsidR="00B37F6A">
        <w:rPr>
          <w:i/>
        </w:rPr>
        <w:t>–</w:t>
      </w:r>
      <w:r w:rsidR="005D2FF0">
        <w:rPr>
          <w:i/>
        </w:rPr>
        <w:t xml:space="preserve"> RUL</w:t>
      </w:r>
      <w:r>
        <w:t>)</w:t>
      </w:r>
      <w:r w:rsidRPr="005E3469">
        <w:t xml:space="preserve">. Neste item serão </w:t>
      </w:r>
      <w:r>
        <w:t>discutidos</w:t>
      </w:r>
      <w:r w:rsidRPr="005E3469">
        <w:t xml:space="preserve"> os </w:t>
      </w:r>
      <w:r w:rsidRPr="00925B96">
        <w:t>procedimentos</w:t>
      </w:r>
      <w:r w:rsidRPr="005E3469">
        <w:t xml:space="preserve"> para mobilização de recursos táticos (operacionais). Os procedimentos </w:t>
      </w:r>
      <w:r>
        <w:t>para a</w:t>
      </w:r>
      <w:r w:rsidRPr="005E3469">
        <w:t xml:space="preserve"> mobilização de recursos humanos</w:t>
      </w:r>
      <w:r>
        <w:t xml:space="preserve"> estão </w:t>
      </w:r>
      <w:r w:rsidRPr="005E3469">
        <w:t xml:space="preserve">descritos </w:t>
      </w:r>
      <w:r w:rsidRPr="002D2F32">
        <w:t xml:space="preserve">no item </w:t>
      </w:r>
      <w:r w:rsidR="007F7381" w:rsidRPr="002D2F32">
        <w:fldChar w:fldCharType="begin"/>
      </w:r>
      <w:r w:rsidR="007F7381" w:rsidRPr="002D2F32">
        <w:instrText xml:space="preserve"> REF _Ref414534840 \r \h </w:instrText>
      </w:r>
      <w:r w:rsidR="002D2F32" w:rsidRPr="002D2F32">
        <w:instrText xml:space="preserve"> \* MERGEFORMAT </w:instrText>
      </w:r>
      <w:r w:rsidR="007F7381" w:rsidRPr="002D2F32">
        <w:fldChar w:fldCharType="separate"/>
      </w:r>
      <w:r w:rsidR="00897470">
        <w:t>6</w:t>
      </w:r>
      <w:r w:rsidR="007F7381" w:rsidRPr="002D2F32">
        <w:fldChar w:fldCharType="end"/>
      </w:r>
      <w:r w:rsidRPr="002D2F32">
        <w:t>.</w:t>
      </w:r>
    </w:p>
    <w:p w14:paraId="3DCBAA34" w14:textId="77777777" w:rsidR="008300D5" w:rsidRPr="005E3469" w:rsidRDefault="008300D5" w:rsidP="007F7381">
      <w:pPr>
        <w:pStyle w:val="tier1Itext"/>
      </w:pPr>
      <w:r w:rsidRPr="005E3469">
        <w:t>No caso dos recursos táticos dedicados à primeira resposta, o Comandante Inicial</w:t>
      </w:r>
      <w:r>
        <w:t>/Local</w:t>
      </w:r>
      <w:r w:rsidRPr="005E3469">
        <w:t xml:space="preserve"> do Incidente</w:t>
      </w:r>
      <w:r>
        <w:t xml:space="preserve"> (IC inicial/OSC Delegado)</w:t>
      </w:r>
      <w:r w:rsidRPr="005E3469">
        <w:t xml:space="preserve"> deverá garantir a notificação </w:t>
      </w:r>
      <w:r>
        <w:t xml:space="preserve">e mobilização </w:t>
      </w:r>
      <w:r w:rsidRPr="005E3469">
        <w:t>das embarcações de resposta e</w:t>
      </w:r>
      <w:r>
        <w:t xml:space="preserve"> demais recursos necessários para</w:t>
      </w:r>
      <w:r w:rsidRPr="005E3469">
        <w:t xml:space="preserve"> a operacionalização das estratégias descritas </w:t>
      </w:r>
      <w:r>
        <w:t>neste</w:t>
      </w:r>
      <w:r w:rsidRPr="005E3469">
        <w:t xml:space="preserve"> </w:t>
      </w:r>
      <w:r>
        <w:t>PEI</w:t>
      </w:r>
      <w:r w:rsidRPr="005E3469">
        <w:t xml:space="preserve">. Havendo necessidade de escalonar as ações de resposta, </w:t>
      </w:r>
      <w:r w:rsidR="005D2FF0">
        <w:t>posições</w:t>
      </w:r>
      <w:r w:rsidR="005D2FF0" w:rsidRPr="005E3469">
        <w:t xml:space="preserve"> </w:t>
      </w:r>
      <w:r>
        <w:t>da IMT</w:t>
      </w:r>
      <w:r w:rsidRPr="005E3469">
        <w:t xml:space="preserve"> poderão ser acionadas para assumir o gerenciamento do incidente</w:t>
      </w:r>
      <w:r>
        <w:t xml:space="preserve">, e consequentemente, apoiar a mobilização de </w:t>
      </w:r>
      <w:r w:rsidRPr="005E3469">
        <w:t>recursos táticos</w:t>
      </w:r>
      <w:r>
        <w:t xml:space="preserve"> adicionais</w:t>
      </w:r>
      <w:r w:rsidRPr="005E3469">
        <w:t>.</w:t>
      </w:r>
    </w:p>
    <w:p w14:paraId="494D65D5" w14:textId="77777777" w:rsidR="008300D5" w:rsidRPr="008300D5" w:rsidRDefault="008300D5" w:rsidP="007F7381">
      <w:pPr>
        <w:pStyle w:val="tier1Itext"/>
      </w:pPr>
      <w:r>
        <w:t>Resumidamente, as responsabilidades dos membros da IMT quanto à</w:t>
      </w:r>
      <w:r w:rsidRPr="005E3469">
        <w:t xml:space="preserve"> mobilização de recursos </w:t>
      </w:r>
      <w:r w:rsidRPr="008300D5">
        <w:t>táticos adicionais são:</w:t>
      </w:r>
    </w:p>
    <w:p w14:paraId="39486728"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8300D5">
        <w:rPr>
          <w:rFonts w:asciiTheme="majorHAnsi" w:hAnsiTheme="majorHAnsi"/>
        </w:rPr>
        <w:t>O IC é responsável por estabelecer os objetivos das ações de resposta ao incidente e aprovar pedidos de recursos adicionais e estabelecer os</w:t>
      </w:r>
      <w:r w:rsidR="007F7381">
        <w:rPr>
          <w:rFonts w:asciiTheme="majorHAnsi" w:hAnsiTheme="majorHAnsi"/>
        </w:rPr>
        <w:t xml:space="preserve"> limites de competência da EOR;</w:t>
      </w:r>
    </w:p>
    <w:p w14:paraId="29AA4E03"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300D5">
        <w:rPr>
          <w:rFonts w:asciiTheme="majorHAnsi" w:hAnsiTheme="majorHAnsi"/>
        </w:rPr>
        <w:t>O OSC, LSC e o Líder da Unidade de Recursos ou PSC quando RUL não acionado (com apoio de outros membros, quando necessários) são responsáveis por identificar a necessidade de mobilização de recursos táticos adicionais, designar uma atribuição aos mesmos e supervisionar seus usos a fim de garantir o alcance dos objetivos de resposta;</w:t>
      </w:r>
    </w:p>
    <w:p w14:paraId="057F92D3"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300D5">
        <w:rPr>
          <w:rFonts w:asciiTheme="majorHAnsi" w:hAnsiTheme="majorHAnsi"/>
        </w:rPr>
        <w:t>O PSC ou membro designado é responsável por garantir que seja mantido o resumo da situ</w:t>
      </w:r>
      <w:r w:rsidR="007F7381">
        <w:rPr>
          <w:rFonts w:asciiTheme="majorHAnsi" w:hAnsiTheme="majorHAnsi"/>
        </w:rPr>
        <w:t>ação dos recursos (inventário);</w:t>
      </w:r>
    </w:p>
    <w:p w14:paraId="0A3051F1" w14:textId="77777777" w:rsidR="008300D5" w:rsidRPr="008300D5"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8300D5">
        <w:rPr>
          <w:rFonts w:asciiTheme="majorHAnsi" w:hAnsiTheme="majorHAnsi"/>
        </w:rPr>
        <w:t>O LSC ou membro designado é responsável por ordenar recursos táticos adicionais e garantir sua entrega nos locais e prazos estabelecidos pelo RUL e o OSC.</w:t>
      </w:r>
    </w:p>
    <w:p w14:paraId="7AC4413F" w14:textId="77777777" w:rsidR="008300D5" w:rsidRPr="00D83A16" w:rsidRDefault="008300D5" w:rsidP="007F7381">
      <w:pPr>
        <w:pStyle w:val="tier1Itext"/>
      </w:pPr>
      <w:r w:rsidRPr="00B269A8">
        <w:t xml:space="preserve">A </w:t>
      </w:r>
      <w:r w:rsidRPr="00B269A8">
        <w:rPr>
          <w:b/>
        </w:rPr>
        <w:fldChar w:fldCharType="begin"/>
      </w:r>
      <w:r w:rsidRPr="00B269A8">
        <w:rPr>
          <w:b/>
        </w:rPr>
        <w:instrText xml:space="preserve"> REF _Ref413398794 \h  \* MERGEFORMAT </w:instrText>
      </w:r>
      <w:r w:rsidRPr="00B269A8">
        <w:rPr>
          <w:b/>
        </w:rPr>
      </w:r>
      <w:r w:rsidRPr="00B269A8">
        <w:rPr>
          <w:b/>
        </w:rPr>
        <w:fldChar w:fldCharType="separate"/>
      </w:r>
      <w:r w:rsidR="00897470" w:rsidRPr="00897470">
        <w:rPr>
          <w:b/>
        </w:rPr>
        <w:t xml:space="preserve">Figura </w:t>
      </w:r>
      <w:r w:rsidR="00897470" w:rsidRPr="00897470">
        <w:rPr>
          <w:b/>
          <w:noProof/>
        </w:rPr>
        <w:t>7</w:t>
      </w:r>
      <w:r w:rsidRPr="00B269A8">
        <w:rPr>
          <w:b/>
        </w:rPr>
        <w:fldChar w:fldCharType="end"/>
      </w:r>
      <w:r w:rsidRPr="00B269A8">
        <w:t xml:space="preserve"> apresenta um fluxograma</w:t>
      </w:r>
      <w:r w:rsidRPr="00D83A16">
        <w:t xml:space="preserve"> ilustrativo do processo de mobilização de recursos táticos</w:t>
      </w:r>
      <w:r>
        <w:t>.</w:t>
      </w:r>
    </w:p>
    <w:p w14:paraId="5607FEA7" w14:textId="77777777" w:rsidR="008300D5" w:rsidRDefault="008300D5" w:rsidP="007F7381">
      <w:pPr>
        <w:pStyle w:val="tier1Itext"/>
        <w:spacing w:before="0" w:after="0" w:line="240" w:lineRule="auto"/>
        <w:jc w:val="center"/>
      </w:pPr>
      <w:r w:rsidRPr="00260F00">
        <w:rPr>
          <w:noProof/>
          <w:lang w:val="en-US"/>
        </w:rPr>
        <w:lastRenderedPageBreak/>
        <w:drawing>
          <wp:inline distT="0" distB="0" distL="0" distR="0" wp14:anchorId="357501CC" wp14:editId="64D2BB16">
            <wp:extent cx="5339661" cy="7915275"/>
            <wp:effectExtent l="0" t="0" r="0" b="0"/>
            <wp:docPr id="294" name="Imagem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58320" cy="7942934"/>
                    </a:xfrm>
                    <a:prstGeom prst="rect">
                      <a:avLst/>
                    </a:prstGeom>
                    <a:noFill/>
                    <a:ln>
                      <a:noFill/>
                    </a:ln>
                  </pic:spPr>
                </pic:pic>
              </a:graphicData>
            </a:graphic>
          </wp:inline>
        </w:drawing>
      </w:r>
    </w:p>
    <w:p w14:paraId="0BC134BF" w14:textId="61B94BDE" w:rsidR="008300D5" w:rsidRPr="007F7381" w:rsidRDefault="008300D5" w:rsidP="007F7381">
      <w:pPr>
        <w:pStyle w:val="Caption"/>
        <w:keepNext w:val="0"/>
        <w:spacing w:before="0" w:after="0" w:line="240" w:lineRule="auto"/>
      </w:pPr>
      <w:bookmarkStart w:id="125" w:name="_Ref413398794"/>
      <w:bookmarkStart w:id="126" w:name="_Toc413848074"/>
      <w:bookmarkStart w:id="127" w:name="_Toc523833972"/>
      <w:r w:rsidRPr="007F7381">
        <w:t xml:space="preserve">Figura </w:t>
      </w:r>
      <w:fldSimple w:instr=" SEQ Figura \* ARABIC ">
        <w:r w:rsidR="00897470">
          <w:rPr>
            <w:noProof/>
          </w:rPr>
          <w:t>7</w:t>
        </w:r>
      </w:fldSimple>
      <w:bookmarkEnd w:id="125"/>
      <w:r w:rsidRPr="007F7381">
        <w:t>: Processo de mobilização de recursos táticos</w:t>
      </w:r>
      <w:r w:rsidR="008D6541">
        <w:t xml:space="preserve"> </w:t>
      </w:r>
      <w:r w:rsidR="008D6541" w:rsidRPr="00946134">
        <w:t>(</w:t>
      </w:r>
      <w:r w:rsidR="00B86422">
        <w:t>Fonte: Witt|O’Brien’s</w:t>
      </w:r>
      <w:r w:rsidR="008D6541" w:rsidRPr="00946134">
        <w:t>)</w:t>
      </w:r>
      <w:r w:rsidRPr="007F7381">
        <w:t>.</w:t>
      </w:r>
      <w:bookmarkEnd w:id="126"/>
      <w:bookmarkEnd w:id="127"/>
    </w:p>
    <w:p w14:paraId="0E114254" w14:textId="77777777" w:rsidR="008300D5" w:rsidRPr="009D01BE" w:rsidRDefault="008300D5" w:rsidP="006F18B8">
      <w:pPr>
        <w:pStyle w:val="Heading3"/>
        <w:ind w:left="1224"/>
      </w:pPr>
      <w:bookmarkStart w:id="128" w:name="_Toc411257113"/>
      <w:bookmarkStart w:id="129" w:name="_Toc413848026"/>
      <w:bookmarkStart w:id="130" w:name="_Ref414549303"/>
      <w:bookmarkStart w:id="131" w:name="_Toc523833891"/>
      <w:r w:rsidRPr="009D01BE">
        <w:lastRenderedPageBreak/>
        <w:t>Desmobilização de recursos e instalações</w:t>
      </w:r>
      <w:bookmarkEnd w:id="128"/>
      <w:bookmarkEnd w:id="129"/>
      <w:bookmarkEnd w:id="130"/>
      <w:bookmarkEnd w:id="131"/>
    </w:p>
    <w:p w14:paraId="472A5A2C" w14:textId="77777777" w:rsidR="008300D5" w:rsidRPr="008748AC" w:rsidRDefault="008300D5" w:rsidP="003B5BCC">
      <w:pPr>
        <w:pStyle w:val="tier1Itext"/>
      </w:pPr>
      <w:r w:rsidRPr="008748AC">
        <w:t xml:space="preserve">As operações de desmobilização visam o retorno ordenado, seguro e eficiente de um recurso ao seu local </w:t>
      </w:r>
      <w:r>
        <w:t>de origem e condições de operações iniciais</w:t>
      </w:r>
      <w:r w:rsidRPr="008748AC">
        <w:t>. Essas ações devem ser avaliadas e conduzidas ao longo de toda a resposta a emergência a fim de que os recursos sem atribuição em um determinado momento ou área de operação possam ser disponibilizados para outras áreas de operação ou, retornados a área/base de apoio ou fornecedor</w:t>
      </w:r>
      <w:r>
        <w:t xml:space="preserve">, não incidindo em </w:t>
      </w:r>
      <w:r w:rsidR="005D2FF0">
        <w:t xml:space="preserve">indisponibilidade do recurso para outra operação e a incidência de </w:t>
      </w:r>
      <w:r>
        <w:t>custos desnecessários dispendidos na resposta</w:t>
      </w:r>
      <w:r w:rsidRPr="008748AC">
        <w:t>.</w:t>
      </w:r>
    </w:p>
    <w:p w14:paraId="3ED212AA" w14:textId="77777777" w:rsidR="008300D5" w:rsidRPr="008748AC" w:rsidRDefault="008300D5" w:rsidP="003B5BCC">
      <w:pPr>
        <w:pStyle w:val="tier1Itext"/>
      </w:pPr>
      <w:r w:rsidRPr="00F93AF0">
        <w:t>Aspectos que podem ser utilizados como indicadores de potencial necessidade de conduzir as ações de desmobilização incluem</w:t>
      </w:r>
      <w:r w:rsidRPr="008748AC">
        <w:t>:</w:t>
      </w:r>
    </w:p>
    <w:p w14:paraId="1C22E4F1"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9B756F">
        <w:rPr>
          <w:rFonts w:asciiTheme="majorHAnsi" w:hAnsiTheme="majorHAnsi"/>
        </w:rPr>
        <w:t>Recursos mobilizados sem atribuição prevista no curto prazo;</w:t>
      </w:r>
    </w:p>
    <w:p w14:paraId="01B5BB96"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B756F">
        <w:rPr>
          <w:rFonts w:asciiTheme="majorHAnsi" w:hAnsiTheme="majorHAnsi"/>
        </w:rPr>
        <w:t>Excesso de recursos identificados durante o processo de planejamento;</w:t>
      </w:r>
    </w:p>
    <w:p w14:paraId="33EA084A"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9B756F">
        <w:rPr>
          <w:rFonts w:asciiTheme="majorHAnsi" w:hAnsiTheme="majorHAnsi"/>
        </w:rPr>
        <w:t>Objetivos das ações de resposta alcançados.</w:t>
      </w:r>
    </w:p>
    <w:p w14:paraId="344CCB77" w14:textId="77777777" w:rsidR="008300D5" w:rsidRPr="009B756F" w:rsidRDefault="008300D5" w:rsidP="00EA2A77">
      <w:pPr>
        <w:pStyle w:val="OCEBulle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9B756F">
        <w:rPr>
          <w:rFonts w:asciiTheme="majorHAnsi" w:hAnsiTheme="majorHAnsi"/>
        </w:rPr>
        <w:t>Técnicas de resposta descontinuadas.</w:t>
      </w:r>
    </w:p>
    <w:p w14:paraId="012650C7" w14:textId="77777777" w:rsidR="008300D5" w:rsidRDefault="008300D5" w:rsidP="003B5BCC">
      <w:pPr>
        <w:pStyle w:val="tier1Itext"/>
      </w:pPr>
      <w:r>
        <w:t xml:space="preserve">A </w:t>
      </w:r>
      <w:r w:rsidRPr="0083428F">
        <w:rPr>
          <w:b/>
        </w:rPr>
        <w:fldChar w:fldCharType="begin"/>
      </w:r>
      <w:r w:rsidRPr="0083428F">
        <w:rPr>
          <w:b/>
        </w:rPr>
        <w:instrText xml:space="preserve"> REF _Ref411620521 \h </w:instrText>
      </w:r>
      <w:r>
        <w:rPr>
          <w:b/>
        </w:rPr>
        <w:instrText xml:space="preserve"> \* MERGEFORMAT </w:instrText>
      </w:r>
      <w:r w:rsidRPr="0083428F">
        <w:rPr>
          <w:b/>
        </w:rPr>
      </w:r>
      <w:r w:rsidRPr="0083428F">
        <w:rPr>
          <w:b/>
        </w:rPr>
        <w:fldChar w:fldCharType="separate"/>
      </w:r>
      <w:r w:rsidR="00897470" w:rsidRPr="00897470">
        <w:rPr>
          <w:b/>
        </w:rPr>
        <w:t xml:space="preserve">Figura </w:t>
      </w:r>
      <w:r w:rsidR="00897470" w:rsidRPr="00897470">
        <w:rPr>
          <w:b/>
          <w:noProof/>
        </w:rPr>
        <w:t>8</w:t>
      </w:r>
      <w:r w:rsidRPr="0083428F">
        <w:rPr>
          <w:b/>
        </w:rPr>
        <w:fldChar w:fldCharType="end"/>
      </w:r>
      <w:r>
        <w:t xml:space="preserve"> apresenta uma visão geral do processo de desmobilização de recursos táticos.</w:t>
      </w:r>
    </w:p>
    <w:p w14:paraId="35F58CC7" w14:textId="77777777" w:rsidR="008300D5" w:rsidRDefault="008300D5" w:rsidP="003B5BCC">
      <w:pPr>
        <w:pStyle w:val="Caption"/>
        <w:keepNext w:val="0"/>
        <w:spacing w:before="0" w:after="0" w:line="240" w:lineRule="auto"/>
      </w:pPr>
      <w:r w:rsidRPr="00260F00">
        <w:rPr>
          <w:noProof/>
          <w:lang w:val="en-US"/>
        </w:rPr>
        <w:drawing>
          <wp:inline distT="0" distB="0" distL="0" distR="0" wp14:anchorId="03601BE1" wp14:editId="191A34E6">
            <wp:extent cx="5299820" cy="4080933"/>
            <wp:effectExtent l="0" t="0" r="0" b="0"/>
            <wp:docPr id="295" name="Imagem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06454" cy="4086041"/>
                    </a:xfrm>
                    <a:prstGeom prst="rect">
                      <a:avLst/>
                    </a:prstGeom>
                    <a:noFill/>
                    <a:ln>
                      <a:noFill/>
                    </a:ln>
                  </pic:spPr>
                </pic:pic>
              </a:graphicData>
            </a:graphic>
          </wp:inline>
        </w:drawing>
      </w:r>
    </w:p>
    <w:p w14:paraId="282687C3" w14:textId="4F6313C1" w:rsidR="008300D5" w:rsidRDefault="008300D5" w:rsidP="003B5BCC">
      <w:pPr>
        <w:pStyle w:val="Caption"/>
        <w:keepNext w:val="0"/>
        <w:spacing w:before="0" w:after="0" w:line="240" w:lineRule="auto"/>
        <w:rPr>
          <w:b w:val="0"/>
        </w:rPr>
      </w:pPr>
      <w:bookmarkStart w:id="132" w:name="_Ref411620521"/>
      <w:bookmarkStart w:id="133" w:name="_Toc413848075"/>
      <w:bookmarkStart w:id="134" w:name="_Toc523833973"/>
      <w:r w:rsidRPr="008300D5">
        <w:t xml:space="preserve">Figura </w:t>
      </w:r>
      <w:fldSimple w:instr=" SEQ Figura \* ARABIC ">
        <w:r w:rsidR="00897470">
          <w:rPr>
            <w:noProof/>
          </w:rPr>
          <w:t>8</w:t>
        </w:r>
      </w:fldSimple>
      <w:bookmarkEnd w:id="132"/>
      <w:r w:rsidRPr="008300D5">
        <w:t>: Processo de desmobilização de recursos táticos</w:t>
      </w:r>
      <w:bookmarkEnd w:id="133"/>
      <w:r w:rsidR="008D6541">
        <w:t xml:space="preserve"> </w:t>
      </w:r>
      <w:r w:rsidR="008D6541" w:rsidRPr="00946134">
        <w:t>(</w:t>
      </w:r>
      <w:r w:rsidR="00B86422">
        <w:t>Fonte: Witt|O’Brien’s</w:t>
      </w:r>
      <w:r w:rsidR="008D6541" w:rsidRPr="00946134">
        <w:t>)</w:t>
      </w:r>
      <w:r w:rsidR="008D6541">
        <w:t>.</w:t>
      </w:r>
      <w:bookmarkEnd w:id="134"/>
    </w:p>
    <w:p w14:paraId="6932FE22" w14:textId="6616894E" w:rsidR="008300D5" w:rsidRDefault="008300D5" w:rsidP="008300D5">
      <w:pPr>
        <w:pStyle w:val="tier1Itext"/>
      </w:pPr>
      <w:r w:rsidRPr="0081168D">
        <w:lastRenderedPageBreak/>
        <w:t xml:space="preserve">Até a desmobilização completa e encerramento das ações de resposta (descrito </w:t>
      </w:r>
      <w:r w:rsidRPr="002D2F32">
        <w:t xml:space="preserve">no item </w:t>
      </w:r>
      <w:r w:rsidR="009B756F" w:rsidRPr="002D2F32">
        <w:rPr>
          <w:highlight w:val="yellow"/>
        </w:rPr>
        <w:fldChar w:fldCharType="begin"/>
      </w:r>
      <w:r w:rsidR="009B756F" w:rsidRPr="002D2F32">
        <w:instrText xml:space="preserve"> REF _Ref414456392 \r \h </w:instrText>
      </w:r>
      <w:r w:rsidR="002D2F32" w:rsidRPr="002D2F32">
        <w:rPr>
          <w:highlight w:val="yellow"/>
        </w:rPr>
        <w:instrText xml:space="preserve"> \* MERGEFORMAT </w:instrText>
      </w:r>
      <w:r w:rsidR="009B756F" w:rsidRPr="002D2F32">
        <w:rPr>
          <w:highlight w:val="yellow"/>
        </w:rPr>
      </w:r>
      <w:r w:rsidR="009B756F" w:rsidRPr="002D2F32">
        <w:rPr>
          <w:highlight w:val="yellow"/>
        </w:rPr>
        <w:fldChar w:fldCharType="separate"/>
      </w:r>
      <w:r w:rsidR="00897470">
        <w:t>10</w:t>
      </w:r>
      <w:r w:rsidR="009B756F" w:rsidRPr="002D2F32">
        <w:rPr>
          <w:highlight w:val="yellow"/>
        </w:rPr>
        <w:fldChar w:fldCharType="end"/>
      </w:r>
      <w:r w:rsidRPr="002D2F32">
        <w:t>),</w:t>
      </w:r>
      <w:r w:rsidRPr="0081168D">
        <w:t xml:space="preserve"> a </w:t>
      </w:r>
      <w:r>
        <w:t>BP Energy</w:t>
      </w:r>
      <w:r w:rsidRPr="0081168D">
        <w:t xml:space="preserve"> deverá manter mobilizadas as funções da </w:t>
      </w:r>
      <w:r w:rsidR="005B3229">
        <w:t>IMT</w:t>
      </w:r>
      <w:r w:rsidRPr="0081168D">
        <w:t xml:space="preserve"> </w:t>
      </w:r>
      <w:r>
        <w:t>e recursos táticos necessário</w:t>
      </w:r>
      <w:r w:rsidRPr="0081168D">
        <w:t xml:space="preserve">s para garantir o controle da situação, </w:t>
      </w:r>
      <w:r>
        <w:t xml:space="preserve">o gerenciamento da fase da resposta (incluindo ajustes nas estratégias em função de </w:t>
      </w:r>
      <w:r w:rsidRPr="0081168D">
        <w:t>eventuais mudanças no cenário acidental</w:t>
      </w:r>
      <w:r>
        <w:t>)</w:t>
      </w:r>
      <w:r w:rsidRPr="0081168D">
        <w:t xml:space="preserve"> e para </w:t>
      </w:r>
      <w:r>
        <w:t>minimizar</w:t>
      </w:r>
      <w:r w:rsidRPr="0081168D">
        <w:t xml:space="preserve"> os riscos de ocorrência de outr</w:t>
      </w:r>
      <w:r>
        <w:t>os eventos emergenciais, como resultado d</w:t>
      </w:r>
      <w:r w:rsidRPr="0081168D">
        <w:t>o incidente inicial.</w:t>
      </w:r>
    </w:p>
    <w:p w14:paraId="644C4454" w14:textId="77777777" w:rsidR="008300D5" w:rsidRDefault="008300D5" w:rsidP="008300D5">
      <w:pPr>
        <w:pStyle w:val="tier1Itext"/>
      </w:pPr>
      <w:r>
        <w:t>Em diversas situações, a desmobilização de recursos deverá ser realizada de maneira acoplada a procedimentos de descontaminação, sendo esses descritos no capítulo a seguir.</w:t>
      </w:r>
    </w:p>
    <w:p w14:paraId="5CE62C85" w14:textId="099E73E5" w:rsidR="008300D5" w:rsidRPr="005B3229" w:rsidRDefault="005B3229" w:rsidP="006F18B8">
      <w:pPr>
        <w:pStyle w:val="Heading3"/>
        <w:ind w:left="1224"/>
        <w:rPr>
          <w:lang w:val="pt-BR"/>
        </w:rPr>
      </w:pPr>
      <w:bookmarkStart w:id="135" w:name="_Toc411257114"/>
      <w:bookmarkStart w:id="136" w:name="_Toc413848027"/>
      <w:r w:rsidRPr="005B3229">
        <w:rPr>
          <w:lang w:val="pt-BR"/>
        </w:rPr>
        <w:t xml:space="preserve"> </w:t>
      </w:r>
      <w:bookmarkStart w:id="137" w:name="_Toc523833892"/>
      <w:r w:rsidR="008300D5" w:rsidRPr="005B3229">
        <w:rPr>
          <w:lang w:val="pt-BR"/>
        </w:rPr>
        <w:t>Descontaminação de recursos e instalações</w:t>
      </w:r>
      <w:bookmarkEnd w:id="135"/>
      <w:bookmarkEnd w:id="136"/>
      <w:bookmarkEnd w:id="137"/>
    </w:p>
    <w:p w14:paraId="0546DAA3" w14:textId="77777777" w:rsidR="008300D5" w:rsidRPr="00D83A16" w:rsidRDefault="008300D5" w:rsidP="003B5BCC">
      <w:pPr>
        <w:pStyle w:val="tier1Itext"/>
      </w:pPr>
      <w:r w:rsidRPr="00D83A16">
        <w:t>De forma similar às ações de desmobilização, a descontaminação de recursos deve ser avaliada e conduzida ao longo de toda a resposta a emergência.</w:t>
      </w:r>
    </w:p>
    <w:p w14:paraId="0A3E5D69" w14:textId="77777777" w:rsidR="008300D5" w:rsidRPr="00D83A16" w:rsidRDefault="008300D5" w:rsidP="003B5BCC">
      <w:pPr>
        <w:pStyle w:val="tier1Itext"/>
      </w:pPr>
      <w:r w:rsidRPr="00D83A16">
        <w:t>Os objetivos das ações de descontaminação são:</w:t>
      </w:r>
    </w:p>
    <w:p w14:paraId="15922F7B" w14:textId="77777777" w:rsidR="008300D5" w:rsidRPr="008300D5" w:rsidRDefault="008300D5" w:rsidP="003B5BCC">
      <w:pPr>
        <w:pStyle w:val="ListParagraph"/>
        <w:spacing w:after="0" w:line="360" w:lineRule="auto"/>
        <w:ind w:left="714" w:hanging="357"/>
      </w:pPr>
      <w:r w:rsidRPr="008300D5">
        <w:t>Minimizar o contato da equipe de resposta com o óleo e outros contaminantes;</w:t>
      </w:r>
    </w:p>
    <w:p w14:paraId="24344D37" w14:textId="77777777" w:rsidR="008300D5" w:rsidRPr="008300D5" w:rsidRDefault="008300D5" w:rsidP="003B5BCC">
      <w:pPr>
        <w:pStyle w:val="ListParagraph"/>
        <w:spacing w:before="0" w:after="0" w:line="360" w:lineRule="auto"/>
        <w:ind w:left="714" w:hanging="357"/>
      </w:pPr>
      <w:r w:rsidRPr="008300D5">
        <w:t>Evitar a contaminação de áreas, equipamentos e população não impactados;</w:t>
      </w:r>
    </w:p>
    <w:p w14:paraId="0582EE0F" w14:textId="77777777" w:rsidR="008300D5" w:rsidRPr="008300D5" w:rsidRDefault="008300D5" w:rsidP="003B5BCC">
      <w:pPr>
        <w:pStyle w:val="ListParagraph"/>
        <w:spacing w:before="0" w:after="240" w:line="360" w:lineRule="auto"/>
        <w:ind w:left="714" w:hanging="357"/>
      </w:pPr>
      <w:r w:rsidRPr="008300D5">
        <w:t>Remover os contaminantes dos equipamentos para permitir a sua reutilização.</w:t>
      </w:r>
    </w:p>
    <w:p w14:paraId="0AF355F9" w14:textId="77777777" w:rsidR="008300D5" w:rsidRPr="00EA5883" w:rsidRDefault="008300D5" w:rsidP="003B5BCC">
      <w:pPr>
        <w:pStyle w:val="tier1Itext"/>
      </w:pPr>
      <w:r w:rsidRPr="00EA5883">
        <w:t xml:space="preserve">Desse modo, todos os recursos humanos e/ou materiais que estiverem em rota de saída da região do incidente (conhecida como “Zona Quente”, ou “Zona de Exclusão”) deverão ser submetidos à descontaminação (a ser realizada na região conhecida como “Zona Morna”, ou “Zona de Redução da Contaminação”), antes que adentrem regiões não contaminadas (“Zona Fria”), conforme ilustrado na </w:t>
      </w:r>
      <w:r w:rsidRPr="009317D9">
        <w:rPr>
          <w:b/>
        </w:rPr>
        <w:fldChar w:fldCharType="begin"/>
      </w:r>
      <w:r w:rsidRPr="009317D9">
        <w:rPr>
          <w:b/>
        </w:rPr>
        <w:instrText xml:space="preserve"> REF _Ref411614983 \h  \* MERGEFORMAT </w:instrText>
      </w:r>
      <w:r w:rsidRPr="009317D9">
        <w:rPr>
          <w:b/>
        </w:rPr>
      </w:r>
      <w:r w:rsidRPr="009317D9">
        <w:rPr>
          <w:b/>
        </w:rPr>
        <w:fldChar w:fldCharType="separate"/>
      </w:r>
      <w:r w:rsidR="00897470" w:rsidRPr="00897470">
        <w:rPr>
          <w:b/>
        </w:rPr>
        <w:t>Figura 9</w:t>
      </w:r>
      <w:r w:rsidRPr="009317D9">
        <w:rPr>
          <w:b/>
        </w:rPr>
        <w:fldChar w:fldCharType="end"/>
      </w:r>
      <w:r w:rsidRPr="00EA5883">
        <w:t>.</w:t>
      </w:r>
    </w:p>
    <w:p w14:paraId="3435DE7D" w14:textId="77777777" w:rsidR="008300D5" w:rsidRDefault="008300D5" w:rsidP="003B5BCC">
      <w:pPr>
        <w:pStyle w:val="tier1Itext"/>
        <w:spacing w:before="0" w:after="0" w:line="240" w:lineRule="auto"/>
        <w:jc w:val="center"/>
      </w:pPr>
      <w:r>
        <w:rPr>
          <w:noProof/>
          <w:lang w:val="en-US"/>
        </w:rPr>
        <w:lastRenderedPageBreak/>
        <w:drawing>
          <wp:inline distT="0" distB="0" distL="0" distR="0" wp14:anchorId="1D6C0AD6" wp14:editId="54E87ED2">
            <wp:extent cx="5278755" cy="3347336"/>
            <wp:effectExtent l="0" t="0" r="0" b="5715"/>
            <wp:docPr id="296" name="Imagem 296" descr="C:\Users\lucas.fantinato\Desktop\zon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cas.fantinato\Desktop\zonas.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8755" cy="3347336"/>
                    </a:xfrm>
                    <a:prstGeom prst="rect">
                      <a:avLst/>
                    </a:prstGeom>
                    <a:noFill/>
                    <a:ln>
                      <a:noFill/>
                    </a:ln>
                  </pic:spPr>
                </pic:pic>
              </a:graphicData>
            </a:graphic>
          </wp:inline>
        </w:drawing>
      </w:r>
    </w:p>
    <w:p w14:paraId="11A5419F" w14:textId="77777777" w:rsidR="008300D5" w:rsidRPr="008300D5" w:rsidRDefault="008300D5" w:rsidP="003B5BCC">
      <w:pPr>
        <w:pStyle w:val="Caption"/>
        <w:spacing w:before="0" w:after="0" w:line="240" w:lineRule="auto"/>
      </w:pPr>
      <w:bookmarkStart w:id="138" w:name="_Ref411614983"/>
      <w:bookmarkStart w:id="139" w:name="_Toc413848076"/>
      <w:bookmarkStart w:id="140" w:name="_Toc523833974"/>
      <w:r w:rsidRPr="008300D5">
        <w:t xml:space="preserve">Figura </w:t>
      </w:r>
      <w:fldSimple w:instr=" SEQ Figura \* ARABIC ">
        <w:r w:rsidR="00897470">
          <w:rPr>
            <w:noProof/>
          </w:rPr>
          <w:t>9</w:t>
        </w:r>
      </w:fldSimple>
      <w:bookmarkEnd w:id="138"/>
      <w:r w:rsidRPr="008300D5">
        <w:t xml:space="preserve">: Representação esquemática dos locais de descontaminação (situados na “Zona Morna”) no zoneamento das áreas de resposta à </w:t>
      </w:r>
      <w:r w:rsidRPr="009A234A">
        <w:t>emergência</w:t>
      </w:r>
      <w:bookmarkEnd w:id="139"/>
      <w:r w:rsidR="008D6541" w:rsidRPr="009A234A">
        <w:t xml:space="preserve"> (Fonte: </w:t>
      </w:r>
      <w:r w:rsidR="009A234A" w:rsidRPr="009A234A">
        <w:t>Witt|O’Brien’s, 201</w:t>
      </w:r>
      <w:r w:rsidR="009A234A">
        <w:t>4</w:t>
      </w:r>
      <w:r w:rsidR="00605F99" w:rsidRPr="009A234A">
        <w:t>)</w:t>
      </w:r>
      <w:r w:rsidR="008D6541" w:rsidRPr="009A234A">
        <w:t>.</w:t>
      </w:r>
      <w:bookmarkEnd w:id="140"/>
    </w:p>
    <w:p w14:paraId="0BD32CEF" w14:textId="77777777" w:rsidR="008300D5" w:rsidRDefault="008300D5" w:rsidP="00BB36FA">
      <w:pPr>
        <w:pStyle w:val="tier1Itext"/>
        <w:spacing w:before="360"/>
      </w:pPr>
      <w:r>
        <w:t xml:space="preserve">O procedimento de descontaminação a ser adotado deverá ser estabelecido com o suporte de especialistas, considerando o tipo de produto e do </w:t>
      </w:r>
      <w:r w:rsidR="003B5BCC">
        <w:t>grau de contaminação associado.</w:t>
      </w:r>
    </w:p>
    <w:p w14:paraId="3F6F7AD5" w14:textId="28DD60AA" w:rsidR="008300D5" w:rsidRDefault="008300D5" w:rsidP="000E5237">
      <w:pPr>
        <w:pStyle w:val="tier1Itext"/>
      </w:pPr>
      <w:r>
        <w:t>Entretanto, r</w:t>
      </w:r>
      <w:r w:rsidRPr="0081168D">
        <w:t>essalta-se que, de acord</w:t>
      </w:r>
      <w:r>
        <w:t xml:space="preserve">o com a Resolução CONAMA n° </w:t>
      </w:r>
      <w:r w:rsidR="005B3229">
        <w:t>472</w:t>
      </w:r>
      <w:r>
        <w:t xml:space="preserve"> de </w:t>
      </w:r>
      <w:r w:rsidRPr="0081168D">
        <w:t>20</w:t>
      </w:r>
      <w:r w:rsidR="005B3229">
        <w:t>15 (Artigo 7, Alínea V)</w:t>
      </w:r>
      <w:r w:rsidRPr="0081168D">
        <w:t>, o uso de dispersantes químicos é proibido nas operações de descontaminação de instalações portuárias, embarcações e equipamentos utilizados na operação de resposta ao derram</w:t>
      </w:r>
      <w:r w:rsidR="005D2FF0">
        <w:t>am</w:t>
      </w:r>
      <w:r w:rsidRPr="0081168D">
        <w:t>e</w:t>
      </w:r>
      <w:r w:rsidR="005D2FF0">
        <w:t>nto</w:t>
      </w:r>
      <w:r w:rsidRPr="0081168D">
        <w:t xml:space="preserve"> de petróleo ou derivados.</w:t>
      </w:r>
    </w:p>
    <w:p w14:paraId="32C80516" w14:textId="63F7E3A3" w:rsidR="008300D5" w:rsidRPr="002D2F32" w:rsidRDefault="008300D5" w:rsidP="000E5237">
      <w:pPr>
        <w:pStyle w:val="tier1Itext"/>
      </w:pPr>
      <w:r>
        <w:t xml:space="preserve">Adicionalmente, o gerenciamento dos resíduos gerados durante as ações de descontaminação devem seguir o </w:t>
      </w:r>
      <w:r w:rsidRPr="002D2F32">
        <w:t xml:space="preserve">disposto no </w:t>
      </w:r>
      <w:r w:rsidR="005B3229">
        <w:t xml:space="preserve">Capítulo </w:t>
      </w:r>
      <w:r w:rsidR="00DB2BC5">
        <w:rPr>
          <w:highlight w:val="yellow"/>
        </w:rPr>
        <w:fldChar w:fldCharType="begin"/>
      </w:r>
      <w:r w:rsidR="00DB2BC5">
        <w:instrText xml:space="preserve"> REF _Ref415230275 \r \h </w:instrText>
      </w:r>
      <w:r w:rsidR="00DB2BC5">
        <w:rPr>
          <w:highlight w:val="yellow"/>
        </w:rPr>
      </w:r>
      <w:r w:rsidR="00DB2BC5">
        <w:rPr>
          <w:highlight w:val="yellow"/>
        </w:rPr>
        <w:fldChar w:fldCharType="separate"/>
      </w:r>
      <w:r w:rsidR="00897470">
        <w:t>8.10</w:t>
      </w:r>
      <w:r w:rsidR="00DB2BC5">
        <w:rPr>
          <w:highlight w:val="yellow"/>
        </w:rPr>
        <w:fldChar w:fldCharType="end"/>
      </w:r>
      <w:r w:rsidR="005B3229">
        <w:t xml:space="preserve"> deste Plano.</w:t>
      </w:r>
    </w:p>
    <w:p w14:paraId="3E77F050" w14:textId="77777777" w:rsidR="008300D5" w:rsidRDefault="008300D5" w:rsidP="000E5237">
      <w:pPr>
        <w:pStyle w:val="tier1Itext"/>
      </w:pPr>
      <w:r>
        <w:t>De forma a melhor gerenciar as ações de descontaminação a serem feitas durante a resposta a um vazamento, planos específicos de descontaminação por local e/ou técnica de resposta serão elaborados pelos especialistas da IMT, considerando aspectos de segurança operacional, avaliação ambiental e necessidades logísticas para o suporte destas operações.</w:t>
      </w:r>
    </w:p>
    <w:p w14:paraId="1A4B064E" w14:textId="77777777" w:rsidR="00B52C01" w:rsidRPr="009D01BE" w:rsidRDefault="00B52C01" w:rsidP="009D01BE">
      <w:pPr>
        <w:pStyle w:val="Heading1"/>
      </w:pPr>
      <w:bookmarkStart w:id="141" w:name="_Ref414612277"/>
      <w:bookmarkStart w:id="142" w:name="_Ref414612335"/>
      <w:bookmarkStart w:id="143" w:name="_Ref414612526"/>
      <w:bookmarkStart w:id="144" w:name="_Ref414612532"/>
      <w:bookmarkStart w:id="145" w:name="_Ref414612561"/>
      <w:bookmarkStart w:id="146" w:name="_Ref414612568"/>
      <w:bookmarkStart w:id="147" w:name="_Toc523833893"/>
      <w:r w:rsidRPr="009D01BE">
        <w:lastRenderedPageBreak/>
        <w:t>PROCEDIMENTOS OPERACIONAIS DE RESPOSTA</w:t>
      </w:r>
      <w:bookmarkEnd w:id="141"/>
      <w:bookmarkEnd w:id="142"/>
      <w:bookmarkEnd w:id="143"/>
      <w:bookmarkEnd w:id="144"/>
      <w:bookmarkEnd w:id="145"/>
      <w:bookmarkEnd w:id="146"/>
      <w:bookmarkEnd w:id="147"/>
    </w:p>
    <w:p w14:paraId="4B3D9EA0" w14:textId="77777777" w:rsidR="00B97508" w:rsidRPr="00EE0E12" w:rsidRDefault="00B97508" w:rsidP="000E5237">
      <w:pPr>
        <w:pStyle w:val="tier1Itext"/>
      </w:pPr>
      <w:r w:rsidRPr="00EE0E12">
        <w:t xml:space="preserve">Cada incidente em particular é altamente único na sua </w:t>
      </w:r>
      <w:r w:rsidRPr="00723A97">
        <w:t>natureza e apresenta ampla variedade da resposta a ser dada dependendo das situações no momento de sua ocorrência. A estratégia de resposta a ser adotada deve ser definida em termos de uma combinação de técnicas aplicáveis de acordo com os tempos de resposta desejados e/ou requeridos. Assim sendo, considerando a filosofia de resposta da BP de “exceder a reação e a resposta”</w:t>
      </w:r>
      <w:r w:rsidRPr="00C45C9A">
        <w:rPr>
          <w:vertAlign w:val="superscript"/>
        </w:rPr>
        <w:footnoteReference w:id="20"/>
      </w:r>
      <w:r w:rsidRPr="00723A97">
        <w:t>, todas as técnicas no conjunto da resposta devem ser consideradas durante o planejamento da estratégia de combate a um incidente, ajustando o seu momento de aplicação de maneira a otimizar a máxima eficiência destas respostas, definidas pelo pleno alcance dos principais objetivos da BP, a saber:</w:t>
      </w:r>
      <w:r w:rsidRPr="00EE0E12">
        <w:t xml:space="preserve"> </w:t>
      </w:r>
    </w:p>
    <w:p w14:paraId="15FB341F"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Segurança de todo o pessoal envolvido na resposta;</w:t>
      </w:r>
    </w:p>
    <w:p w14:paraId="610B547D"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Estabilização do incidente; </w:t>
      </w:r>
    </w:p>
    <w:p w14:paraId="0AB52757"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Proteção do meio ambiente e populações envolvidas (minimizando os impactos); e</w:t>
      </w:r>
    </w:p>
    <w:p w14:paraId="62B2E59B"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Segurança das instalações e a continuidade dos negócios.</w:t>
      </w:r>
    </w:p>
    <w:p w14:paraId="041F6393" w14:textId="77777777" w:rsidR="00B97508" w:rsidRPr="00EE0E12" w:rsidRDefault="00B97508" w:rsidP="000E5237">
      <w:pPr>
        <w:pStyle w:val="tier1Itext"/>
      </w:pPr>
      <w:r w:rsidRPr="00EE0E12">
        <w:t>Quando da definição de uma estratégia de resposta, as técnicas aplicáveis aos diferentes ambientes geográficos (alto mar [</w:t>
      </w:r>
      <w:r w:rsidRPr="00EE0E12">
        <w:rPr>
          <w:i/>
        </w:rPr>
        <w:t>offshore</w:t>
      </w:r>
      <w:r w:rsidRPr="00EE0E12">
        <w:t>], próximo da costa [</w:t>
      </w:r>
      <w:r w:rsidRPr="00EE0E12">
        <w:rPr>
          <w:i/>
        </w:rPr>
        <w:t>nearshore</w:t>
      </w:r>
      <w:r w:rsidRPr="00EE0E12">
        <w:t>] e em terra) devem ser avaliados à luz dos seguintes pontos, ainda que não exclusivamente:</w:t>
      </w:r>
    </w:p>
    <w:p w14:paraId="433B9FF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A segurança das operações nas diversas frentes;</w:t>
      </w:r>
    </w:p>
    <w:p w14:paraId="6174D551"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 efetividade de cada resposta individualmente;</w:t>
      </w:r>
    </w:p>
    <w:p w14:paraId="5A2877AA"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A viabilidade de mobilização nas condições operacionais e ambientais predominantes; </w:t>
      </w:r>
    </w:p>
    <w:p w14:paraId="5D839C8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As sensibilidades ambientais e socioeconômicas locais e regionais, e a sua priorização para proteção e/ou resposta; e</w:t>
      </w:r>
    </w:p>
    <w:p w14:paraId="1D18FD34" w14:textId="77777777" w:rsidR="00B97508"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 disponibilidade de capacidades de recursos Tier 1, Tier 2 e Tier 3.</w:t>
      </w:r>
    </w:p>
    <w:p w14:paraId="62B667AA" w14:textId="5D0FE231" w:rsidR="00B97508" w:rsidRPr="00EE0E12" w:rsidRDefault="00B97508" w:rsidP="000E5237">
      <w:pPr>
        <w:pStyle w:val="tier1Itext"/>
      </w:pPr>
      <w:r w:rsidRPr="00EE0E12">
        <w:t xml:space="preserve">Neste Plano de Emergência Individual (PEI) </w:t>
      </w:r>
      <w:r w:rsidR="00311EC3">
        <w:t xml:space="preserve">da unidade ENSCO DS-9 </w:t>
      </w:r>
      <w:r w:rsidRPr="00EE0E12">
        <w:t>para as operações no Bloco FZA-M-59, alguns cenários potenciais chave de derram</w:t>
      </w:r>
      <w:r w:rsidR="005D2FF0">
        <w:t>am</w:t>
      </w:r>
      <w:r w:rsidRPr="00EE0E12">
        <w:t>e</w:t>
      </w:r>
      <w:r w:rsidR="005D2FF0">
        <w:t>ntos</w:t>
      </w:r>
      <w:r w:rsidRPr="00EE0E12">
        <w:t xml:space="preserve"> foram definidos previamente, ajudando na identificação dos fatores essenciais de planejamento também envolvidos nas avaliações das técnicas nas suas respostas.</w:t>
      </w:r>
    </w:p>
    <w:p w14:paraId="0AB3D24E" w14:textId="184BA5BB" w:rsidR="00B97508" w:rsidRPr="00EE0E12" w:rsidRDefault="00B97508" w:rsidP="000E5237">
      <w:pPr>
        <w:pStyle w:val="tier1Itext"/>
      </w:pPr>
      <w:r w:rsidRPr="00923DD3">
        <w:lastRenderedPageBreak/>
        <w:t>Outro critério</w:t>
      </w:r>
      <w:r w:rsidRPr="00EE0E12">
        <w:t xml:space="preserve"> essencial de adoção para cada técnica de resposta é a sua aplicabilidade sob os requerimentos regulatórios ambientais e legais brasileiros, considerando as prioridades dadas a proteção e/ou resposta, restrições e critérios de desempenho. Atualmente, algumas das técnicas são regidas sob as amplas diretrizes da Lei Federal n. 9966/00 (a chamada “Lei do Óleo”) e as Resoluções CONAMA Nº </w:t>
      </w:r>
      <w:r w:rsidR="00311EC3">
        <w:t>472</w:t>
      </w:r>
      <w:r w:rsidRPr="00EE0E12">
        <w:t>/</w:t>
      </w:r>
      <w:r w:rsidR="00311EC3">
        <w:t>15</w:t>
      </w:r>
      <w:r w:rsidRPr="00EE0E12">
        <w:t xml:space="preserve"> e Nº 398/08, que regem os critérios de aplicação de dispersantes e o dimensionamento dos recursos mínimos para o PEI, respectivamente.</w:t>
      </w:r>
    </w:p>
    <w:p w14:paraId="2F97C33E" w14:textId="77777777" w:rsidR="00B97508" w:rsidRPr="00EE0E12" w:rsidRDefault="00B97508" w:rsidP="000E5237">
      <w:pPr>
        <w:pStyle w:val="tier1Itext"/>
      </w:pPr>
      <w:r w:rsidRPr="00EE0E12">
        <w:t xml:space="preserve">É extremamente indicado também o emprego do NEBA (do inglês </w:t>
      </w:r>
      <w:r w:rsidRPr="00311EC3">
        <w:rPr>
          <w:i/>
        </w:rPr>
        <w:t>Net Environmental Benefit Analysis</w:t>
      </w:r>
      <w:r w:rsidRPr="00EE0E12">
        <w:t xml:space="preserve"> - Análise de Benefício Ambiental Líquido), um processo no qual os impactos ambientais e socioeconômicos potenciais de um derrame de óleo são considerados, juntamente com a identificação da viabilidade e dos benefícios das diferentes técnicas de resposta (incluindo a intervenção limitada). Nesta análise também são avaliados os possíveis impactos secundários resultantes da aplicação das técnicas (de forma individual ou combinada), níveis e prazos de resposta; a partir de onde é obtido um balanço geral das medidas de resposta a serem adotadas que oferecem um alto nível de efetividade, evitando e/ou mitigando os impactos e resultando em um maior benefício ambiental </w:t>
      </w:r>
      <w:r w:rsidR="000E5237">
        <w:t>e socioeconômico líquido geral.</w:t>
      </w:r>
    </w:p>
    <w:p w14:paraId="6C29F13F" w14:textId="2921BBF2" w:rsidR="00B97508" w:rsidRPr="00EE0E12" w:rsidRDefault="00B97508" w:rsidP="000E5237">
      <w:pPr>
        <w:pStyle w:val="tier1Itext"/>
      </w:pPr>
      <w:r w:rsidRPr="00EE0E12">
        <w:t xml:space="preserve">A abordagem do NEBA está </w:t>
      </w:r>
      <w:r w:rsidR="00311EC3">
        <w:t xml:space="preserve">diretamente </w:t>
      </w:r>
      <w:r w:rsidRPr="00EE0E12">
        <w:t>alinhada com os dados da Análise de Risco Ambiental disponíveis e também considera os históricos de respostas dadas e seus resultados atingidos em casos de derrames ocorridos anteriormente.</w:t>
      </w:r>
    </w:p>
    <w:p w14:paraId="2018E1EB" w14:textId="0E33F18F" w:rsidR="00B97508" w:rsidRPr="00EE0E12" w:rsidRDefault="00B97508" w:rsidP="000E5237">
      <w:pPr>
        <w:pStyle w:val="tier1Itext"/>
      </w:pPr>
      <w:r w:rsidRPr="00EE0E12">
        <w:t xml:space="preserve">Algumas técnicas estão em constante desenvolvimento, exibindo melhoras no dimensionamento de equipamentos, procedimentos e desempenho. Algumas vezes a resposta pode requerer uma concepção diferente daquela inicialmente descrita neste plano, até considerando o uso de alguns equipamentos ou componentes diferentes, porém ainda sob o mesmo escopo da técnica. Nestes casos, os argumentos que suportam essa aplicação serão </w:t>
      </w:r>
      <w:r w:rsidR="00311EC3">
        <w:t xml:space="preserve">submetidos e </w:t>
      </w:r>
      <w:r w:rsidRPr="00EE0E12">
        <w:t>discutidos com os representantes governamentais antecipadamente, de maneira a buscar acordo sobre a aplicação desta técnica modificada.</w:t>
      </w:r>
    </w:p>
    <w:p w14:paraId="759FBABA" w14:textId="77777777" w:rsidR="00B97508" w:rsidRPr="00EE0E12" w:rsidRDefault="00B97508" w:rsidP="00121F26">
      <w:pPr>
        <w:pStyle w:val="tier1Itext"/>
      </w:pPr>
      <w:r w:rsidRPr="00EE0E12">
        <w:lastRenderedPageBreak/>
        <w:t>As boas práticas internacionais também estão no bojo estrutural da definição das técnicas, principalmente aquelas definidas pela IPIECA</w:t>
      </w:r>
      <w:r w:rsidRPr="00EE0E12">
        <w:rPr>
          <w:rStyle w:val="FootnoteReference"/>
        </w:rPr>
        <w:footnoteReference w:id="21"/>
      </w:r>
      <w:r w:rsidRPr="00EE0E12">
        <w:t>, IMO</w:t>
      </w:r>
      <w:r w:rsidRPr="00EE0E12">
        <w:rPr>
          <w:rStyle w:val="FootnoteReference"/>
        </w:rPr>
        <w:footnoteReference w:id="22"/>
      </w:r>
      <w:r w:rsidRPr="00EE0E12">
        <w:t xml:space="preserve"> e ITOPF</w:t>
      </w:r>
      <w:r w:rsidRPr="00EE0E12">
        <w:rPr>
          <w:rStyle w:val="FootnoteReference"/>
        </w:rPr>
        <w:footnoteReference w:id="23"/>
      </w:r>
      <w:r w:rsidRPr="00EE0E12">
        <w:t xml:space="preserve">, resumidas na </w:t>
      </w:r>
      <w:r w:rsidRPr="00EE0E12">
        <w:rPr>
          <w:i/>
        </w:rPr>
        <w:t>Oil Spill Report Series</w:t>
      </w:r>
      <w:r w:rsidRPr="00EE0E12">
        <w:rPr>
          <w:i/>
          <w:vertAlign w:val="superscript"/>
        </w:rPr>
        <w:t>®</w:t>
      </w:r>
      <w:r w:rsidR="000E5237">
        <w:t>.</w:t>
      </w:r>
    </w:p>
    <w:p w14:paraId="0BCB60EB" w14:textId="77777777" w:rsidR="00B97508" w:rsidRPr="00EE0E12" w:rsidRDefault="00B97508" w:rsidP="000E5237">
      <w:pPr>
        <w:pStyle w:val="tier1Itext"/>
      </w:pPr>
      <w:r w:rsidRPr="00EE0E12">
        <w:t>Neste contexto, a decisão pela(s) estratégia(s) de resposta mais adequada(s) está sujeita a uma avaliação permanente do cenário acidental e atualização contínua do planejamento da resposta (ICS 201 [Relat</w:t>
      </w:r>
      <w:r w:rsidR="00C85C06">
        <w:t xml:space="preserve">ório Geral </w:t>
      </w:r>
      <w:r w:rsidRPr="00EE0E12">
        <w:t>do Incidente - do termo em inglês “</w:t>
      </w:r>
      <w:r w:rsidRPr="00EE0E12">
        <w:rPr>
          <w:i/>
        </w:rPr>
        <w:t>Incident Briefing Form</w:t>
      </w:r>
      <w:r w:rsidRPr="00EE0E12">
        <w:t>”] ou IAP - Plano de Ação do Incidente, do termo em inlgês “</w:t>
      </w:r>
      <w:r w:rsidRPr="00EE0E12">
        <w:rPr>
          <w:i/>
        </w:rPr>
        <w:t>Incident Action Plan</w:t>
      </w:r>
      <w:r w:rsidRPr="00EE0E12">
        <w:t>”), através de um esforço conjunto das equipes de gerenciamento e de resposta tática da BP. Relembra-se, contudo, que as ações previstas no planejamento deverão ser executadas sempre respeitando-se os principais objetivos de resposta da empresa.</w:t>
      </w:r>
    </w:p>
    <w:p w14:paraId="1451C7DA" w14:textId="290589C4" w:rsidR="00B97508" w:rsidRPr="00EE0E12" w:rsidRDefault="00B97508" w:rsidP="000E5237">
      <w:pPr>
        <w:pStyle w:val="tier1Itext"/>
      </w:pPr>
      <w:r w:rsidRPr="00EE0E12">
        <w:t xml:space="preserve">Convém ressaltar que os procedimentos operacionais descritos nesta seção são aplicáveis para qualquer tipo de resposta. No caso de ações a serem realizadas fora de áreas sob jurisdição da República Federativa do Brasil, a adoção de qualquer operação de resposta deverá também considerar os regulamentos internacionais e dos países potencialmente </w:t>
      </w:r>
      <w:r w:rsidR="00311EC3">
        <w:t>envolvidos</w:t>
      </w:r>
      <w:r w:rsidRPr="00EE0E12">
        <w:t>.</w:t>
      </w:r>
    </w:p>
    <w:p w14:paraId="206CBDAE" w14:textId="77777777" w:rsidR="00B97508" w:rsidRPr="00EE0E12" w:rsidRDefault="00B97508" w:rsidP="000E5237">
      <w:pPr>
        <w:pStyle w:val="tier1Itext"/>
      </w:pPr>
      <w:r w:rsidRPr="00EE0E12">
        <w:t>Conforme redação do Decreto nº 8.127 de 2013, que institui o Plano Nacional de Contingência para Incidentes de Poluição por Óleo em Águas sob Jurisdição Nacional, a possibilidade de um derramamento de óleo no mar atingir águas jurisdicionais de países vizinhos constitui um dos critérios a serem analisados pelo Grupo de Acompanhamento e Avaliação (GAA). As determinações relativas a esta análise serão incorporadas neste Plano, quando existentes.</w:t>
      </w:r>
    </w:p>
    <w:p w14:paraId="06B57AA1"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t>Dimensionamento da capacidade mínima de resposta e inventário de recursos</w:t>
      </w:r>
    </w:p>
    <w:p w14:paraId="7B2E31B9" w14:textId="4016A0A5" w:rsidR="00B97508" w:rsidRPr="00EE0E12" w:rsidRDefault="00B97508" w:rsidP="000E5237">
      <w:pPr>
        <w:pStyle w:val="tier1Itext"/>
      </w:pPr>
      <w:r w:rsidRPr="00EE0E12">
        <w:t>O dimensionamento da capacidade mínima de resposta foi calculado em consonância com os critérios de descargas pequena (8 m</w:t>
      </w:r>
      <w:r w:rsidRPr="00EE0E12">
        <w:rPr>
          <w:vertAlign w:val="superscript"/>
        </w:rPr>
        <w:t>3</w:t>
      </w:r>
      <w:r w:rsidRPr="00EE0E12">
        <w:t>), média (até 200 m</w:t>
      </w:r>
      <w:r w:rsidRPr="00EE0E12">
        <w:rPr>
          <w:vertAlign w:val="superscript"/>
        </w:rPr>
        <w:t>3</w:t>
      </w:r>
      <w:r w:rsidRPr="00EE0E12">
        <w:t xml:space="preserve">) e de pior caso identificados para a atividade, conforme diretrizes estabelecidas na Resolução CONAMA n° 398/2008, Anexo III. O </w:t>
      </w:r>
      <w:r w:rsidR="000E5237" w:rsidRPr="003F5ADD">
        <w:rPr>
          <w:b/>
        </w:rPr>
        <w:t xml:space="preserve">APÊNDICE </w:t>
      </w:r>
      <w:r w:rsidR="00311EC3" w:rsidRPr="003F5ADD">
        <w:rPr>
          <w:b/>
        </w:rPr>
        <w:t>E</w:t>
      </w:r>
      <w:r w:rsidR="000E5237">
        <w:t xml:space="preserve"> </w:t>
      </w:r>
      <w:r w:rsidRPr="00EE0E12">
        <w:t>apresenta os cálculos utilizados para este dimensionamento.</w:t>
      </w:r>
    </w:p>
    <w:p w14:paraId="36369219" w14:textId="65E4891C" w:rsidR="00B97508" w:rsidRPr="00EE0E12" w:rsidRDefault="00B97508" w:rsidP="000E5237">
      <w:pPr>
        <w:pStyle w:val="tier1Itext"/>
      </w:pPr>
      <w:r w:rsidRPr="00EE0E12">
        <w:lastRenderedPageBreak/>
        <w:t>Os equipamentos necessários para a operacionalização dos procedimentos previstos neste Plano estarão disponíveis na base de apoio da atividade, na embarcação dedicada do tipo OSRV</w:t>
      </w:r>
      <w:r w:rsidR="00311EC3">
        <w:t xml:space="preserve"> e</w:t>
      </w:r>
      <w:r w:rsidRPr="00EE0E12">
        <w:t xml:space="preserve"> nas embarcações de apoio do tipo PSV. Caso a empresa avalie a necessidade de utilização de embarcações adicionais, as mesmas também poderão ser dotadas de equipamentos, alinhadas com a função que irão desempenhar, o que permitirá a mobilização a partir da base de apoio logístico </w:t>
      </w:r>
      <w:r w:rsidRPr="00EE0E12">
        <w:rPr>
          <w:i/>
        </w:rPr>
        <w:t>onshore</w:t>
      </w:r>
      <w:r w:rsidRPr="00EE0E12">
        <w:t>. O inventário completo dos recursos disponíveis para operacionalização das estratégias de resposta é apresentado no</w:t>
      </w:r>
      <w:r w:rsidR="000E5237">
        <w:t xml:space="preserve"> </w:t>
      </w:r>
      <w:r w:rsidR="000E5237" w:rsidRPr="000E5237">
        <w:rPr>
          <w:b/>
        </w:rPr>
        <w:t xml:space="preserve">APÊNDICE </w:t>
      </w:r>
      <w:r w:rsidR="00311EC3">
        <w:rPr>
          <w:b/>
        </w:rPr>
        <w:t>F</w:t>
      </w:r>
      <w:r w:rsidRPr="00EE0E12">
        <w:t>.</w:t>
      </w:r>
      <w:r w:rsidR="00656D39">
        <w:t xml:space="preserve"> </w:t>
      </w:r>
      <w:r w:rsidRPr="00EE0E12">
        <w:t>As fichas técnicas das embarcações encontram-se no</w:t>
      </w:r>
      <w:r w:rsidR="000E5237">
        <w:t xml:space="preserve"> </w:t>
      </w:r>
      <w:r w:rsidR="000E5237" w:rsidRPr="000E5237">
        <w:rPr>
          <w:b/>
        </w:rPr>
        <w:t>ANEXO A</w:t>
      </w:r>
      <w:r w:rsidRPr="00EE0E12">
        <w:t>.</w:t>
      </w:r>
    </w:p>
    <w:p w14:paraId="668FA7B7"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t>Funções e Responsabilidades Primárias na Definição e Coordenação da Estratégia de Resposta</w:t>
      </w:r>
    </w:p>
    <w:p w14:paraId="30220121" w14:textId="77777777" w:rsidR="00B97508" w:rsidRPr="00EE0E12" w:rsidRDefault="00B97508" w:rsidP="000E5237">
      <w:pPr>
        <w:pStyle w:val="tier1Itext"/>
      </w:pPr>
      <w:r w:rsidRPr="00EE0E12">
        <w:t>Este Plano de Emergência Individual está em linha com o OSROP</w:t>
      </w:r>
      <w:r w:rsidRPr="00EE0E12">
        <w:rPr>
          <w:rStyle w:val="FootnoteReference"/>
          <w:rFonts w:cstheme="majorHAnsi"/>
          <w:szCs w:val="22"/>
        </w:rPr>
        <w:footnoteReference w:id="24"/>
      </w:r>
      <w:r w:rsidRPr="00EE0E12">
        <w:t xml:space="preserve"> da BP Energy e com o Manual de Táticas de Resposta a Derrames de Óleo da BP, um documento de diretrizes para respondedores de derramamentos de óleo, no qual o alinhamento adequado com as </w:t>
      </w:r>
      <w:r w:rsidR="00C85C06">
        <w:t>posições</w:t>
      </w:r>
      <w:r w:rsidR="00C85C06" w:rsidRPr="00EE0E12">
        <w:t xml:space="preserve"> </w:t>
      </w:r>
      <w:r w:rsidRPr="00EE0E12">
        <w:t xml:space="preserve">da IMT foi realizado. Considerando que as especificidades de qualquer incidente em particular são altamente individuais em natureza e variam muito dependendo das circunstâncias presentes, esta abordagem tática de resposta é útil para guiar a sua resposta. Também considera a ligação com outros documentos e ferramentas </w:t>
      </w:r>
      <w:r w:rsidR="00C85C06">
        <w:t>necessárias</w:t>
      </w:r>
      <w:r w:rsidR="00C85C06" w:rsidRPr="00EE0E12">
        <w:t xml:space="preserve"> </w:t>
      </w:r>
      <w:r w:rsidRPr="00EE0E12">
        <w:t>durante a resposta, como os Planos de Gestão de Resíduos, de Descontaminação e de Relações com Partes Envolvidas e Comunidades, entre outros de suporte.</w:t>
      </w:r>
    </w:p>
    <w:p w14:paraId="23922D2D" w14:textId="112D58B0" w:rsidR="00B97508" w:rsidRPr="00EE0E12" w:rsidRDefault="00B97508" w:rsidP="000E5237">
      <w:pPr>
        <w:pStyle w:val="tier1Itext"/>
        <w:rPr>
          <w:bCs/>
        </w:rPr>
      </w:pPr>
      <w:r w:rsidRPr="00EE0E12">
        <w:t xml:space="preserve">O Chefe da Seção de Operações (OSC) deve providenciar a diretriz inicial discutindo a estratégia inicial com o Comandante do Incidente (IC em si ou seu delegado [DIC]) e outros Oficiais adequados, membros </w:t>
      </w:r>
      <w:r w:rsidR="00C85C06" w:rsidRPr="00EE0E12">
        <w:t>d</w:t>
      </w:r>
      <w:r w:rsidR="00C85C06">
        <w:t>a</w:t>
      </w:r>
      <w:r w:rsidR="00C85C06" w:rsidRPr="00EE0E12">
        <w:t xml:space="preserve"> </w:t>
      </w:r>
      <w:r w:rsidRPr="00EE0E12">
        <w:t xml:space="preserve">IMT. Este </w:t>
      </w:r>
      <w:r w:rsidRPr="00EE0E12">
        <w:rPr>
          <w:bCs/>
        </w:rPr>
        <w:t>deve garantir que as equipes envolvidas nas operações táticas de resposta no local tenham o pessoal, equipamentos, materiais e insumos necessários para realizar as operações de maneira segura, efetiva e eficiente. As ações de resposta deverão seguir os procedimentos descritos no ICS 204 para as frentes de combate ao vazamento (</w:t>
      </w:r>
      <w:r w:rsidR="00C85C06">
        <w:rPr>
          <w:bCs/>
        </w:rPr>
        <w:t xml:space="preserve">inicialmente as </w:t>
      </w:r>
      <w:r w:rsidRPr="00EE0E12">
        <w:rPr>
          <w:bCs/>
        </w:rPr>
        <w:t>embarcações e Unidade de Controle da Fonte [</w:t>
      </w:r>
      <w:r w:rsidRPr="00EE0E12">
        <w:rPr>
          <w:bCs/>
          <w:i/>
        </w:rPr>
        <w:t>Source Control</w:t>
      </w:r>
      <w:r w:rsidRPr="00EE0E12">
        <w:rPr>
          <w:bCs/>
        </w:rPr>
        <w:t>]).</w:t>
      </w:r>
    </w:p>
    <w:p w14:paraId="39DBD730" w14:textId="6F7F5FC8" w:rsidR="00B97508" w:rsidRPr="00EE0E12" w:rsidRDefault="00B97508" w:rsidP="000E5237">
      <w:pPr>
        <w:pStyle w:val="tier1Itext"/>
      </w:pPr>
      <w:r w:rsidRPr="00EE0E12">
        <w:lastRenderedPageBreak/>
        <w:t xml:space="preserve">Caso a avaliação inicial do incidente indique o rápido escalonamento da resposta para ações de mais longo prazo, uma divisão de Resposta </w:t>
      </w:r>
      <w:r w:rsidRPr="00EE0E12">
        <w:rPr>
          <w:i/>
        </w:rPr>
        <w:t>Offshore</w:t>
      </w:r>
      <w:r w:rsidRPr="00EE0E12">
        <w:t xml:space="preserve"> (</w:t>
      </w:r>
      <w:r w:rsidRPr="00EE0E12">
        <w:rPr>
          <w:i/>
        </w:rPr>
        <w:t>Offshore Division</w:t>
      </w:r>
      <w:r w:rsidRPr="00EE0E12">
        <w:t>) deverá ser considerada na Seção de Operações, que ficará diretamente resposável pela coordenação das ações de combate ao vazamento. Este procedimento de avaliação também indicará a melhor localização da divisão (n</w:t>
      </w:r>
      <w:r w:rsidR="00311EC3">
        <w:t>o ICP</w:t>
      </w:r>
      <w:r w:rsidRPr="00EE0E12">
        <w:t xml:space="preserve"> ou na Filial</w:t>
      </w:r>
      <w:r w:rsidRPr="00EE0E12">
        <w:rPr>
          <w:rStyle w:val="FootnoteReference"/>
          <w:rFonts w:cstheme="majorHAnsi"/>
          <w:bCs/>
          <w:szCs w:val="22"/>
        </w:rPr>
        <w:footnoteReference w:id="25"/>
      </w:r>
      <w:r w:rsidRPr="00EE0E12">
        <w:t>, caso esta seja constituída).</w:t>
      </w:r>
    </w:p>
    <w:p w14:paraId="41DB1CFC" w14:textId="027C9DDE" w:rsidR="00B97508" w:rsidRPr="00EE0E12" w:rsidRDefault="00B97508" w:rsidP="000E5237">
      <w:pPr>
        <w:pStyle w:val="tier1Itext"/>
      </w:pPr>
      <w:r w:rsidRPr="00EE0E12">
        <w:t xml:space="preserve">Todas as ações de resposta devem ser realizadas de acordo com os protocolos e requerimentos regulatórios e corporativos de segurança. Os Oficiais de Segurança Locais e os comandantes das embarcações dedicada e de apoio (representantes da segurança a bordo das embarcações consideradas na resposta), com o apoio do Oficial de Segurança da IMT, terão autoridade e responsabilidade pelo cumprimento total dos procedimentos durante </w:t>
      </w:r>
      <w:r w:rsidR="00311EC3">
        <w:t>um</w:t>
      </w:r>
      <w:r w:rsidRPr="00EE0E12">
        <w:t xml:space="preserve">a resposta. </w:t>
      </w:r>
    </w:p>
    <w:p w14:paraId="0DF3D381" w14:textId="77777777" w:rsidR="00B97508" w:rsidRPr="00EE0E12" w:rsidRDefault="00B97508" w:rsidP="000E5237">
      <w:pPr>
        <w:pStyle w:val="tier1Itext"/>
      </w:pPr>
      <w:r w:rsidRPr="00EE0E12">
        <w:t xml:space="preserve">O Coordenador de CCMER e o Líder da Unidade de RC&amp;E são responsáveis por providenciar instrução técnica para a Seção de Operações nas ações de resposta operacional e quanto aos potenciais impactos ambientais relacionados. Ambas as </w:t>
      </w:r>
      <w:r w:rsidR="00C85C06">
        <w:t>posições</w:t>
      </w:r>
      <w:r w:rsidR="00C85C06" w:rsidRPr="00EE0E12">
        <w:t xml:space="preserve"> </w:t>
      </w:r>
      <w:r w:rsidRPr="00EE0E12">
        <w:t>devem garantir a adequação da estratégia de resposta a partir de um ponto de vista tático de viabilidade e ambiental, respectivamente. Também estarão encarregados pela elaboração das argumentações técnicas adequadas para apresentação de novos procedimentos ou equipamentos para incidentes</w:t>
      </w:r>
      <w:r w:rsidR="00C85C06">
        <w:t>,</w:t>
      </w:r>
      <w:r w:rsidRPr="00EE0E12">
        <w:t xml:space="preserve"> </w:t>
      </w:r>
      <w:r w:rsidR="00C85C06">
        <w:t xml:space="preserve">ainda </w:t>
      </w:r>
      <w:r w:rsidRPr="00EE0E12">
        <w:t xml:space="preserve">não descritos aos representantes governamentais. Podem também proceder com a gestão e discussão destas informações em nível técnico com </w:t>
      </w:r>
      <w:r w:rsidR="00C85C06">
        <w:t>estes</w:t>
      </w:r>
      <w:r w:rsidR="00C85C06" w:rsidRPr="00EE0E12">
        <w:t xml:space="preserve"> </w:t>
      </w:r>
      <w:r w:rsidRPr="00EE0E12">
        <w:t>representantes governamentais, caso designado pelo IC, ou suportar o Oficial de Relações (Governo), caso esta seja a forma definida de abordagem.</w:t>
      </w:r>
    </w:p>
    <w:p w14:paraId="5E05BB2D" w14:textId="77777777" w:rsidR="00B97508" w:rsidRPr="00EE0E12" w:rsidRDefault="00B97508" w:rsidP="000E5237">
      <w:pPr>
        <w:pStyle w:val="tier1Itext"/>
      </w:pPr>
      <w:r w:rsidRPr="00EE0E12">
        <w:t>O Líder da Unidade RC&amp;E também é responsável por obter as aprovações ambientais apropriadas de planos de ação para as técnicas descritas e não descritas, de acordo com os requisitos regulatórios.</w:t>
      </w:r>
    </w:p>
    <w:p w14:paraId="1CEA99D9" w14:textId="77777777" w:rsidR="00B97508" w:rsidRPr="000E5237"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E5237">
        <w:rPr>
          <w:rFonts w:asciiTheme="majorHAnsi" w:hAnsiTheme="majorHAnsi"/>
        </w:rPr>
        <w:lastRenderedPageBreak/>
        <w:t xml:space="preserve">Avaliação das Técnicas de Resposta </w:t>
      </w:r>
      <w:r w:rsidR="000807DF">
        <w:rPr>
          <w:rFonts w:asciiTheme="majorHAnsi" w:hAnsiTheme="majorHAnsi"/>
        </w:rPr>
        <w:t>–</w:t>
      </w:r>
      <w:r w:rsidRPr="000E5237">
        <w:rPr>
          <w:rFonts w:asciiTheme="majorHAnsi" w:hAnsiTheme="majorHAnsi"/>
        </w:rPr>
        <w:t xml:space="preserve"> Janelas de Oportunidades</w:t>
      </w:r>
    </w:p>
    <w:p w14:paraId="6F1CCDE8" w14:textId="77777777" w:rsidR="00B97508" w:rsidRPr="00EE0E12" w:rsidRDefault="00B97508" w:rsidP="000E5237">
      <w:pPr>
        <w:pStyle w:val="tier1Itext"/>
      </w:pPr>
      <w:r w:rsidRPr="00EE0E12">
        <w:t>É consenso geral que nos derramamentos de pequeno e médio porte, sempre que as condições operacionais predominantes assim o permitam, devem ser mobilizados os recursos de resposta considerados e disponíveis para a realização de recuperação mecânica, priorizando esta técnica. Porém, dependendo da avaliação dos aspectos de segurança, da efetividade da resposta e da priorização de proteção das unidades ou ambientes sensíveis regionais próximos, outras técnicas também devem ser consideradas para mobilização em paralelo, de acordo com suas janelas operacionais.</w:t>
      </w:r>
    </w:p>
    <w:p w14:paraId="3F142056" w14:textId="77777777" w:rsidR="00B97508" w:rsidRPr="00EE0E12" w:rsidRDefault="00B97508" w:rsidP="000E5237">
      <w:pPr>
        <w:pStyle w:val="tier1Itext"/>
      </w:pPr>
      <w:r w:rsidRPr="00EE0E12">
        <w:t xml:space="preserve">No caso da avaliação inicial do incidente indicar um grande potencial para crescimento em magnitude e complexidade, esta estratégia de mobilização combinada se torna realmente crítica para alcançar um dos principais objetivos, que é a minimização dos impactos gerais sobre o ambiente. Conforme pode ser visto na </w:t>
      </w:r>
      <w:r w:rsidRPr="00EE0E12">
        <w:rPr>
          <w:b/>
        </w:rPr>
        <w:fldChar w:fldCharType="begin"/>
      </w:r>
      <w:r w:rsidRPr="00EE0E12">
        <w:rPr>
          <w:b/>
        </w:rPr>
        <w:instrText xml:space="preserve"> REF _Ref412811966 \h  \* MERGEFORMAT </w:instrText>
      </w:r>
      <w:r w:rsidRPr="00EE0E12">
        <w:rPr>
          <w:b/>
        </w:rPr>
      </w:r>
      <w:r w:rsidRPr="00EE0E12">
        <w:rPr>
          <w:b/>
        </w:rPr>
        <w:fldChar w:fldCharType="separate"/>
      </w:r>
      <w:r w:rsidR="00897470" w:rsidRPr="00897470">
        <w:rPr>
          <w:b/>
        </w:rPr>
        <w:t xml:space="preserve">Figura </w:t>
      </w:r>
      <w:r w:rsidR="00897470" w:rsidRPr="00897470">
        <w:rPr>
          <w:b/>
          <w:noProof/>
        </w:rPr>
        <w:t>10</w:t>
      </w:r>
      <w:r w:rsidRPr="00EE0E12">
        <w:rPr>
          <w:b/>
        </w:rPr>
        <w:fldChar w:fldCharType="end"/>
      </w:r>
      <w:r w:rsidRPr="00EE0E12">
        <w:t>, algumas técnicas podem ser consideradas em certas condições ambientais predominantes e condições de manchas similares, como recuperação mecânica, queima controlada e aplicação de dispersantes químicos. As principais diferenças estão relacionadas com o destino final do óleo e a eficiência de cada técnica.</w:t>
      </w:r>
    </w:p>
    <w:p w14:paraId="0229622E" w14:textId="77777777" w:rsidR="00B97508" w:rsidRPr="00EE0E12" w:rsidRDefault="00B97508" w:rsidP="000E5237">
      <w:pPr>
        <w:pStyle w:val="tier1Itext"/>
      </w:pPr>
      <w:r w:rsidRPr="00EE0E12">
        <w:t>A recuperação mecânica é a principal técnica que remove fisicamente quantidades de óleo do mar, apesar de ter reduzida eficiência em grandes vazamentos, o que a torna mais adequada para derrames de pequeno e médio porte, quando esta eficiência não constitui um fator de grande relevância. Ainda assim, a eficiência dessa técnica depende da capacidade de concentração do óleo a ser recolhido, em função da perícia das equipes envolvidas na operação</w:t>
      </w:r>
      <w:r w:rsidR="009F5EAF">
        <w:t>, dimensionamento dos equipamentos utilizados (</w:t>
      </w:r>
      <w:r w:rsidR="009F5EAF" w:rsidRPr="00C45C9A">
        <w:rPr>
          <w:i/>
        </w:rPr>
        <w:t>encounter rate</w:t>
      </w:r>
      <w:r w:rsidR="009F5EAF">
        <w:t xml:space="preserve"> e capacidade nominal)</w:t>
      </w:r>
      <w:r w:rsidRPr="00EE0E12">
        <w:t xml:space="preserve"> e das características físico-químicas do óleo derramado. A utilização de sistemas oleofílicos aumenta consideravelmente a eficiência desta técnica, pois aumenta a quantidade efetiva de óleo recolhido e não de efluente oleoso (água e óleo), através do aumento da eficiência da operação, quando comparada aos sistemas vertedouros tradicionais, mesmo com a redução frente às capacidades efetivas de bombeamento destes últimos sistemas.</w:t>
      </w:r>
    </w:p>
    <w:p w14:paraId="08A83783" w14:textId="77777777" w:rsidR="00B97508" w:rsidRPr="00EE0E12" w:rsidRDefault="00B97508" w:rsidP="00723A97">
      <w:pPr>
        <w:pStyle w:val="tier1Itext"/>
      </w:pPr>
      <w:r w:rsidRPr="00EE0E12">
        <w:t>Apesar do ponto positivo da remoção do óleo do mar, ainda existe um aspecto adverso do destino final em terra desta água oleosa recuperada, onde este efluente é direcionado para tratamento nas instalações para o óleo recuperado (reprocessamento, aterro industrial ou queima) e para a água oleosa residual, descartada de acordo com os padrões legais, na área costeira. Dessa forma, como alternativa, o produto recolhido pode ser tratado no cenário de operações e parte de seu teor de água descartado desde que dentro dos limites legais (15 ppm), através da utilização de sistemas separadores água e óleo, que concentram este efluente oleoso a ser descartado, reduzindo ain</w:t>
      </w:r>
      <w:r w:rsidR="000E5237">
        <w:t>da mais sua quantidade efetiva.</w:t>
      </w:r>
    </w:p>
    <w:p w14:paraId="386643EE" w14:textId="77777777" w:rsidR="00B97508" w:rsidRPr="00EE0E12" w:rsidRDefault="00B97508" w:rsidP="000E5237">
      <w:pPr>
        <w:pStyle w:val="tier1Itext"/>
      </w:pPr>
      <w:r w:rsidRPr="00EE0E12">
        <w:lastRenderedPageBreak/>
        <w:t>A queima controlada também é outra técnica que remove fisicamente certas quantidades de óleo do mar, com eficiência de remoção extremamente alta, sendo considerada em derrames de médio e grande porte, sempre que a pré-avaliação técnica da atividade assim o permitir. Apesar do aspecto positivo da remoção de grandes quantidades de óleo em curto espaço de tempo, existe também um aspecto adverso relacionado às colunas de fumaça e aos resíduos da queima, emitidas para a atmosfera e que perman</w:t>
      </w:r>
      <w:r w:rsidR="00C50A34">
        <w:t>e</w:t>
      </w:r>
      <w:r w:rsidRPr="00EE0E12">
        <w:t>cem no mar, respectivamente. Esta técnica também demanda um plano de monitoramento de sua aplicação, que deve ser discutido e aprovado previamente com o órgão ambiental. Outro ponto a ser considerado é a inexistência de texto legal que regulamente a aplicação desta técnica no Brasil, o que demanda uma discussão prévia com o órgão ambiental para a consideração de sua utilização, caso esta seja indicada pelas avaliações sobre a resposta ao incidente.</w:t>
      </w:r>
    </w:p>
    <w:p w14:paraId="4648D9CB" w14:textId="77777777" w:rsidR="00B97508" w:rsidRPr="00EE0E12" w:rsidRDefault="00B97508" w:rsidP="000E5237">
      <w:pPr>
        <w:pStyle w:val="tier1Itext"/>
      </w:pPr>
      <w:r w:rsidRPr="00EE0E12">
        <w:t xml:space="preserve">Porém, como pode ser visto na </w:t>
      </w:r>
      <w:r w:rsidRPr="00EE0E12">
        <w:rPr>
          <w:b/>
        </w:rPr>
        <w:fldChar w:fldCharType="begin"/>
      </w:r>
      <w:r w:rsidRPr="00EE0E12">
        <w:rPr>
          <w:b/>
        </w:rPr>
        <w:instrText xml:space="preserve"> REF _Ref412811966 \h  \* MERGEFORMAT </w:instrText>
      </w:r>
      <w:r w:rsidRPr="00EE0E12">
        <w:rPr>
          <w:b/>
        </w:rPr>
      </w:r>
      <w:r w:rsidRPr="00EE0E12">
        <w:rPr>
          <w:b/>
        </w:rPr>
        <w:fldChar w:fldCharType="separate"/>
      </w:r>
      <w:r w:rsidR="00897470" w:rsidRPr="00897470">
        <w:rPr>
          <w:b/>
        </w:rPr>
        <w:t xml:space="preserve">Figura </w:t>
      </w:r>
      <w:r w:rsidR="00897470" w:rsidRPr="00897470">
        <w:rPr>
          <w:b/>
          <w:noProof/>
        </w:rPr>
        <w:t>10</w:t>
      </w:r>
      <w:r w:rsidRPr="00EE0E12">
        <w:rPr>
          <w:b/>
        </w:rPr>
        <w:fldChar w:fldCharType="end"/>
      </w:r>
      <w:r w:rsidRPr="00EE0E12">
        <w:t>, ambas as técnicas possuem condições de mobilização limitadas em relação ao estado do mar e às variações de espessura média do óleo, o que reforça a importância da avaliação do incidente considerando todos os potenciais impactos de acordo com a sua magnitude.</w:t>
      </w:r>
    </w:p>
    <w:p w14:paraId="73D81137" w14:textId="77777777" w:rsidR="00B97508" w:rsidRPr="000E5237" w:rsidRDefault="00B97508" w:rsidP="004B4E3F">
      <w:pPr>
        <w:keepNext/>
        <w:spacing w:before="0" w:line="240" w:lineRule="auto"/>
        <w:jc w:val="center"/>
        <w:rPr>
          <w:rStyle w:val="tier1ItextChar"/>
          <w:rFonts w:eastAsiaTheme="minorEastAsia"/>
        </w:rPr>
      </w:pPr>
      <w:r w:rsidRPr="00EE0E12">
        <w:rPr>
          <w:rFonts w:asciiTheme="majorHAnsi" w:hAnsiTheme="majorHAnsi"/>
          <w:noProof/>
          <w:lang w:val="en-US" w:eastAsia="en-US"/>
        </w:rPr>
        <w:drawing>
          <wp:inline distT="0" distB="0" distL="0" distR="0" wp14:anchorId="76561846" wp14:editId="5FEE3B66">
            <wp:extent cx="5278755" cy="4093155"/>
            <wp:effectExtent l="0" t="0" r="0" b="3175"/>
            <wp:docPr id="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278755" cy="4093155"/>
                    </a:xfrm>
                    <a:prstGeom prst="rect">
                      <a:avLst/>
                    </a:prstGeom>
                  </pic:spPr>
                </pic:pic>
              </a:graphicData>
            </a:graphic>
          </wp:inline>
        </w:drawing>
      </w:r>
    </w:p>
    <w:p w14:paraId="43196E54" w14:textId="77777777" w:rsidR="00B97508" w:rsidRPr="00723A97" w:rsidRDefault="00B97508" w:rsidP="004B4E3F">
      <w:pPr>
        <w:pStyle w:val="Caption"/>
        <w:keepNext w:val="0"/>
        <w:spacing w:before="0" w:after="0" w:line="240" w:lineRule="auto"/>
      </w:pPr>
      <w:bookmarkStart w:id="148" w:name="_Ref412811966"/>
      <w:bookmarkStart w:id="149" w:name="_Toc412812280"/>
      <w:bookmarkStart w:id="150" w:name="_Toc523833975"/>
      <w:r w:rsidRPr="00723A97">
        <w:t xml:space="preserve">Figura </w:t>
      </w:r>
      <w:fldSimple w:instr=" SEQ Figura \* ARABIC ">
        <w:r w:rsidR="00897470">
          <w:rPr>
            <w:noProof/>
          </w:rPr>
          <w:t>10</w:t>
        </w:r>
      </w:fldSimple>
      <w:bookmarkEnd w:id="148"/>
      <w:r w:rsidRPr="00723A97">
        <w:t>: Condições limitantes de vazamentos para aplicação de cada técnica de resposta</w:t>
      </w:r>
      <w:r w:rsidR="008D6541">
        <w:t xml:space="preserve"> </w:t>
      </w:r>
      <w:r w:rsidR="008D6541" w:rsidRPr="00C45C9A">
        <w:t>(Fonte:</w:t>
      </w:r>
      <w:r w:rsidR="00F02028">
        <w:t xml:space="preserve"> Modificado a partir de original em </w:t>
      </w:r>
      <w:r w:rsidR="00BE2E8B" w:rsidRPr="00C45C9A">
        <w:t>BP, 20</w:t>
      </w:r>
      <w:r w:rsidR="00F02028">
        <w:t>12</w:t>
      </w:r>
      <w:r w:rsidR="008D6541" w:rsidRPr="00C45C9A">
        <w:t>)</w:t>
      </w:r>
      <w:r w:rsidRPr="00BE2E8B">
        <w:t>.</w:t>
      </w:r>
      <w:bookmarkEnd w:id="149"/>
      <w:bookmarkEnd w:id="150"/>
    </w:p>
    <w:p w14:paraId="41AA7664" w14:textId="77777777" w:rsidR="00B97508" w:rsidRPr="00EE0E12" w:rsidRDefault="00B97508" w:rsidP="000E5237">
      <w:pPr>
        <w:pStyle w:val="tier1Itext"/>
        <w:spacing w:before="360"/>
      </w:pPr>
      <w:r w:rsidRPr="00EE0E12">
        <w:lastRenderedPageBreak/>
        <w:t>A aplicação de dispersantes químicos na superfície não remove fisicamente o óleo do mar, mas aumenta a sua dispersão na coluna de água em pequenas gotículas, favorecendo o processo de biodegradação. Esta técnica pode apresentar alta eficiência na dispersão e degradação do óleo e é adequada para mobilização em condições de mar mais variadas e em diferentes espessuras médias de óleo, sendo mais efetiva em ambientes de alta energia. O aspecto adverso está relacionado com a extensão dos impactos dos dispersantes no meio ambiente, principalmente a quantidade que não tenha reagido com o óleo, o que demanda o cumprimento de procedimentos específicos de sua operacionalização. Também necessita de um detalhado plano de monitoramento para a avaliação de sua eficácia, que complementa as análises visuais dos resultados de sua aplicação.</w:t>
      </w:r>
    </w:p>
    <w:p w14:paraId="438CA70E" w14:textId="77777777" w:rsidR="00B97508" w:rsidRPr="00EE0E12" w:rsidRDefault="00B97508" w:rsidP="000E5237">
      <w:pPr>
        <w:pStyle w:val="tier1Itext"/>
      </w:pPr>
      <w:r w:rsidRPr="00EE0E12">
        <w:t>A aplicação submarina de dispersantes químicos possui o mesmo princípio da sua aplicação em superfície, porém aumentada de maneira significativa em função do fluxo de saída e da flutuabilidade do óleo (causando a agitação requerida para mistura) e à dispersão ao longo dos três eixos (planos ao longo da coluna de água). A gestão de atmosferas tóxicas e explosivas de VOC (compostos orgânicos de carbono, do termo em inglês “</w:t>
      </w:r>
      <w:r w:rsidRPr="00EE0E12">
        <w:rPr>
          <w:i/>
        </w:rPr>
        <w:t>Volatile Organic Compounds</w:t>
      </w:r>
      <w:r w:rsidRPr="00EE0E12">
        <w:t>”), principalmente considerando a sua significativa redução e a possibilidade de adoção de técnicas de resposta mais rapidamente e/ou mais próximas à fonte do vazamento, é o fator chave na consideração da aplicação submarina de dispersante. Este é o caso em que são consideradas técnicas de controle de fonte tais como intervenção e coleta (CRS, do termo em inglês “</w:t>
      </w:r>
      <w:r w:rsidRPr="00EE0E12">
        <w:rPr>
          <w:i/>
        </w:rPr>
        <w:t>Contaiment and Recovery System</w:t>
      </w:r>
      <w:r w:rsidRPr="00EE0E12">
        <w:t>”), onde é imperativo que as operações sejam efetuadas o mais próximo possível da fonte com as embarcações e dispositivos de resposta. O aspecto adverso está relacionado com a extensão dos impactos agregando profundidade, e consequentemente diferentes temperaturas e pressões como novos parâmetros analíticos.</w:t>
      </w:r>
    </w:p>
    <w:p w14:paraId="05F19DEE" w14:textId="77777777" w:rsidR="00B97508" w:rsidRPr="00EE0E12" w:rsidRDefault="00B97508" w:rsidP="000E5237">
      <w:pPr>
        <w:pStyle w:val="tier1Itext"/>
      </w:pPr>
      <w:r w:rsidRPr="00EE0E12">
        <w:t xml:space="preserve">Outro </w:t>
      </w:r>
      <w:r w:rsidR="00314A01">
        <w:t>aspecto</w:t>
      </w:r>
      <w:r w:rsidR="00314A01" w:rsidRPr="00EE0E12">
        <w:t xml:space="preserve"> </w:t>
      </w:r>
      <w:r w:rsidRPr="00EE0E12">
        <w:t>importante para esta avaliação é o tempo decorrido desde a ocorrência do derram</w:t>
      </w:r>
      <w:r w:rsidR="00314A01">
        <w:t>am</w:t>
      </w:r>
      <w:r w:rsidRPr="00EE0E12">
        <w:t>e</w:t>
      </w:r>
      <w:r w:rsidR="00314A01">
        <w:t>nto</w:t>
      </w:r>
      <w:r w:rsidRPr="00EE0E12">
        <w:t>. Ele está intrinsecamente relacionado com a espessura média do óleo (que se torna mais fino com o passar do tempo, causado pela dispersão e advecção pela superfície) e também cria uma limitação funcional para as técnicas. Nenhuma ação de resposta deve ser realizada antes da análise de segurança (em linha com os Planos de Segurança do Local - ICS 208) da atmosfera local, especialmente relacionado com as medidas de VOC (compostos orgânicos voláteis – atmosferas potencialmente explosivas e nocivas à saúde humana). Então, quando permitido, a recuperação mecânica e a queima controlada devem ser priorizadas no entorno da área da fonte do derram</w:t>
      </w:r>
      <w:r w:rsidR="00314A01">
        <w:t>am</w:t>
      </w:r>
      <w:r w:rsidRPr="00EE0E12">
        <w:t>e</w:t>
      </w:r>
      <w:r w:rsidR="00314A01">
        <w:t>nto</w:t>
      </w:r>
      <w:r w:rsidRPr="00EE0E12">
        <w:t>, para garantir acesso ao óleo mais espesso e reduzir a demanda de longo prazo de barreiras de contenção até a criação de volume/espessura suficiente para mobilização eficiente dos equipamentos adequados de resposta.</w:t>
      </w:r>
    </w:p>
    <w:p w14:paraId="21445EC6" w14:textId="77777777" w:rsidR="00B97508" w:rsidRPr="00EE0E12" w:rsidRDefault="00B97508" w:rsidP="000E5237">
      <w:pPr>
        <w:pStyle w:val="tier1Itext"/>
      </w:pPr>
      <w:r w:rsidRPr="00EE0E12">
        <w:lastRenderedPageBreak/>
        <w:t xml:space="preserve">A aplicação de dispersantes químicos em superfície também tem um prazo considerado ótimo, por volta de dois a três dias a partir do afloramento do vazamento, quando a maioria dos tipos de óleo apresenta condições adequadas para a reação química com o produto. Então, dependendo da disponibilidade e número de microrganismos degradadores de óleo, temperatura da água, dinâmica ambiental e exposição ao sol, pode levar até quatro semanas até o consumo total das gotículas de óleo e dos microrganismos por outras comunidades de organismos do plâncton, conforme pode ser visto na </w:t>
      </w:r>
      <w:r w:rsidRPr="00EE0E12">
        <w:rPr>
          <w:b/>
        </w:rPr>
        <w:fldChar w:fldCharType="begin"/>
      </w:r>
      <w:r w:rsidRPr="00EE0E12">
        <w:rPr>
          <w:b/>
        </w:rPr>
        <w:instrText xml:space="preserve"> REF _Ref412807177 \h  \* MERGEFORMAT </w:instrText>
      </w:r>
      <w:r w:rsidRPr="00EE0E12">
        <w:rPr>
          <w:b/>
        </w:rPr>
      </w:r>
      <w:r w:rsidRPr="00EE0E12">
        <w:rPr>
          <w:b/>
        </w:rPr>
        <w:fldChar w:fldCharType="separate"/>
      </w:r>
      <w:r w:rsidR="00897470" w:rsidRPr="00897470">
        <w:rPr>
          <w:b/>
        </w:rPr>
        <w:t xml:space="preserve">Figura </w:t>
      </w:r>
      <w:r w:rsidR="00897470" w:rsidRPr="00897470">
        <w:rPr>
          <w:b/>
          <w:noProof/>
        </w:rPr>
        <w:t>11</w:t>
      </w:r>
      <w:r w:rsidRPr="00EE0E12">
        <w:rPr>
          <w:b/>
        </w:rPr>
        <w:fldChar w:fldCharType="end"/>
      </w:r>
      <w:r w:rsidRPr="00EE0E12">
        <w:t>, a seguir.</w:t>
      </w:r>
    </w:p>
    <w:p w14:paraId="56F484F4" w14:textId="77777777" w:rsidR="00B97508" w:rsidRPr="00A928B5" w:rsidRDefault="00B97508" w:rsidP="00A928B5">
      <w:pPr>
        <w:spacing w:before="0" w:line="240" w:lineRule="auto"/>
        <w:jc w:val="center"/>
        <w:rPr>
          <w:rStyle w:val="tier1ItextChar"/>
          <w:rFonts w:eastAsiaTheme="minorEastAsia"/>
        </w:rPr>
      </w:pPr>
      <w:r w:rsidRPr="00EE0E12">
        <w:rPr>
          <w:rFonts w:asciiTheme="majorHAnsi" w:hAnsiTheme="majorHAnsi"/>
          <w:noProof/>
          <w:lang w:val="en-US" w:eastAsia="en-US"/>
        </w:rPr>
        <w:drawing>
          <wp:inline distT="0" distB="0" distL="0" distR="0" wp14:anchorId="5169AF91" wp14:editId="5E811CA6">
            <wp:extent cx="5260864" cy="2509284"/>
            <wp:effectExtent l="0" t="0" r="0" b="5715"/>
            <wp:docPr id="4" name="Picture 1" descr="Description: Figure 7 Dispersant Time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Figure 7 Dispersant Timefram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2311" cy="2519514"/>
                    </a:xfrm>
                    <a:prstGeom prst="rect">
                      <a:avLst/>
                    </a:prstGeom>
                    <a:noFill/>
                    <a:ln>
                      <a:noFill/>
                    </a:ln>
                  </pic:spPr>
                </pic:pic>
              </a:graphicData>
            </a:graphic>
          </wp:inline>
        </w:drawing>
      </w:r>
    </w:p>
    <w:p w14:paraId="7D9D793A" w14:textId="77777777" w:rsidR="00B97508" w:rsidRPr="00EE0E12" w:rsidRDefault="00B97508" w:rsidP="00A928B5">
      <w:pPr>
        <w:pStyle w:val="Caption"/>
        <w:spacing w:before="0" w:after="0" w:line="240" w:lineRule="auto"/>
      </w:pPr>
      <w:bookmarkStart w:id="151" w:name="_Ref412807177"/>
      <w:bookmarkStart w:id="152" w:name="_Toc412812281"/>
      <w:bookmarkStart w:id="153" w:name="_Toc523833976"/>
      <w:r w:rsidRPr="00EE0E12">
        <w:t xml:space="preserve">Figura </w:t>
      </w:r>
      <w:fldSimple w:instr=" SEQ Figura \* ARABIC ">
        <w:r w:rsidR="00897470">
          <w:rPr>
            <w:noProof/>
          </w:rPr>
          <w:t>11</w:t>
        </w:r>
      </w:fldSimple>
      <w:bookmarkEnd w:id="151"/>
      <w:r w:rsidRPr="00EE0E12">
        <w:t>: Esquema de degradação de óleo dispersado quimicamente</w:t>
      </w:r>
      <w:r w:rsidR="00605F99">
        <w:t xml:space="preserve"> (</w:t>
      </w:r>
      <w:r w:rsidR="00605F99" w:rsidRPr="00C45C9A">
        <w:t xml:space="preserve">Fonte: </w:t>
      </w:r>
      <w:r w:rsidR="00F02028">
        <w:t xml:space="preserve">Modificado a partir do original em </w:t>
      </w:r>
      <w:r w:rsidR="00314A01">
        <w:t>BP, 20</w:t>
      </w:r>
      <w:r w:rsidR="00F02028">
        <w:t>12</w:t>
      </w:r>
      <w:r w:rsidR="00605F99">
        <w:t>)</w:t>
      </w:r>
      <w:r w:rsidRPr="00EE0E12">
        <w:t>.</w:t>
      </w:r>
      <w:bookmarkEnd w:id="152"/>
      <w:bookmarkEnd w:id="153"/>
    </w:p>
    <w:p w14:paraId="1D409830" w14:textId="2CBCC4A3" w:rsidR="00B97508" w:rsidRPr="00EE0E12" w:rsidRDefault="00B97508" w:rsidP="00A928B5">
      <w:pPr>
        <w:pStyle w:val="tier1Itext"/>
        <w:spacing w:before="360"/>
      </w:pPr>
      <w:r w:rsidRPr="00EE0E12">
        <w:t xml:space="preserve">Os itens apresentados a seguir no Plano visam apresentar </w:t>
      </w:r>
      <w:r w:rsidR="004C003C">
        <w:t xml:space="preserve">distintas </w:t>
      </w:r>
      <w:r w:rsidRPr="00EE0E12">
        <w:t xml:space="preserve">técnicas de gerenciamento e combate a vazamentos, bem como suas ativações, considerados pela BP Energy em todas as respostas de situações desta natureza, plenamente alinhadas, porém não limitadas, aos itens solicitados na Resolução CONAMA Nº 398/08 - Anexo </w:t>
      </w:r>
      <w:r w:rsidR="00A928B5">
        <w:t>I</w:t>
      </w:r>
      <w:r w:rsidRPr="00EE0E12">
        <w:t>/item 3.5.</w:t>
      </w:r>
    </w:p>
    <w:p w14:paraId="521B357D" w14:textId="77777777" w:rsidR="00B52C01" w:rsidRPr="009E316F" w:rsidRDefault="00B52C01" w:rsidP="009D01BE">
      <w:pPr>
        <w:pStyle w:val="Heading2"/>
        <w:rPr>
          <w:lang w:val="pt-BR"/>
        </w:rPr>
      </w:pPr>
      <w:bookmarkStart w:id="154" w:name="_Toc523833894"/>
      <w:r w:rsidRPr="009E316F">
        <w:rPr>
          <w:lang w:val="pt-BR"/>
        </w:rPr>
        <w:t>Saúde e Segurança Durante as Operações de Resposta</w:t>
      </w:r>
      <w:bookmarkEnd w:id="154"/>
    </w:p>
    <w:p w14:paraId="78DFE442" w14:textId="77777777" w:rsidR="00B97508" w:rsidRPr="00EE0E12" w:rsidRDefault="00B97508" w:rsidP="00A928B5">
      <w:pPr>
        <w:pStyle w:val="tier1Itext"/>
      </w:pPr>
      <w:r w:rsidRPr="00EE0E12">
        <w:t>O Ofic</w:t>
      </w:r>
      <w:r w:rsidR="00C50A34">
        <w:t>i</w:t>
      </w:r>
      <w:r w:rsidRPr="00EE0E12">
        <w:t>al de Segurança da IMT (ou pessoa designada) é responsável por estabelecer medidas para que as operações de resposta possam ser realizadas com saúde e segurança para toda a equipe de resposta, devendo configurar entre suas atribuições o estabelecimento de zonas de segurança; a identificação de perigos relacionados às atividades que serão realizadas e a elaboração do(s) Plano(s) de Segurança do Local (ICS 208).</w:t>
      </w:r>
    </w:p>
    <w:p w14:paraId="4044AEBD" w14:textId="77777777" w:rsidR="00B97508" w:rsidRPr="00EE0E12" w:rsidRDefault="00B97508" w:rsidP="00A928B5">
      <w:pPr>
        <w:pStyle w:val="tier1Itext"/>
      </w:pPr>
      <w:r w:rsidRPr="00EE0E12">
        <w:t>Para os aspectos relacionados à saúde do pessoal da resposta, o Oficial de Segurança será suportado pelo Líder da Unidade Médica da Seção de Logística, que revisará o Plano Médico para a resposta ao incidente (ICS 206). Poderão ser desenvolvidos planos específicos para locais não cobertos por procedimentos médicos já existentes (ICP, base de apoio, barcos</w:t>
      </w:r>
      <w:r w:rsidR="00314A01">
        <w:t>,</w:t>
      </w:r>
      <w:r w:rsidRPr="00EE0E12">
        <w:t xml:space="preserve"> etc).</w:t>
      </w:r>
    </w:p>
    <w:p w14:paraId="25F05EC1" w14:textId="1E775E1A" w:rsidR="00B97508" w:rsidRPr="00EE0E12" w:rsidRDefault="00B97508" w:rsidP="00A928B5">
      <w:pPr>
        <w:pStyle w:val="tier1Itext"/>
      </w:pPr>
      <w:r w:rsidRPr="00EE0E12">
        <w:lastRenderedPageBreak/>
        <w:t xml:space="preserve">Não obstante, todos os envolvidos nas ações de resposta a um incidente com derramamento de óleo no mar devem atuar de forma a priorizar os aspectos ligados à segurança - sua própria e das operações. Neste contexto, o </w:t>
      </w:r>
      <w:r w:rsidRPr="00EE0E12">
        <w:rPr>
          <w:i/>
        </w:rPr>
        <w:t>checklist</w:t>
      </w:r>
      <w:r w:rsidRPr="00EE0E12">
        <w:t xml:space="preserve"> abaixo apresentado descreve os itens gerais de segurança que deverão ser seguidos por todos os membros da </w:t>
      </w:r>
      <w:r w:rsidR="004C003C">
        <w:t xml:space="preserve">estrutura de resposta </w:t>
      </w:r>
      <w:r w:rsidRPr="00EE0E12">
        <w:t xml:space="preserve">que forem envolvidos nas ações de </w:t>
      </w:r>
      <w:r w:rsidR="004C003C">
        <w:t>combate</w:t>
      </w:r>
      <w:r w:rsidRPr="00EE0E12">
        <w:t>:</w:t>
      </w:r>
    </w:p>
    <w:p w14:paraId="116FE0A4"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A928B5">
        <w:rPr>
          <w:rFonts w:asciiTheme="majorHAnsi" w:hAnsiTheme="majorHAnsi"/>
        </w:rPr>
        <w:t xml:space="preserve">Receber um </w:t>
      </w:r>
      <w:r w:rsidRPr="00C45C9A">
        <w:rPr>
          <w:rFonts w:asciiTheme="majorHAnsi" w:hAnsiTheme="majorHAnsi"/>
          <w:i/>
        </w:rPr>
        <w:t>briefing</w:t>
      </w:r>
      <w:r w:rsidRPr="00A928B5">
        <w:rPr>
          <w:rFonts w:asciiTheme="majorHAnsi" w:hAnsiTheme="majorHAnsi"/>
        </w:rPr>
        <w:t xml:space="preserve"> de segurança do seu supervisor ou do Oficial de Segurança antes de iniciar em qualquer atividade relacionada à resposta;</w:t>
      </w:r>
    </w:p>
    <w:p w14:paraId="0C09B4D8"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Não executar qualquer tarefa para a qual não tenha sido devidamente treinado e solicitado;</w:t>
      </w:r>
    </w:p>
    <w:p w14:paraId="6B6B7DF6"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Utilizar o equipamento de proteção individual (EPI) adequado, conforme orientado pelo seu supervisor, Oficial de Segurança ou pessoa designada;</w:t>
      </w:r>
    </w:p>
    <w:p w14:paraId="15CC28C0"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Avaliar regularmente a segurança das operações de resposta e informar a existência de condições de risco (por exemplo, risco de incêndio e explosão, exposição química, segurança em operações marítima, dentre outros);</w:t>
      </w:r>
    </w:p>
    <w:p w14:paraId="54441442"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Reportar quaisquer condições inseguras ao seu supervisor e ao Oficial de Segurança ou pessoa designada (conforme estabelecido no protocolo de comunicação interno);</w:t>
      </w:r>
    </w:p>
    <w:p w14:paraId="52C9FEE4"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Reportar qualquer acidente e/ou lesões para o seu supervisor;</w:t>
      </w:r>
    </w:p>
    <w:p w14:paraId="2A4465A5"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Manter a integridade das zonas de segurança (quente, fria) a fim de prevenir a disseminação da contaminação;</w:t>
      </w:r>
    </w:p>
    <w:p w14:paraId="1CFC253D" w14:textId="77777777" w:rsidR="00B97508" w:rsidRPr="00A928B5"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A928B5">
        <w:rPr>
          <w:rFonts w:asciiTheme="majorHAnsi" w:hAnsiTheme="majorHAnsi"/>
        </w:rPr>
        <w:t>Ler a Ficha de Informações de Segurança de Produtos Químicos (FISPQ) dos produtos que seja necessário utilizar;</w:t>
      </w:r>
    </w:p>
    <w:p w14:paraId="102D54C7" w14:textId="77777777"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Seguir os procedimentos de descontaminação estabelecidos; e</w:t>
      </w:r>
    </w:p>
    <w:p w14:paraId="361A11F0" w14:textId="47295D06" w:rsidR="00B97508" w:rsidRPr="00EE0E12" w:rsidRDefault="00B97508" w:rsidP="00EA2A77">
      <w:pPr>
        <w:pStyle w:val="OCEBullet"/>
        <w:numPr>
          <w:ilvl w:val="0"/>
          <w:numId w:val="15"/>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 xml:space="preserve">Segregar os resíduos gerados de acordo com o procedimento estabelecido, conforme indicado pelo Plano de Gerenciamento de Resíduos (item </w:t>
      </w:r>
      <w:r w:rsidR="00DB2BC5">
        <w:rPr>
          <w:rFonts w:asciiTheme="majorHAnsi" w:hAnsiTheme="majorHAnsi"/>
        </w:rPr>
        <w:fldChar w:fldCharType="begin"/>
      </w:r>
      <w:r w:rsidR="00DB2BC5">
        <w:rPr>
          <w:rFonts w:asciiTheme="majorHAnsi" w:hAnsiTheme="majorHAnsi"/>
        </w:rPr>
        <w:instrText xml:space="preserve"> REF _Ref415230290 \r \h </w:instrText>
      </w:r>
      <w:r w:rsidR="00DB2BC5">
        <w:rPr>
          <w:rFonts w:asciiTheme="majorHAnsi" w:hAnsiTheme="majorHAnsi"/>
        </w:rPr>
      </w:r>
      <w:r w:rsidR="00DB2BC5">
        <w:rPr>
          <w:rFonts w:asciiTheme="majorHAnsi" w:hAnsiTheme="majorHAnsi"/>
        </w:rPr>
        <w:fldChar w:fldCharType="separate"/>
      </w:r>
      <w:r w:rsidR="00897470">
        <w:rPr>
          <w:rFonts w:asciiTheme="majorHAnsi" w:hAnsiTheme="majorHAnsi"/>
        </w:rPr>
        <w:t>8.10</w:t>
      </w:r>
      <w:r w:rsidR="00DB2BC5">
        <w:rPr>
          <w:rFonts w:asciiTheme="majorHAnsi" w:hAnsiTheme="majorHAnsi"/>
        </w:rPr>
        <w:fldChar w:fldCharType="end"/>
      </w:r>
      <w:r w:rsidRPr="00EE0E12">
        <w:rPr>
          <w:rFonts w:asciiTheme="majorHAnsi" w:hAnsiTheme="majorHAnsi"/>
        </w:rPr>
        <w:t>).</w:t>
      </w:r>
    </w:p>
    <w:p w14:paraId="212EEE25" w14:textId="77777777" w:rsidR="00B97508" w:rsidRPr="00EE0E12" w:rsidRDefault="00B97508" w:rsidP="00A928B5">
      <w:pPr>
        <w:pStyle w:val="tier1Itext"/>
      </w:pPr>
      <w:r w:rsidRPr="00EE0E12">
        <w:t>As versões finais dos Planos de Segurança do Local (ICS 208) e Médico (ICS 206) para as unidades de resposta serão revistos e validados nas primeiras horas da instalação da estrutura de combate à emergência e os procedimentos específicos dependerão dos fatores de momento e das técnicas a serem consideradas para adoção, sendo avaliados a medida que forem acontecendo.</w:t>
      </w:r>
    </w:p>
    <w:p w14:paraId="2072BFA2" w14:textId="77777777" w:rsidR="00B52C01" w:rsidRPr="009E316F" w:rsidRDefault="00B52C01" w:rsidP="009D01BE">
      <w:pPr>
        <w:pStyle w:val="Heading2"/>
        <w:rPr>
          <w:lang w:val="pt-BR"/>
        </w:rPr>
      </w:pPr>
      <w:bookmarkStart w:id="155" w:name="_Ref414612432"/>
      <w:bookmarkStart w:id="156" w:name="_Ref414612440"/>
      <w:bookmarkStart w:id="157" w:name="_Ref414612584"/>
      <w:bookmarkStart w:id="158" w:name="_Ref414612875"/>
      <w:bookmarkStart w:id="159" w:name="_Toc523833895"/>
      <w:r w:rsidRPr="009E316F">
        <w:rPr>
          <w:lang w:val="pt-BR"/>
        </w:rPr>
        <w:lastRenderedPageBreak/>
        <w:t>Sistema de Alerta e Procedimento para a Interrupção da Descarga de Óleo</w:t>
      </w:r>
      <w:bookmarkEnd w:id="155"/>
      <w:bookmarkEnd w:id="156"/>
      <w:bookmarkEnd w:id="157"/>
      <w:bookmarkEnd w:id="158"/>
      <w:bookmarkEnd w:id="159"/>
    </w:p>
    <w:p w14:paraId="6D2E7A8C" w14:textId="7790E17B" w:rsidR="00B97508" w:rsidRPr="00EE0E12" w:rsidRDefault="00B97508" w:rsidP="00A928B5">
      <w:pPr>
        <w:pStyle w:val="tier1Itext"/>
      </w:pPr>
      <w:r w:rsidRPr="00EE0E12">
        <w:t xml:space="preserve">A identificação de um eventual derramamento de óleo e a rápida ativação do PEI constituem procedimentos decisivos para a eficiência da resposta. Por este motivo as tripulações da </w:t>
      </w:r>
      <w:r w:rsidR="00EE16FF">
        <w:t>unidade de perfuração</w:t>
      </w:r>
      <w:r w:rsidRPr="00EE0E12">
        <w:t xml:space="preserve"> e das embarcações envolvidas nas atividades da BP Energy deverão ser capacitadas para a identificação visual e notificação de qualquer mancha de óleo no mar. Além da observação visual, a identificação de um derramamento de óleo a partir da unidade </w:t>
      </w:r>
      <w:r w:rsidR="00314A01" w:rsidRPr="00C45C9A">
        <w:t>de perfuração</w:t>
      </w:r>
      <w:r w:rsidR="00314A01" w:rsidRPr="00EE0E12">
        <w:t xml:space="preserve"> </w:t>
      </w:r>
      <w:r w:rsidRPr="00EE0E12">
        <w:t>também poderá ser feita a partir de sensores de equipamentos e controle de parâmetros existentes na plataforma</w:t>
      </w:r>
      <w:r w:rsidRPr="00EE0E12">
        <w:rPr>
          <w:i/>
        </w:rPr>
        <w:t>.</w:t>
      </w:r>
    </w:p>
    <w:p w14:paraId="2B203EC1" w14:textId="5E8A6090" w:rsidR="00B97508" w:rsidRPr="00EE0E12" w:rsidRDefault="00B97508" w:rsidP="00A928B5">
      <w:pPr>
        <w:pStyle w:val="tier1Itext"/>
      </w:pPr>
      <w:r w:rsidRPr="00EE0E12">
        <w:t xml:space="preserve">Após a identificação do incidente, este deverá ser imediatamente reportado ao supervisor de área ou diretamente ao Capitão na ponte de comando (passadiço) para que a cadeia de comunicação </w:t>
      </w:r>
      <w:r w:rsidRPr="00E24DBF">
        <w:t xml:space="preserve">descrita no </w:t>
      </w:r>
      <w:r w:rsidR="004C003C">
        <w:t xml:space="preserve">Capítulo </w:t>
      </w:r>
      <w:r w:rsidR="00A928B5" w:rsidRPr="00E24DBF">
        <w:fldChar w:fldCharType="begin"/>
      </w:r>
      <w:r w:rsidR="00A928B5" w:rsidRPr="00E24DBF">
        <w:instrText xml:space="preserve"> REF _Ref414537621 \r \h  \* MERGEFORMAT </w:instrText>
      </w:r>
      <w:r w:rsidR="00A928B5" w:rsidRPr="00E24DBF">
        <w:fldChar w:fldCharType="separate"/>
      </w:r>
      <w:r w:rsidR="00897470">
        <w:t>6</w:t>
      </w:r>
      <w:r w:rsidR="00A928B5" w:rsidRPr="00E24DBF">
        <w:fldChar w:fldCharType="end"/>
      </w:r>
      <w:r w:rsidRPr="00E24DBF">
        <w:t xml:space="preserve"> seja iniciada</w:t>
      </w:r>
      <w:r w:rsidRPr="00EE0E12">
        <w:t>, e as ações de controle da fonte e de atendimento à emergência sejam efetuadas prontamente.</w:t>
      </w:r>
    </w:p>
    <w:p w14:paraId="0F142930" w14:textId="77777777" w:rsidR="00B97508" w:rsidRPr="00EE0E12" w:rsidRDefault="00B97508" w:rsidP="00A928B5">
      <w:pPr>
        <w:pStyle w:val="tier1Itext"/>
      </w:pPr>
      <w:r w:rsidRPr="00EE0E12">
        <w:t>Caso o derram</w:t>
      </w:r>
      <w:r w:rsidR="00314A01">
        <w:t>am</w:t>
      </w:r>
      <w:r w:rsidRPr="00EE0E12">
        <w:t>e</w:t>
      </w:r>
      <w:r w:rsidR="00314A01">
        <w:t>nto</w:t>
      </w:r>
      <w:r w:rsidRPr="00EE0E12">
        <w:t xml:space="preserve"> seja a bordo da embarcação dedicada ou de apoio, o Comandante desta embarcação deverá ativar o </w:t>
      </w:r>
      <w:r w:rsidRPr="00EE0E12">
        <w:rPr>
          <w:i/>
        </w:rPr>
        <w:t>Shipboard Oil Pollution Emergency Plan</w:t>
      </w:r>
      <w:r w:rsidRPr="00EE0E12">
        <w:t xml:space="preserve"> – SOPEP imediatamente após receber o alerta do derramamento. O mesmo pode ser considerado para a plataforma de perfuração, considerando a ativação relacionada no SOPEP pelo Capitão da unidade.</w:t>
      </w:r>
    </w:p>
    <w:p w14:paraId="137CDD53" w14:textId="2BDF90C1" w:rsidR="00B97508" w:rsidRPr="00EE0E12" w:rsidRDefault="00B97508" w:rsidP="00A928B5">
      <w:pPr>
        <w:pStyle w:val="tier1Itext"/>
        <w:rPr>
          <w:rFonts w:cstheme="majorHAnsi"/>
          <w:szCs w:val="22"/>
        </w:rPr>
      </w:pPr>
      <w:r w:rsidRPr="00EE0E12">
        <w:t xml:space="preserve">Independentemente do tipo de substância oleosa envolvida, os procedimentos para a interrupção da descarga de óleo referentes aos cenários acidentais envolvendo ruptura em tanques, linhas e/ou acessórios (descritos no item </w:t>
      </w:r>
      <w:r w:rsidR="002D2F32">
        <w:fldChar w:fldCharType="begin"/>
      </w:r>
      <w:r w:rsidR="002D2F32">
        <w:instrText xml:space="preserve"> REF _Ref414525557 \r \h </w:instrText>
      </w:r>
      <w:r w:rsidR="002D2F32">
        <w:fldChar w:fldCharType="separate"/>
      </w:r>
      <w:r w:rsidR="00897470">
        <w:t>3</w:t>
      </w:r>
      <w:r w:rsidR="002D2F32">
        <w:fldChar w:fldCharType="end"/>
      </w:r>
      <w:r w:rsidRPr="00EE0E12">
        <w:t xml:space="preserve">), envolvem uma ou a combinação das seguintes medidas: (i) interrupção do fluxo, (ii) isolamento das seções avariadas e (iii) drenagem do conteúdo e transferência para sistemas não danificados. </w:t>
      </w:r>
      <w:r w:rsidRPr="00EE0E12">
        <w:rPr>
          <w:rFonts w:cstheme="majorHAnsi"/>
          <w:szCs w:val="22"/>
        </w:rPr>
        <w:t>Apesar de algumas ações serem específicas em função das particularidades do sistema de gestão operacional da unidade, alguns passos gerais comuns a estes procedimentos são apresentados a seguir.</w:t>
      </w:r>
    </w:p>
    <w:p w14:paraId="3843662F" w14:textId="77777777" w:rsidR="00B97508" w:rsidRPr="00EE0E12" w:rsidRDefault="00B97508" w:rsidP="00EA2A77">
      <w:pPr>
        <w:pStyle w:val="bartfogalt3checkbox"/>
        <w:keepNext/>
        <w:keepLines/>
        <w:numPr>
          <w:ilvl w:val="0"/>
          <w:numId w:val="17"/>
        </w:numPr>
        <w:tabs>
          <w:tab w:val="clear" w:pos="1170"/>
          <w:tab w:val="num" w:pos="-2692"/>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lastRenderedPageBreak/>
        <w:t>Derramamentos de óleo a partir da ruptura ou vazamento de mangueiras, linhas, conexões, válvulas ou bombas de sistemas a bordo de uma instalação/embarcação de apoio</w:t>
      </w:r>
    </w:p>
    <w:p w14:paraId="0CB3F949" w14:textId="13B023D8" w:rsidR="00B97508" w:rsidRPr="00EE0E12" w:rsidRDefault="00B97508" w:rsidP="00A928B5">
      <w:pPr>
        <w:pStyle w:val="tier1Itext"/>
      </w:pPr>
      <w:r w:rsidRPr="00EE0E12">
        <w:t>No caso de um derram</w:t>
      </w:r>
      <w:r w:rsidR="00314A01">
        <w:t>am</w:t>
      </w:r>
      <w:r w:rsidRPr="00EE0E12">
        <w:t>e</w:t>
      </w:r>
      <w:r w:rsidR="00314A01">
        <w:t>nto</w:t>
      </w:r>
      <w:r w:rsidRPr="00EE0E12">
        <w:t xml:space="preserve"> significativo</w:t>
      </w:r>
      <w:r w:rsidRPr="00EE0E12">
        <w:rPr>
          <w:rStyle w:val="FootnoteReference"/>
          <w:rFonts w:cstheme="majorHAnsi"/>
        </w:rPr>
        <w:footnoteReference w:id="26"/>
      </w:r>
      <w:r w:rsidRPr="00EE0E12">
        <w:t>, o Capitão deve iniciar o procedimento para suspensão de atividades e adoção das ações de resposta requeridas. Para este e para todos os outros cenários de derram</w:t>
      </w:r>
      <w:r w:rsidR="00314A01">
        <w:t>am</w:t>
      </w:r>
      <w:r w:rsidRPr="00EE0E12">
        <w:t>e</w:t>
      </w:r>
      <w:r w:rsidR="00314A01">
        <w:t>nto</w:t>
      </w:r>
      <w:r w:rsidRPr="00EE0E12">
        <w:t>, ele ativará a busca e controle da fonte do vazamento, procedendo com a identificação da maneira adequada para cessar o mesmo. O SOPEP é ativado.</w:t>
      </w:r>
    </w:p>
    <w:p w14:paraId="6F6F21AF" w14:textId="77777777" w:rsidR="00B97508" w:rsidRPr="00EE0E12" w:rsidRDefault="00B97508" w:rsidP="00A928B5">
      <w:pPr>
        <w:pStyle w:val="tier1Itext"/>
      </w:pPr>
      <w:r w:rsidRPr="00EE0E12">
        <w:t>As ações principais para controle do vazamento dentro de sistemas contidos envolve a parada dos mesmos de modo seguro e em tempo hábil (p.ex. estágio da perfuração). Todas as ações relacionadas para responder ao derram</w:t>
      </w:r>
      <w:r w:rsidR="00314A01">
        <w:t>am</w:t>
      </w:r>
      <w:r w:rsidRPr="00EE0E12">
        <w:t>e</w:t>
      </w:r>
      <w:r w:rsidR="00314A01">
        <w:t>nto</w:t>
      </w:r>
      <w:r w:rsidRPr="00EE0E12">
        <w:t xml:space="preserve"> devem ser mobilizadas, visando evitar que o mesmo chegue ao mar. Caso não seja possível, o PEI é ativado.</w:t>
      </w:r>
    </w:p>
    <w:p w14:paraId="156C314F" w14:textId="77777777" w:rsidR="00B97508" w:rsidRPr="00EE0E12" w:rsidRDefault="00B97508" w:rsidP="00A928B5">
      <w:pPr>
        <w:pStyle w:val="tier1Itext"/>
      </w:pPr>
      <w:r w:rsidRPr="00EE0E12">
        <w:t>No caso da embarcação de apoio, o Capitão avalia a situação para definir se a parada de um sistema que está gerando o vazamento é necessária ou pode gerar uma ameaça para a estabilidade da embarcação e/ou a capacidade de navegação da mesma. Se este for o caso, o Capitão deve solicitar ajuda de outras embarcações e tentar navegar para uma área onde possa esperar a chegada de apoio. O Plano de Resposta de Emergência deve ser acionado e o PEI será acionado em estado de prontidão.</w:t>
      </w:r>
    </w:p>
    <w:p w14:paraId="72AC6B8D" w14:textId="77777777" w:rsidR="00B97508" w:rsidRPr="00EE0E12" w:rsidRDefault="00B97508" w:rsidP="00A928B5">
      <w:pPr>
        <w:pStyle w:val="tier1Itext"/>
      </w:pPr>
      <w:r w:rsidRPr="00EE0E12">
        <w:t>Em último caso, o Capitão dará ordem para a parada do sistema que está causando o derram</w:t>
      </w:r>
      <w:r w:rsidR="00314A01">
        <w:t>am</w:t>
      </w:r>
      <w:r w:rsidRPr="00EE0E12">
        <w:t>e</w:t>
      </w:r>
      <w:r w:rsidR="00314A01">
        <w:t>nto</w:t>
      </w:r>
      <w:r w:rsidRPr="00EE0E12">
        <w:t>, para cessar a fonte e proceder com a manutenção corretiva adequada. O SOPEP é ativado. Todas as ações relacionadas para responder ao vazamento devem ser mobilizadas, visando evitar que o óleo chegue ao mar. Caso não seja possível, o PEI é ativado.</w:t>
      </w:r>
    </w:p>
    <w:p w14:paraId="5BA707D7" w14:textId="77777777" w:rsidR="00B97508" w:rsidRPr="00EE0E12" w:rsidRDefault="00B97508" w:rsidP="00EA2A77">
      <w:pPr>
        <w:pStyle w:val="bartfogalt3checkbox"/>
        <w:keepNext/>
        <w:keepLines/>
        <w:numPr>
          <w:ilvl w:val="0"/>
          <w:numId w:val="17"/>
        </w:numPr>
        <w:tabs>
          <w:tab w:val="clear" w:pos="1170"/>
          <w:tab w:val="num" w:pos="-2256"/>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lastRenderedPageBreak/>
        <w:t>Derram</w:t>
      </w:r>
      <w:r w:rsidR="00314A01">
        <w:rPr>
          <w:rFonts w:asciiTheme="majorHAnsi" w:hAnsiTheme="majorHAnsi" w:cstheme="majorHAnsi"/>
          <w:i/>
          <w:sz w:val="22"/>
          <w:szCs w:val="22"/>
          <w:u w:val="single"/>
          <w:lang w:val="pt-BR"/>
        </w:rPr>
        <w:t>am</w:t>
      </w:r>
      <w:r w:rsidRPr="00EE0E12">
        <w:rPr>
          <w:rFonts w:asciiTheme="majorHAnsi" w:hAnsiTheme="majorHAnsi" w:cstheme="majorHAnsi"/>
          <w:i/>
          <w:sz w:val="22"/>
          <w:szCs w:val="22"/>
          <w:u w:val="single"/>
          <w:lang w:val="pt-BR"/>
        </w:rPr>
        <w:t>e</w:t>
      </w:r>
      <w:r w:rsidR="00314A01">
        <w:rPr>
          <w:rFonts w:asciiTheme="majorHAnsi" w:hAnsiTheme="majorHAnsi" w:cstheme="majorHAnsi"/>
          <w:i/>
          <w:sz w:val="22"/>
          <w:szCs w:val="22"/>
          <w:u w:val="single"/>
          <w:lang w:val="pt-BR"/>
        </w:rPr>
        <w:t>nto</w:t>
      </w:r>
      <w:r w:rsidRPr="00EE0E12">
        <w:rPr>
          <w:rFonts w:asciiTheme="majorHAnsi" w:hAnsiTheme="majorHAnsi" w:cstheme="majorHAnsi"/>
          <w:i/>
          <w:sz w:val="22"/>
          <w:szCs w:val="22"/>
          <w:u w:val="single"/>
          <w:lang w:val="pt-BR"/>
        </w:rPr>
        <w:t xml:space="preserve"> de óleo a partir de vazamento ou ruptura de mangueira de transferência de material</w:t>
      </w:r>
    </w:p>
    <w:p w14:paraId="31E4BA9E" w14:textId="77777777" w:rsidR="00B97508" w:rsidRPr="00EE0E12" w:rsidRDefault="00B97508" w:rsidP="00A928B5">
      <w:pPr>
        <w:pStyle w:val="tier1Itext"/>
      </w:pPr>
      <w:r w:rsidRPr="00EE0E12">
        <w:t>O alerta fornecido pelo sistema de monitoramento de vazamentos da mangueira de transferência de material fará com que o coordenador da operação de transferência (Supervisor de Operações Marítimas ou similar) dê a ordem para parar a transferência, informando também ao coordenador de transferência e/ou ao Capitão da embarcação de apoio. Caso seja viável, o óleo residual no interior da mangueira deve ser drenado ao tanque de óleo sujo (</w:t>
      </w:r>
      <w:r w:rsidRPr="00EE0E12">
        <w:rPr>
          <w:i/>
        </w:rPr>
        <w:t>slop</w:t>
      </w:r>
      <w:r w:rsidRPr="00EE0E12">
        <w:t>) da instalação ou da embarcação. O SOPEP é ativado, e caso o vazamento chegue ao mar, o PEI também é ativado.</w:t>
      </w:r>
    </w:p>
    <w:p w14:paraId="2ED80E60" w14:textId="77777777" w:rsidR="00B97508" w:rsidRPr="00EE0E12" w:rsidRDefault="00B97508" w:rsidP="00EA2A77">
      <w:pPr>
        <w:pStyle w:val="bartfogalt3checkbox"/>
        <w:keepNext/>
        <w:keepLines/>
        <w:numPr>
          <w:ilvl w:val="0"/>
          <w:numId w:val="17"/>
        </w:numPr>
        <w:tabs>
          <w:tab w:val="clear" w:pos="1170"/>
          <w:tab w:val="num" w:pos="-1820"/>
        </w:tabs>
        <w:spacing w:before="120" w:after="240" w:line="360" w:lineRule="auto"/>
        <w:ind w:left="357" w:hanging="357"/>
        <w:jc w:val="both"/>
        <w:rPr>
          <w:rFonts w:asciiTheme="majorHAnsi" w:hAnsiTheme="majorHAnsi" w:cstheme="majorHAnsi"/>
          <w:i/>
          <w:sz w:val="22"/>
          <w:szCs w:val="22"/>
          <w:u w:val="single"/>
          <w:lang w:val="pt-BR"/>
        </w:rPr>
      </w:pPr>
      <w:r w:rsidRPr="00EE0E12">
        <w:rPr>
          <w:rFonts w:asciiTheme="majorHAnsi" w:hAnsiTheme="majorHAnsi" w:cstheme="majorHAnsi"/>
          <w:i/>
          <w:sz w:val="22"/>
          <w:szCs w:val="22"/>
          <w:u w:val="single"/>
          <w:lang w:val="pt-BR"/>
        </w:rPr>
        <w:t>Derramamento de óleo dos sistemas de armazenamento (tanques)</w:t>
      </w:r>
    </w:p>
    <w:p w14:paraId="31AC3D96" w14:textId="77777777" w:rsidR="00B97508" w:rsidRPr="00EE0E12" w:rsidRDefault="00B97508" w:rsidP="00A928B5">
      <w:pPr>
        <w:pStyle w:val="tier1Itext"/>
      </w:pPr>
      <w:r w:rsidRPr="00EE0E12">
        <w:t>Existem três tipos diferentes de incidentes considerando um vazamento potencial envolvendo os tanques de armazenamento de óleo da unidade: (i) transbordamento do tanque durante a transferência; (ii) ruptura de tanques sem comprometer a estabilidade da unidade, e (iii) ruptura de tanques comprometendo a estabilidade da unidade.</w:t>
      </w:r>
    </w:p>
    <w:p w14:paraId="37C36C9F" w14:textId="77777777" w:rsidR="00B97508" w:rsidRPr="00EE0E12" w:rsidRDefault="00B97508" w:rsidP="00A928B5">
      <w:pPr>
        <w:pStyle w:val="tier1Itext"/>
      </w:pPr>
      <w:r w:rsidRPr="00EE0E12">
        <w:t xml:space="preserve">No primeiro caso, o pessoal encarregado de monitorar a transferência deve imediatamente ordenar que o operador de bombas pare a operação e o engenheiro chefe desvie o fluxo de entrada para um tanque vazio ou com espaço suficiente para receber este óleo. Caso nenhum tanque tenha espaço suficiente para isto, o fluxo de entrada deve ser desviado para o tanque de </w:t>
      </w:r>
      <w:r w:rsidRPr="00EE0E12">
        <w:rPr>
          <w:i/>
        </w:rPr>
        <w:t>slop</w:t>
      </w:r>
      <w:r w:rsidRPr="00EE0E12">
        <w:t>. O SOPEP é ativado. Todas as ações relacionadas para combater ao derram</w:t>
      </w:r>
      <w:r w:rsidR="008E0D40">
        <w:t>am</w:t>
      </w:r>
      <w:r w:rsidRPr="00EE0E12">
        <w:t>e</w:t>
      </w:r>
      <w:r w:rsidR="008E0D40">
        <w:t>nto</w:t>
      </w:r>
      <w:r w:rsidRPr="00EE0E12">
        <w:t xml:space="preserve"> devem ser mobilizadas, visando evitar que o vazamento chegue ao mar. Caso não seja possível, o PEI é ativado.</w:t>
      </w:r>
    </w:p>
    <w:p w14:paraId="5F2AF464" w14:textId="77777777" w:rsidR="00B97508" w:rsidRPr="00EE0E12" w:rsidRDefault="00B97508" w:rsidP="00A928B5">
      <w:pPr>
        <w:pStyle w:val="tier1Itext"/>
      </w:pPr>
      <w:r w:rsidRPr="00EE0E12">
        <w:t>No segundo caso, o Capitão e o engenheiro de lastro (caso não seja o Capitão) avaliam os danos nos tanques afetados e, caso viável, iniciam a transferência do óleo restante para os outros tanques com espaço livre suficiente disponível, de acordo com as diretrizes de lastro da unidade. O SOPEP é ativado. Todas as ações relacionadas para responder ao vazamento devem ser mobilizadas, visando evitar que chegue ao mar. Caso não seja possível, o PEI é ativado.</w:t>
      </w:r>
    </w:p>
    <w:p w14:paraId="0DEE77FF" w14:textId="77777777" w:rsidR="00B97508" w:rsidRPr="00EE0E12" w:rsidRDefault="00B97508" w:rsidP="00A928B5">
      <w:pPr>
        <w:pStyle w:val="tier1Itext"/>
      </w:pPr>
      <w:r w:rsidRPr="00EE0E12">
        <w:t>No último caso, o Capitão dará ordem de abandonar a instalação de acordo com o Plano de Resposta a Emergências da unidade. Os responsáveis pelo lastreamento da unidade devem tentar garantir que a estabilidade durante a evacuação e que os tanques operacionais restantes sejam fechados de forma a se tentar evitar outros vazamentos. O PEI é ativado.</w:t>
      </w:r>
    </w:p>
    <w:p w14:paraId="107E390C" w14:textId="77777777" w:rsidR="00B97508" w:rsidRPr="00EE0E12" w:rsidRDefault="00B97508" w:rsidP="00EA2A77">
      <w:pPr>
        <w:pStyle w:val="bartfogalt3checkbox"/>
        <w:keepNext/>
        <w:keepLines/>
        <w:numPr>
          <w:ilvl w:val="0"/>
          <w:numId w:val="17"/>
        </w:numPr>
        <w:tabs>
          <w:tab w:val="clear" w:pos="1170"/>
          <w:tab w:val="num" w:pos="-1384"/>
        </w:tabs>
        <w:spacing w:before="120" w:after="240" w:line="360" w:lineRule="auto"/>
        <w:ind w:left="357" w:hanging="357"/>
        <w:jc w:val="both"/>
        <w:rPr>
          <w:rFonts w:asciiTheme="majorHAnsi" w:hAnsiTheme="majorHAnsi" w:cstheme="majorHAnsi"/>
          <w:sz w:val="22"/>
          <w:szCs w:val="22"/>
          <w:lang w:val="pt-BR"/>
        </w:rPr>
      </w:pPr>
      <w:r w:rsidRPr="00EE0E12">
        <w:rPr>
          <w:rFonts w:asciiTheme="majorHAnsi" w:hAnsiTheme="majorHAnsi" w:cstheme="majorHAnsi"/>
          <w:i/>
          <w:sz w:val="22"/>
          <w:szCs w:val="22"/>
          <w:u w:val="single"/>
          <w:lang w:val="pt-BR"/>
        </w:rPr>
        <w:lastRenderedPageBreak/>
        <w:t>Vazamento de óleo do sistema secundário de contenção</w:t>
      </w:r>
      <w:r w:rsidRPr="00EE0E12">
        <w:rPr>
          <w:rStyle w:val="FootnoteReference"/>
          <w:rFonts w:asciiTheme="majorHAnsi" w:hAnsiTheme="majorHAnsi" w:cstheme="majorHAnsi"/>
          <w:sz w:val="22"/>
          <w:szCs w:val="22"/>
        </w:rPr>
        <w:footnoteReference w:id="27"/>
      </w:r>
      <w:r w:rsidRPr="00EE0E12">
        <w:rPr>
          <w:rFonts w:asciiTheme="majorHAnsi" w:hAnsiTheme="majorHAnsi" w:cstheme="majorHAnsi"/>
          <w:sz w:val="22"/>
          <w:szCs w:val="22"/>
          <w:lang w:val="pt-BR"/>
        </w:rPr>
        <w:t xml:space="preserve"> </w:t>
      </w:r>
    </w:p>
    <w:p w14:paraId="555F38CE" w14:textId="77777777" w:rsidR="00B97508" w:rsidRPr="00EE0E12" w:rsidRDefault="00B97508" w:rsidP="00A928B5">
      <w:pPr>
        <w:pStyle w:val="tier1Itext"/>
      </w:pPr>
      <w:r w:rsidRPr="00EE0E12">
        <w:t>O Supervisor de Operações Marítimas ou pessoa designada será encarregado(a) de identificar a fonte de vazamento e ativar o Time de Resposta Local para proceder com a limpeza/remoção da obstrução da contenção secundária. O SOPEP é ativado.</w:t>
      </w:r>
    </w:p>
    <w:p w14:paraId="4113208F" w14:textId="77777777" w:rsidR="00B97508" w:rsidRPr="00EE0E12" w:rsidRDefault="00B97508" w:rsidP="00A928B5">
      <w:pPr>
        <w:pStyle w:val="tier1Itext"/>
      </w:pPr>
      <w:r w:rsidRPr="00EE0E12">
        <w:t>No caso dos cenários envolvendo uma potencial perda do controle do poço ([i] quando a plataforma de perfuração perde a sua posição levando à desconexão do LMRP</w:t>
      </w:r>
      <w:r w:rsidRPr="00EE0E12">
        <w:rPr>
          <w:rStyle w:val="FootnoteReference"/>
          <w:rFonts w:cstheme="majorHAnsi"/>
          <w:szCs w:val="22"/>
        </w:rPr>
        <w:footnoteReference w:id="28"/>
      </w:r>
      <w:r w:rsidRPr="00EE0E12">
        <w:t xml:space="preserve"> com falha na gaveta cisalhante inferior; ou [ii] o seu total descontrole), as ações de resposta são mais complexas de gerir e deverão ser tomadas conforme os procedimentos estabelecidos de controle de poço e/ou nas orientações a serem passadas pela Unidade de Controle da Fonte da Seção de Operações, </w:t>
      </w:r>
      <w:r w:rsidR="008E0D40">
        <w:t>que será</w:t>
      </w:r>
      <w:r w:rsidRPr="00EE0E12">
        <w:t xml:space="preserve"> constituída.</w:t>
      </w:r>
    </w:p>
    <w:p w14:paraId="15D4F31B" w14:textId="77777777" w:rsidR="00B97508" w:rsidRPr="00EE0E12" w:rsidRDefault="00B97508" w:rsidP="00A928B5">
      <w:pPr>
        <w:pStyle w:val="tier1Itext"/>
      </w:pPr>
      <w:r w:rsidRPr="00EE0E12">
        <w:t>Nestes casos, potencialmente ocorrerá um fluxo descontrolado do poço diretamente para o mar e uma especial intervenção submarina deverá ser considerada, a fim de controlar a fonte do vazamento. Intervenções em três diferentes escalas de tempo devem ser consideradas para alcançar este objetivo:</w:t>
      </w:r>
    </w:p>
    <w:p w14:paraId="257F0E87" w14:textId="77777777" w:rsidR="00B97508" w:rsidRPr="00EE0E12" w:rsidRDefault="00B97508" w:rsidP="00EA2A77">
      <w:pPr>
        <w:pStyle w:val="tier1Itext"/>
        <w:numPr>
          <w:ilvl w:val="0"/>
          <w:numId w:val="29"/>
        </w:numPr>
      </w:pPr>
      <w:r w:rsidRPr="00EE0E12">
        <w:rPr>
          <w:b/>
          <w:i/>
        </w:rPr>
        <w:t>Ativação ROV-BOP</w:t>
      </w:r>
      <w:r w:rsidRPr="00EE0E12">
        <w:rPr>
          <w:rStyle w:val="FootnoteReference"/>
          <w:rFonts w:cstheme="majorHAnsi"/>
          <w:b/>
          <w:i/>
        </w:rPr>
        <w:footnoteReference w:id="29"/>
      </w:r>
      <w:r w:rsidRPr="00EE0E12">
        <w:t xml:space="preserve">: definida como uma intervenção de curta duração (poucos dias), considerando o tempo de mobilização de uma embarcação com ROV, com capacidade para ser lançado na área do poço, e seu deslocamento até o </w:t>
      </w:r>
      <w:r w:rsidR="008E0D40">
        <w:t>bloco</w:t>
      </w:r>
      <w:r w:rsidRPr="00EE0E12">
        <w:t>. Precauções especiais devem ser adotadas no monitoramento da concentração de VOCs, de forma a definir a melhor estratégia de abordagem para a embarcação de ROV, garantindo o cumprimento da tarefa sem riscos para a tripulação da embarcação.</w:t>
      </w:r>
    </w:p>
    <w:p w14:paraId="165D21F8" w14:textId="77777777" w:rsidR="00B97508" w:rsidRPr="00EE0E12" w:rsidRDefault="00B97508" w:rsidP="00A928B5">
      <w:pPr>
        <w:pStyle w:val="tier1Itext"/>
        <w:ind w:left="720"/>
      </w:pPr>
      <w:r w:rsidRPr="00EE0E12">
        <w:t>O ROV tentará ativar a válvula de fechamento do BOP, localizada na cabeça do poço, cessando a fonte do vazamento. Caso não ocorram danos durante a soltura do conector do LMRP da plataforma, esta poderá usar o seu próprio ROV para realização da intervenção;</w:t>
      </w:r>
    </w:p>
    <w:p w14:paraId="0DECE12B" w14:textId="77F3F486" w:rsidR="00B97508" w:rsidRPr="00EE0E12" w:rsidRDefault="00B97508" w:rsidP="00EA2A77">
      <w:pPr>
        <w:pStyle w:val="tier1Itext"/>
        <w:numPr>
          <w:ilvl w:val="0"/>
          <w:numId w:val="29"/>
        </w:numPr>
      </w:pPr>
      <w:r w:rsidRPr="00EE0E12">
        <w:rPr>
          <w:b/>
          <w:i/>
        </w:rPr>
        <w:lastRenderedPageBreak/>
        <w:t>Estratégia de Intervenção e Coleta (CRS)</w:t>
      </w:r>
      <w:r w:rsidRPr="00EE0E12">
        <w:t xml:space="preserve">: É considerada uma intervenção de médio prazo (que pode levar de </w:t>
      </w:r>
      <w:r w:rsidR="004C003C">
        <w:t>25</w:t>
      </w:r>
      <w:r w:rsidRPr="00EE0E12">
        <w:t xml:space="preserve"> a </w:t>
      </w:r>
      <w:r w:rsidR="004C003C">
        <w:t>5</w:t>
      </w:r>
      <w:r w:rsidRPr="00EE0E12">
        <w:t xml:space="preserve">0 dias) para que a solução de controle do vazamento seja obtida. A mesma é baseada no cumprimento do </w:t>
      </w:r>
      <w:r w:rsidRPr="00EE0E12">
        <w:rPr>
          <w:i/>
        </w:rPr>
        <w:t xml:space="preserve">Plano de Ativação do Sistema de </w:t>
      </w:r>
      <w:r w:rsidR="0028055D">
        <w:rPr>
          <w:i/>
        </w:rPr>
        <w:t>Intervenção</w:t>
      </w:r>
      <w:r w:rsidR="0028055D" w:rsidRPr="00EE0E12">
        <w:rPr>
          <w:i/>
        </w:rPr>
        <w:t xml:space="preserve"> </w:t>
      </w:r>
      <w:r w:rsidRPr="00EE0E12">
        <w:rPr>
          <w:i/>
        </w:rPr>
        <w:t>e Coleta da BP Energy do Brasil</w:t>
      </w:r>
      <w:r w:rsidRPr="00EE0E12">
        <w:t xml:space="preserve">, que considera a mobilização dos componentes de intervenção da OSRL em Angra dos Reis ou </w:t>
      </w:r>
      <w:r w:rsidR="004C003C">
        <w:t>de outros provedores em diversos locais do mundo</w:t>
      </w:r>
      <w:r w:rsidRPr="00EE0E12">
        <w:t xml:space="preserve"> para a região Norte do Brasil, os arranjos locais para montagem dos equipamentos, o transporte até o </w:t>
      </w:r>
      <w:r w:rsidR="008E0D40">
        <w:t>bloco</w:t>
      </w:r>
      <w:r w:rsidR="008E0D40" w:rsidRPr="00EE0E12">
        <w:t xml:space="preserve"> </w:t>
      </w:r>
      <w:r w:rsidRPr="00EE0E12">
        <w:t>e a mobilização, juntamente com todos os aspectos de segurança da operação (medição e monitoração de VOCs, requerimentos especiais de içamento, entre outros) e a intervenção em estruturas submarinas para receber os dispositivos de contenção (ferramenta de corte de detritos e a atividade de limpeza da área</w:t>
      </w:r>
      <w:r w:rsidR="008E0D40">
        <w:t xml:space="preserve"> em torno da cabeça do poço</w:t>
      </w:r>
      <w:r w:rsidRPr="00EE0E12">
        <w:t>).</w:t>
      </w:r>
    </w:p>
    <w:p w14:paraId="5386D954" w14:textId="77777777" w:rsidR="00B97508" w:rsidRPr="00EE0E12" w:rsidRDefault="00B97508" w:rsidP="00A928B5">
      <w:pPr>
        <w:pStyle w:val="tier1Itext"/>
        <w:ind w:left="720"/>
      </w:pPr>
      <w:r w:rsidRPr="00EE0E12">
        <w:t xml:space="preserve">Conforme apresentado antes, a aplicação submarina do dispersante é uma técnica requerida para controle dos principais perigos relacionados com a presença da atmosfera tóxica e inflamável de VOC na área sobrejacente onde o óleo aflora na superfície. Considerando que o período de operação para mobilização da estratégia é significativamente maior que o de intervenção do ROV-BOP e que há a necessidade de posicionar-se verticalmente sobre a fonte do vazamento, o simples monitoramento da concentração dos VOCs não é considerado uma barreira de segurança suficiente para alcançar o cumprimento </w:t>
      </w:r>
      <w:r w:rsidR="008E0D40">
        <w:t>deste tipo de</w:t>
      </w:r>
      <w:r w:rsidR="008E0D40" w:rsidRPr="00EE0E12">
        <w:t xml:space="preserve"> </w:t>
      </w:r>
      <w:r w:rsidRPr="00EE0E12">
        <w:t>intervenção.</w:t>
      </w:r>
    </w:p>
    <w:p w14:paraId="774C59E2" w14:textId="77777777" w:rsidR="00B97508" w:rsidRPr="00EE0E12" w:rsidRDefault="00B97508" w:rsidP="00A928B5">
      <w:pPr>
        <w:pStyle w:val="tier1Itext"/>
        <w:ind w:left="720"/>
      </w:pPr>
      <w:r w:rsidRPr="00EE0E12">
        <w:t>Esta estratégia de resposta também considera o uso de uma embarcação de instalação especial, com significativas capacidades de içamento e de DP</w:t>
      </w:r>
      <w:r w:rsidRPr="00EE0E12">
        <w:rPr>
          <w:rStyle w:val="FootnoteReference"/>
          <w:rFonts w:cstheme="majorHAnsi"/>
        </w:rPr>
        <w:footnoteReference w:id="30"/>
      </w:r>
      <w:r w:rsidRPr="00EE0E12">
        <w:t>, especialmente desenvolvida para operar as pesadas estruturas que serão mobilizadas na posição vertical ao longo de toda a profundidade local; e MSV (embarcação de apoio de funções múltiplas) com ROV, para apoio nas atividades de remoção de detritos; e</w:t>
      </w:r>
    </w:p>
    <w:p w14:paraId="4721224C" w14:textId="34834BBB" w:rsidR="00B97508" w:rsidRPr="00EE0E12" w:rsidRDefault="00B97508" w:rsidP="00EA2A77">
      <w:pPr>
        <w:pStyle w:val="tier1Itext"/>
        <w:numPr>
          <w:ilvl w:val="0"/>
          <w:numId w:val="29"/>
        </w:numPr>
      </w:pPr>
      <w:r w:rsidRPr="00EE0E12">
        <w:rPr>
          <w:b/>
        </w:rPr>
        <w:t>A perfuração de um poço de alívio</w:t>
      </w:r>
      <w:r w:rsidRPr="00EE0E12">
        <w:t xml:space="preserve">: Considerada como uma solução de longo termo (em função das restrições de infra-estrutura local no Brasil, onde não é comum que existam plataformas ou unidades de perfuração em desuso com vagas disponíveis de acordo com a demanda do setor), o que define um período de </w:t>
      </w:r>
      <w:r w:rsidR="004C003C">
        <w:t>6</w:t>
      </w:r>
      <w:r w:rsidRPr="00EE0E12">
        <w:t>0 a 150 dias entre a contratação da unidade e a finalização da perfuração do poço de alívio.</w:t>
      </w:r>
    </w:p>
    <w:p w14:paraId="5D2D865D" w14:textId="77777777" w:rsidR="00B97508" w:rsidRPr="00EE0E12" w:rsidRDefault="00B97508" w:rsidP="00A928B5">
      <w:pPr>
        <w:pStyle w:val="tier1Itext"/>
        <w:ind w:left="720"/>
      </w:pPr>
      <w:r w:rsidRPr="00EE0E12">
        <w:lastRenderedPageBreak/>
        <w:t>Esta tática exige que a BP Energy tenha acordos de apoio mútuo especiais com outras OCs</w:t>
      </w:r>
      <w:r w:rsidRPr="00EE0E12">
        <w:rPr>
          <w:rStyle w:val="FootnoteReference"/>
          <w:rFonts w:cstheme="majorHAnsi"/>
        </w:rPr>
        <w:footnoteReference w:id="31"/>
      </w:r>
      <w:r w:rsidRPr="00EE0E12">
        <w:t xml:space="preserve"> no Brasil, garantindo o apoio destas empresas, caso seja necessário, na liberação de plataformas e/ou embarcações de perfuração adequadas sob suas operações para a BP Energy (e vice-versa) no caso de um vazamento de magnitude tal que considere a adoção desta tática. Normalmente o período requerido para a desmobilização destas unidades de perfuração combina com aqueles para a realização das alternativas de controle de curto e médio prazo, mantendo o alinhamento desta ação de longo termo com todas as outras opções de intervenções de prazos diferentes.</w:t>
      </w:r>
    </w:p>
    <w:p w14:paraId="368885F0" w14:textId="77777777" w:rsidR="00B52C01" w:rsidRPr="00BE4CB1" w:rsidRDefault="00B52C01" w:rsidP="009D01BE">
      <w:pPr>
        <w:pStyle w:val="Heading2"/>
        <w:rPr>
          <w:lang w:val="pt-BR"/>
        </w:rPr>
      </w:pPr>
      <w:bookmarkStart w:id="160" w:name="_Ref414544194"/>
      <w:bookmarkStart w:id="161" w:name="_Toc523833896"/>
      <w:r w:rsidRPr="00BE4CB1">
        <w:rPr>
          <w:lang w:val="pt-BR"/>
        </w:rPr>
        <w:t>Procedimentos para Avaliação e Monitoramento da Mancha de Óleo</w:t>
      </w:r>
      <w:bookmarkEnd w:id="160"/>
      <w:bookmarkEnd w:id="161"/>
    </w:p>
    <w:p w14:paraId="2E870E19" w14:textId="77777777" w:rsidR="00B97508" w:rsidRPr="00EE0E12" w:rsidRDefault="00B97508" w:rsidP="000807DF">
      <w:pPr>
        <w:pStyle w:val="tier1Itext"/>
      </w:pPr>
      <w:r w:rsidRPr="00EE0E12">
        <w:t>Conforme descrito anteriormente, a definição dos procedimentos operacionais de resposta depende, dentre outros aspectos, do tipo e volume de óleo derramado, podendo essas informações serem obtidas através de medições diretas dos sistemas de controle da unidade de perfuração ou através de métodos de estimativa da aparência e volume de óleo, sendo fundamental nesse último caso o estabelecimento de procedimentos e critérios padrões, garantindo a consistência das informações e possibilidade de avaliação comparativa da evolução do incidente ao longo do tempo.</w:t>
      </w:r>
    </w:p>
    <w:p w14:paraId="0E349A9E" w14:textId="77777777" w:rsidR="00B97508" w:rsidRPr="00EE0E12" w:rsidRDefault="00B97508" w:rsidP="000807DF">
      <w:pPr>
        <w:pStyle w:val="tier1Itext"/>
      </w:pPr>
      <w:r w:rsidRPr="00EE0E12">
        <w:t>A observação e monitoramento são elementos importantes para uma resposta efetiva aos vazamentos de óleo em ambiente marítimo. São técnicas essenciais para se avaliar a quantidade, natureza, direcionamento e comportamento do óleo derramado, assim como para definir a sua localização, dimensão e potencial espalhamento espacial, considerando a identificação das áreas geográficas impactadas e aquelas que ainda podem ser impactadas.</w:t>
      </w:r>
    </w:p>
    <w:p w14:paraId="131C6875" w14:textId="77777777" w:rsidR="00B97508" w:rsidRPr="00EE0E12" w:rsidRDefault="00B97508" w:rsidP="000807DF">
      <w:pPr>
        <w:pStyle w:val="tier1Itext"/>
      </w:pPr>
      <w:r w:rsidRPr="00EE0E12">
        <w:t xml:space="preserve">Um sistema de vigilância e monitoramento efetivo, como o da BP Energy (que integra os procedimentos de uma base de dados georeferenciada espacialmente e </w:t>
      </w:r>
      <w:r w:rsidRPr="00EE0E12">
        <w:rPr>
          <w:i/>
        </w:rPr>
        <w:t>online</w:t>
      </w:r>
      <w:r w:rsidRPr="00EE0E12">
        <w:t>), deve ter métodos implementados que permitam conferir e repassar informação rapidamente das operações de observação para o comando de gerenciamento de incidentes, de modo consistente e que permita:</w:t>
      </w:r>
    </w:p>
    <w:p w14:paraId="43E007C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after="0" w:line="360" w:lineRule="auto"/>
        <w:ind w:left="714" w:hanging="357"/>
        <w:rPr>
          <w:rFonts w:asciiTheme="majorHAnsi" w:hAnsiTheme="majorHAnsi"/>
        </w:rPr>
      </w:pPr>
      <w:r w:rsidRPr="00EE0E12">
        <w:rPr>
          <w:rFonts w:asciiTheme="majorHAnsi" w:hAnsiTheme="majorHAnsi"/>
        </w:rPr>
        <w:t>A identificação e priorização de sensibilidades ambientais e sócio-econômicas para proteção e/ou resposta;</w:t>
      </w:r>
    </w:p>
    <w:p w14:paraId="04981F44"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0" w:line="360" w:lineRule="auto"/>
        <w:ind w:left="714" w:hanging="357"/>
        <w:rPr>
          <w:rFonts w:asciiTheme="majorHAnsi" w:hAnsiTheme="majorHAnsi"/>
        </w:rPr>
      </w:pPr>
      <w:r w:rsidRPr="00EE0E12">
        <w:rPr>
          <w:rFonts w:asciiTheme="majorHAnsi" w:hAnsiTheme="majorHAnsi"/>
        </w:rPr>
        <w:lastRenderedPageBreak/>
        <w:t>A avaliação das técnicas adequadas de resposta a serem selecionadas, alinhadas com a escala atual e prevista do incidente, considerando o planejamento e a gestão de operações simultâneas (</w:t>
      </w:r>
      <w:r w:rsidRPr="00EE0E12">
        <w:rPr>
          <w:rFonts w:asciiTheme="majorHAnsi" w:hAnsiTheme="majorHAnsi"/>
          <w:i/>
        </w:rPr>
        <w:t>Simultaneous Operations</w:t>
      </w:r>
      <w:r w:rsidRPr="00EE0E12">
        <w:rPr>
          <w:rFonts w:asciiTheme="majorHAnsi" w:hAnsiTheme="majorHAnsi"/>
        </w:rPr>
        <w:t xml:space="preserve"> - SIMOPS);</w:t>
      </w:r>
    </w:p>
    <w:p w14:paraId="5AF4145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0" w:line="360" w:lineRule="auto"/>
        <w:ind w:left="714" w:hanging="357"/>
        <w:rPr>
          <w:rFonts w:asciiTheme="majorHAnsi" w:hAnsiTheme="majorHAnsi"/>
        </w:rPr>
      </w:pPr>
      <w:r w:rsidRPr="00EE0E12">
        <w:rPr>
          <w:rFonts w:asciiTheme="majorHAnsi" w:hAnsiTheme="majorHAnsi"/>
        </w:rPr>
        <w:t>A orientação das capacidades de resposta e recursos para áreas afetadas com grandes quantidades de óleo e de priorização dos esforços de resposta, de acordo com o mapa de vulnerabilidade e os planos táticos locais de resposta; e</w:t>
      </w:r>
    </w:p>
    <w:p w14:paraId="60BE61D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4536"/>
        </w:tabs>
        <w:spacing w:before="0" w:after="240" w:line="360" w:lineRule="auto"/>
        <w:ind w:left="714" w:hanging="357"/>
        <w:rPr>
          <w:rFonts w:asciiTheme="majorHAnsi" w:hAnsiTheme="majorHAnsi"/>
        </w:rPr>
      </w:pPr>
      <w:r w:rsidRPr="00EE0E12">
        <w:rPr>
          <w:rFonts w:asciiTheme="majorHAnsi" w:hAnsiTheme="majorHAnsi"/>
        </w:rPr>
        <w:t>A avaliação do alcance dos objetivos do gerenciamento da resposta pelas estratégias utilizadas, por meio de determinação das capacidades efetiv</w:t>
      </w:r>
      <w:r w:rsidR="000807DF">
        <w:rPr>
          <w:rFonts w:asciiTheme="majorHAnsi" w:hAnsiTheme="majorHAnsi"/>
        </w:rPr>
        <w:t>as destas técnicas mobilizadas.</w:t>
      </w:r>
    </w:p>
    <w:p w14:paraId="02BC7370" w14:textId="77777777" w:rsidR="00B97508" w:rsidRPr="00EE0E12" w:rsidRDefault="00B97508" w:rsidP="000807DF">
      <w:pPr>
        <w:pStyle w:val="tier1Itext"/>
      </w:pPr>
      <w:r w:rsidRPr="00EE0E12">
        <w:t xml:space="preserve">Durante a elaboração deste Plano, a BP Energy avaliou e incluiu todas as plataformas de monitoramento (aeronaves, embarcações, instalações, rondas e veículos, entre outros) necessários para apoio das estratégias de resposta consideradas, visando manter uma capacidade escalonada para as áreas </w:t>
      </w:r>
      <w:r w:rsidRPr="00EE0E12">
        <w:rPr>
          <w:i/>
        </w:rPr>
        <w:t>offshore</w:t>
      </w:r>
      <w:r w:rsidRPr="00EE0E12">
        <w:t>, costeira e, quando necessário, em terra. Também foi planejada a disponibilização de especialistas de monitoramento e sensoriamento remoto (imagens de satélite, sistemas automatizados de detecção de derram</w:t>
      </w:r>
      <w:r w:rsidR="008E0D40">
        <w:t>am</w:t>
      </w:r>
      <w:r w:rsidRPr="00EE0E12">
        <w:t>e</w:t>
      </w:r>
      <w:r w:rsidR="008E0D40">
        <w:t>nto</w:t>
      </w:r>
      <w:r w:rsidRPr="00EE0E12">
        <w:t xml:space="preserve"> de óleo) para suplementar os métodos de vigilância, caso seja necessária.</w:t>
      </w:r>
    </w:p>
    <w:p w14:paraId="12A54C9B" w14:textId="77777777" w:rsidR="00B97508" w:rsidRPr="00EE0E12" w:rsidRDefault="00B97508" w:rsidP="000807DF">
      <w:pPr>
        <w:pStyle w:val="tier1Itext"/>
      </w:pPr>
      <w:r w:rsidRPr="00EE0E12">
        <w:t>Conforme apresentado neste Plano, sempre que um vazamento alcançar o mar, o PEI é ativado e a primeira medida tomada é a solicitação para avaliação e monitoramento do movimento e da dispersão da mancha à embarcação dedicada de resposta. Na maioria dos pequenos vazamentos, esta será a única medida a ser realizada</w:t>
      </w:r>
      <w:r w:rsidR="008E0D40">
        <w:t xml:space="preserve"> (</w:t>
      </w:r>
      <w:r w:rsidRPr="00EE0E12">
        <w:t>às vezes seguida da técnica de dispersão mecânica</w:t>
      </w:r>
      <w:r w:rsidR="008E0D40">
        <w:t>)</w:t>
      </w:r>
      <w:r w:rsidRPr="00EE0E12">
        <w:t xml:space="preserve">. Para outras magnitudes de vazamentos, esta será a informação inicial básica para planejamento da aplicação das outras técnicas de resposta. </w:t>
      </w:r>
    </w:p>
    <w:p w14:paraId="6A78A3A2" w14:textId="77777777" w:rsidR="00B97508" w:rsidRPr="00EE0E12" w:rsidRDefault="00B97508" w:rsidP="000807DF">
      <w:pPr>
        <w:pStyle w:val="tier1Itext"/>
      </w:pPr>
      <w:r w:rsidRPr="00EE0E12">
        <w:t>É importante ter em consideração que a análise cruzada das informações das diferentes técnicas de vigilância é um recurso de extrema importância para o entendimento do vazamento e de sua evolução, já que cada técnica possui uma capacidade específica e a possibilidade de reduzir a incerteza na aplicação ou interpretação de outras.</w:t>
      </w:r>
    </w:p>
    <w:p w14:paraId="312A8014" w14:textId="77777777" w:rsidR="00B97508" w:rsidRPr="000807DF"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0807DF">
        <w:rPr>
          <w:rFonts w:asciiTheme="majorHAnsi" w:hAnsiTheme="majorHAnsi"/>
        </w:rPr>
        <w:lastRenderedPageBreak/>
        <w:t>Quantificação Indireta de Vazamentos por Observação Visual</w:t>
      </w:r>
    </w:p>
    <w:p w14:paraId="46804D44" w14:textId="77777777" w:rsidR="00B97508" w:rsidRPr="00EE0E12" w:rsidRDefault="00B97508" w:rsidP="00D7368A">
      <w:pPr>
        <w:pStyle w:val="tier1Itext"/>
      </w:pPr>
      <w:r w:rsidRPr="00EE0E12">
        <w:t>Para observações visuais, a BP adota o guia “</w:t>
      </w:r>
      <w:r w:rsidRPr="00C45C9A">
        <w:rPr>
          <w:b/>
          <w:i/>
        </w:rPr>
        <w:t>Open Water Oil Identification Job Aid for Aerial Observation</w:t>
      </w:r>
      <w:r w:rsidRPr="00EE0E12">
        <w:t>”, elaborado pelo Departamento de Operações Portuárias do Gabinete de Segurança da Guarda Costeira da Marinha de Puget Sound, da Divisão de Avaliação e Resposta a Materiais Perigosos da NOAA/ORCA em Seattle (Washington State, USA) para treinar e padronizar os observadores. Este guia fornece vários exemplos de óleo derramado na superfície do mar, que ajudam na avaliação das características e extensão do vazamento. A cor, distribuição e consistência da mancha dá a indicação do tipo de óleo derramado, o tempo que o mesmo ficou na água e sobre a capacidad</w:t>
      </w:r>
      <w:r w:rsidR="00D7368A">
        <w:t>e de contê-lo e/ou recuperá-lo.</w:t>
      </w:r>
    </w:p>
    <w:p w14:paraId="432106EA" w14:textId="77777777" w:rsidR="00B97508" w:rsidRPr="00EE0E12" w:rsidRDefault="00B97508" w:rsidP="00D7368A">
      <w:pPr>
        <w:pStyle w:val="tier1Itext"/>
      </w:pPr>
      <w:r w:rsidRPr="00EE0E12">
        <w:t xml:space="preserve">Além disso, o PEI da BP Energy adota o </w:t>
      </w:r>
      <w:r w:rsidRPr="00EE0E12">
        <w:rPr>
          <w:b/>
          <w:i/>
        </w:rPr>
        <w:t>Bonn Agreement</w:t>
      </w:r>
      <w:r w:rsidRPr="00EE0E12">
        <w:rPr>
          <w:rStyle w:val="FootnoteReference"/>
          <w:rFonts w:cstheme="majorHAnsi"/>
        </w:rPr>
        <w:footnoteReference w:id="32"/>
      </w:r>
      <w:r w:rsidRPr="00EE0E12">
        <w:rPr>
          <w:b/>
          <w:i/>
        </w:rPr>
        <w:t xml:space="preserve"> Oil Appearance Code (BAOAC)</w:t>
      </w:r>
      <w:r w:rsidRPr="00EE0E12">
        <w:t>. Uma vez que a cor do próprio óleo, bem como os efeitos óticos, são influenciados pelas condições meteorológicas, altura, ângulo de observação e cor da água do mar, um aspecto não pode ser caracterizado simplesmente em termos de cor aparente. Por conseguinte, um código de "aparência", usando termos independentes de nomes de cores específicas, foi desenvolvido de acordo com embasamento científico (literatura e trabalhos anteriores publicados), cuja teoria se apoia em experimentos de pequena escala laboratoriais, de mesoescala reais no ambiente e ta</w:t>
      </w:r>
      <w:r w:rsidR="00D7368A">
        <w:t>mbém testes controlados no mar.</w:t>
      </w:r>
    </w:p>
    <w:p w14:paraId="65131759" w14:textId="77777777" w:rsidR="00B97508" w:rsidRPr="00EE0E12" w:rsidRDefault="00B97508" w:rsidP="00D7368A">
      <w:pPr>
        <w:pStyle w:val="tier1Itext"/>
      </w:pPr>
      <w:r w:rsidRPr="00EE0E12">
        <w:t>O mesmo procedimento é utilizado para a vigilância a partir de aeronaves e embarcações, apresentando melhores resultados para a aérea, em função da melhor visão geral da área total da mancha, embora mantendo os resultados muito consistentes, se as principais orientações forem seguidas. Este procedimento também é válido para observações de manchas no mar a partir da plataforma/navio de perfuração, normalmente com as restrições relacionadas com a posição fixa do observador quando a mancha começa a se afast</w:t>
      </w:r>
      <w:r w:rsidR="00D7368A">
        <w:t>ar da vizinhança da instalação.</w:t>
      </w:r>
    </w:p>
    <w:p w14:paraId="65DFC4F4" w14:textId="25E6EC37" w:rsidR="00B97508" w:rsidRPr="00D7368A" w:rsidRDefault="00B97508" w:rsidP="00D7368A">
      <w:pPr>
        <w:spacing w:before="0" w:line="240" w:lineRule="auto"/>
        <w:jc w:val="center"/>
        <w:rPr>
          <w:rStyle w:val="tier1ItextChar"/>
          <w:rFonts w:eastAsiaTheme="minorEastAsia"/>
        </w:rPr>
      </w:pPr>
    </w:p>
    <w:p w14:paraId="437AA993" w14:textId="2700AE95" w:rsidR="00B97508" w:rsidRPr="00D7368A" w:rsidRDefault="00B97508" w:rsidP="00B86422">
      <w:pPr>
        <w:spacing w:before="360" w:line="240" w:lineRule="auto"/>
        <w:jc w:val="center"/>
        <w:rPr>
          <w:rStyle w:val="tier1ItextChar"/>
          <w:rFonts w:eastAsiaTheme="minorEastAsia"/>
        </w:rPr>
      </w:pPr>
    </w:p>
    <w:p w14:paraId="425BAB4E" w14:textId="77777777" w:rsidR="00B97508" w:rsidRPr="00EE0E12" w:rsidRDefault="00B97508" w:rsidP="00D7368A">
      <w:pPr>
        <w:pStyle w:val="tier1Itext"/>
        <w:spacing w:before="360"/>
      </w:pPr>
      <w:r w:rsidRPr="00EE0E12">
        <w:lastRenderedPageBreak/>
        <w:t>A observação pode ser influenciada por vários fatores, como a cobertura de nuvens, a altura do sol, o clima, a rugosidade do mar, o ângulo de visão, a altura e velocidade da plataforma de observação, além de outras características locais. O observador deve estar ciente desses fatores e tentar fazer o maior número possível de ajustes. As aparências dos óleos tendem a seguir um padrão. Os óleos mais finos (brilho, arco íris e metálico) estarão normalmente nas bordas dos óleos mais grossos (cor verdadeira contínua e descontínua). Seria incomum observar óleo espesso sem os óleos mais finos associados; no entanto, isto pode ocorrer se o óleo envelheceu e/ou se desgastou.</w:t>
      </w:r>
    </w:p>
    <w:p w14:paraId="51C7958B" w14:textId="77777777" w:rsidR="00B97508" w:rsidRPr="00EE0E12" w:rsidRDefault="00B97508" w:rsidP="00D7368A">
      <w:pPr>
        <w:pStyle w:val="tier1Itext"/>
      </w:pPr>
      <w:r w:rsidRPr="00EE0E12">
        <w:t>Recomenda-se que o vazamento seja visto de todos os lados, voando ou navegando em um padrão estabelecido em torno da mancha de óleo. A melhor posição para se observar o óleo é considerada quando o sol se localiza atrás do observador e ele/ela olhando para a mancha a um ângulo de 40º a 45º com a perpendicular. As observações devem ser preferencialmente feitas das dez (10) às catorze (14) horas, o período diário em que o sol apresenta o melhor ângulo de incidência dos seus raios no mar para esta finalidade (a incidência mais vertical desejada).</w:t>
      </w:r>
    </w:p>
    <w:p w14:paraId="70C0D6E6" w14:textId="77777777" w:rsidR="00B97508" w:rsidRPr="00EE0E12" w:rsidRDefault="00B97508" w:rsidP="00D7368A">
      <w:pPr>
        <w:pStyle w:val="tier1Itext"/>
      </w:pPr>
      <w:r w:rsidRPr="00EE0E12">
        <w:t>Durante a atividade, o observador deve estimar as regiões que têm uma determinada aparência de óleo dentro da área geral da mancha. A observação visual do vazamento fornece informação essencial sobre o tamanho, a aparência e a cobertura da mancha que são utilizados para calcular a estim</w:t>
      </w:r>
      <w:r w:rsidR="00D7368A">
        <w:t>ativa do volume de óleo no mar.</w:t>
      </w:r>
    </w:p>
    <w:p w14:paraId="31013ADA" w14:textId="77777777" w:rsidR="00B97508" w:rsidRPr="00EE0E12" w:rsidRDefault="00B97508" w:rsidP="00D7368A">
      <w:pPr>
        <w:pStyle w:val="tier1Itext"/>
      </w:pPr>
      <w:r w:rsidRPr="00EE0E12">
        <w:t>As estimativas de área global da mancha, baseada em observações visuais tendem a ser menos precisas do que as com base em medições feitas a partir de imagens de sensoriamento remoto, mas, com certeza, observações visuais alinharão melhor a aparência de distribuição do óleo neste tipo de imagem, ajudando a calibração da r</w:t>
      </w:r>
      <w:r w:rsidR="00D7368A">
        <w:t>otina de cálculo de quantidade.</w:t>
      </w:r>
    </w:p>
    <w:p w14:paraId="64ECFCA1" w14:textId="77777777" w:rsidR="00B97508" w:rsidRPr="00EE0E12" w:rsidRDefault="00B97508" w:rsidP="00D7368A">
      <w:pPr>
        <w:pStyle w:val="tier1Itext"/>
      </w:pPr>
      <w:r w:rsidRPr="00EE0E12">
        <w:t xml:space="preserve">Manchas de óleo </w:t>
      </w:r>
      <w:r w:rsidR="0056605F" w:rsidRPr="00EE0E12">
        <w:t>frequentemente</w:t>
      </w:r>
      <w:r w:rsidRPr="00EE0E12">
        <w:t xml:space="preserve"> contêm "buracos" de água clara dentro do corpo principal delas, especialmente perto de suas margens. A proporção da área total que é coberta por óleo, de qualquer espessura, também deve ser estimada. Para manchas compactas, esta proporção pode ser elevada (cerca de 90% ou mais), mas para manchas de óleo mais difusas uma proporção muito menor da área total estará coberta em óleo. Para orientar a abordagem visual na definição desta percentagem de "cobertura", uma imagem do guia ITOPF é mostrada na </w:t>
      </w:r>
      <w:r w:rsidRPr="00EE0E12">
        <w:rPr>
          <w:b/>
        </w:rPr>
        <w:fldChar w:fldCharType="begin"/>
      </w:r>
      <w:r w:rsidRPr="00EE0E12">
        <w:rPr>
          <w:b/>
        </w:rPr>
        <w:instrText xml:space="preserve"> REF _Ref412807638 \h  \* MERGEFORMAT </w:instrText>
      </w:r>
      <w:r w:rsidRPr="00EE0E12">
        <w:rPr>
          <w:b/>
        </w:rPr>
      </w:r>
      <w:r w:rsidRPr="00EE0E12">
        <w:rPr>
          <w:b/>
        </w:rPr>
        <w:fldChar w:fldCharType="separate"/>
      </w:r>
      <w:r w:rsidR="003455A8" w:rsidRPr="003455A8">
        <w:rPr>
          <w:b/>
        </w:rPr>
        <w:t xml:space="preserve">Figura </w:t>
      </w:r>
      <w:r w:rsidR="003455A8" w:rsidRPr="003455A8">
        <w:rPr>
          <w:b/>
          <w:noProof/>
        </w:rPr>
        <w:t>12</w:t>
      </w:r>
      <w:r w:rsidRPr="00EE0E12">
        <w:rPr>
          <w:b/>
        </w:rPr>
        <w:fldChar w:fldCharType="end"/>
      </w:r>
      <w:r w:rsidRPr="00EE0E12">
        <w:t>, a s</w:t>
      </w:r>
      <w:r w:rsidR="00D7368A">
        <w:t>eguir.</w:t>
      </w:r>
    </w:p>
    <w:p w14:paraId="72A49011" w14:textId="77777777" w:rsidR="00B97508" w:rsidRPr="00D13A53" w:rsidRDefault="00B97508" w:rsidP="00D13A53">
      <w:pPr>
        <w:pStyle w:val="Default"/>
        <w:keepNext/>
        <w:keepLines/>
        <w:jc w:val="center"/>
        <w:rPr>
          <w:rStyle w:val="tier1ItextChar"/>
          <w:rFonts w:eastAsiaTheme="minorEastAsia"/>
          <w:sz w:val="22"/>
          <w:szCs w:val="22"/>
        </w:rPr>
      </w:pPr>
      <w:r w:rsidRPr="00EE0E12">
        <w:rPr>
          <w:rFonts w:asciiTheme="majorHAnsi" w:hAnsiTheme="majorHAnsi" w:cstheme="majorHAnsi"/>
          <w:noProof/>
          <w:sz w:val="22"/>
          <w:szCs w:val="22"/>
          <w:lang w:val="en-US" w:eastAsia="en-US"/>
        </w:rPr>
        <w:lastRenderedPageBreak/>
        <w:drawing>
          <wp:inline distT="0" distB="0" distL="0" distR="0" wp14:anchorId="11C174B9" wp14:editId="45A79780">
            <wp:extent cx="2514600" cy="1764157"/>
            <wp:effectExtent l="19050" t="19050" r="19050" b="26670"/>
            <wp:docPr id="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15432" cy="1764741"/>
                    </a:xfrm>
                    <a:prstGeom prst="rect">
                      <a:avLst/>
                    </a:prstGeom>
                    <a:noFill/>
                    <a:ln w="12700" cmpd="sng">
                      <a:solidFill>
                        <a:srgbClr val="008000"/>
                      </a:solidFill>
                      <a:miter lim="800000"/>
                      <a:headEnd/>
                      <a:tailEnd/>
                    </a:ln>
                    <a:effectLst/>
                  </pic:spPr>
                </pic:pic>
              </a:graphicData>
            </a:graphic>
          </wp:inline>
        </w:drawing>
      </w:r>
    </w:p>
    <w:p w14:paraId="2E37C560" w14:textId="77777777" w:rsidR="00B97508" w:rsidRPr="00EE0E12" w:rsidRDefault="00B97508" w:rsidP="00CA77D2">
      <w:pPr>
        <w:pStyle w:val="Caption"/>
        <w:keepLines/>
        <w:tabs>
          <w:tab w:val="left" w:pos="7088"/>
        </w:tabs>
        <w:spacing w:before="0" w:after="0" w:line="240" w:lineRule="auto"/>
        <w:ind w:left="1985" w:right="1982"/>
      </w:pPr>
      <w:bookmarkStart w:id="162" w:name="_Ref412807638"/>
      <w:bookmarkStart w:id="163" w:name="_Toc412812284"/>
      <w:bookmarkStart w:id="164" w:name="_Toc523833977"/>
      <w:r w:rsidRPr="00EE0E12">
        <w:t xml:space="preserve">Figura </w:t>
      </w:r>
      <w:fldSimple w:instr=" SEQ Figura \* ARABIC ">
        <w:r w:rsidR="003455A8">
          <w:rPr>
            <w:noProof/>
          </w:rPr>
          <w:t>12</w:t>
        </w:r>
      </w:fldSimple>
      <w:bookmarkEnd w:id="162"/>
      <w:r w:rsidRPr="00EE0E12">
        <w:t>: Guia da ITOPF</w:t>
      </w:r>
      <w:r w:rsidRPr="00EE0E12">
        <w:rPr>
          <w:rStyle w:val="FootnoteReference"/>
          <w:rFonts w:cstheme="majorHAnsi"/>
        </w:rPr>
        <w:footnoteReference w:id="33"/>
      </w:r>
      <w:r w:rsidRPr="00EE0E12">
        <w:t xml:space="preserve"> para estimar a porcentagem de cobertura de uma </w:t>
      </w:r>
      <w:r w:rsidRPr="00746CD9">
        <w:t>área</w:t>
      </w:r>
      <w:r w:rsidR="008D6541" w:rsidRPr="00746CD9">
        <w:t xml:space="preserve"> (Fonte: ITOPF, </w:t>
      </w:r>
      <w:r w:rsidR="00746CD9" w:rsidRPr="00746CD9">
        <w:t>2009</w:t>
      </w:r>
      <w:r w:rsidR="00605F99" w:rsidRPr="00746CD9">
        <w:t>)</w:t>
      </w:r>
      <w:r w:rsidRPr="00746CD9">
        <w:t>.</w:t>
      </w:r>
      <w:bookmarkEnd w:id="163"/>
      <w:bookmarkEnd w:id="164"/>
    </w:p>
    <w:p w14:paraId="2C9BCE9D" w14:textId="77777777" w:rsidR="00B97508" w:rsidRPr="00EE0E12" w:rsidRDefault="00B97508" w:rsidP="00D13A53">
      <w:pPr>
        <w:pStyle w:val="tier1Itext"/>
        <w:spacing w:before="360"/>
      </w:pPr>
      <w:r w:rsidRPr="00EE0E12">
        <w:t>Esta parte da estimativa do volume é essencialmente subjetiva; assim grande cuidado deve ser tomado na atribuição de cobertura para aparência, em particular aquelas relativas às espessuras maiores (cor verdadeira contínua e descontínua), uma vez que é geralmente considerado que 90% do volume do óleo está contido em até 10% da área geral da mancha.</w:t>
      </w:r>
    </w:p>
    <w:p w14:paraId="70523599" w14:textId="77777777" w:rsidR="00B97508" w:rsidRPr="00EE0E12" w:rsidRDefault="00B97508" w:rsidP="00D13A53">
      <w:pPr>
        <w:pStyle w:val="tier1Itext"/>
      </w:pPr>
      <w:r w:rsidRPr="00EE0E12">
        <w:t>Estimativas de volume feitas por análise de diferentes sensores, métodos ou observadores devem ser comparadas. Da mesma forma, as estimativas feitas a partir de dados de volumes obtidos em diferentes momentos devem também ser intercomparados para garantir a sua consistência; o volume de óleo derramado definido por um método específico normalmente não muda ao longo de um curto período de tempo, desta forma, estimativas muito diferentes obtidas sequencialmente após curtos intervalos de tempo serão um sinal de potenciais problemas de avaliação.</w:t>
      </w:r>
    </w:p>
    <w:p w14:paraId="1CDF233F" w14:textId="77777777" w:rsidR="00B97508" w:rsidRPr="00EE0E12" w:rsidRDefault="00B97508" w:rsidP="00D13A53">
      <w:pPr>
        <w:pStyle w:val="tier1Itext"/>
      </w:pPr>
      <w:r w:rsidRPr="00EE0E12">
        <w:t>Vale lembrar que a utilização do procedimento BAOAC para estimar o volume de óleo resulta em quantidades máxima e mínima para cada aparência observada. Sugere-se que, em termos gerais, a quantidade máxima deva ser usada, em conjunto com outras informações essenciais (como a localização), para planejar e dimensionar qualquer ação de resposta necessária ao evento; e que a estimativa mínima do volume deve ser utilizada para efeitos legais, como sugerido pelo OTSOPA do Acordo de Bonn</w:t>
      </w:r>
      <w:r w:rsidRPr="00EE0E12">
        <w:rPr>
          <w:rStyle w:val="FootnoteReference"/>
          <w:rFonts w:cstheme="majorHAnsi"/>
          <w:szCs w:val="22"/>
        </w:rPr>
        <w:footnoteReference w:id="34"/>
      </w:r>
      <w:r w:rsidRPr="00EE0E12">
        <w:t>.</w:t>
      </w:r>
    </w:p>
    <w:p w14:paraId="3757FAAF" w14:textId="77777777" w:rsidR="00B97508" w:rsidRPr="00D13A53"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D13A53">
        <w:rPr>
          <w:rFonts w:asciiTheme="majorHAnsi" w:hAnsiTheme="majorHAnsi"/>
        </w:rPr>
        <w:lastRenderedPageBreak/>
        <w:t>Simplificação no Cálculo Inicial da Trajetória de Óleo</w:t>
      </w:r>
    </w:p>
    <w:p w14:paraId="4538DA66" w14:textId="77777777" w:rsidR="00B97508" w:rsidRPr="00EE0E12" w:rsidRDefault="00B97508" w:rsidP="00D13A53">
      <w:pPr>
        <w:pStyle w:val="tier1Itext"/>
      </w:pPr>
      <w:r w:rsidRPr="00EE0E12">
        <w:t xml:space="preserve">O conhecimento da direção e velocidade da deriva da mancha também auxilia a equipe de resposta na definição das estratégias de resposta iniciais uma vez que subsidia a identificação preliminar das áreas que devem ter prioridade na resposta. Assim, a BP Energy adotará como método para estimativa inicial da deriva do óleo na superfície do mar um cálculo simplificado, que considera que o transporte resultante do óleo (intensidade e direção) é influenciado em </w:t>
      </w:r>
      <w:r w:rsidRPr="00EE0E12">
        <w:rPr>
          <w:b/>
        </w:rPr>
        <w:t>100%</w:t>
      </w:r>
      <w:r w:rsidRPr="00EE0E12">
        <w:t xml:space="preserve"> pelo arrasto da </w:t>
      </w:r>
      <w:r w:rsidRPr="00EE0E12">
        <w:rPr>
          <w:b/>
        </w:rPr>
        <w:t xml:space="preserve">corrente </w:t>
      </w:r>
      <w:r w:rsidRPr="00EE0E12">
        <w:t xml:space="preserve">e em </w:t>
      </w:r>
      <w:r w:rsidRPr="00EE0E12">
        <w:rPr>
          <w:b/>
        </w:rPr>
        <w:t>3%</w:t>
      </w:r>
      <w:r w:rsidRPr="00EE0E12">
        <w:t xml:space="preserve"> pelo arrasto do</w:t>
      </w:r>
      <w:r w:rsidRPr="00EE0E12">
        <w:rPr>
          <w:b/>
        </w:rPr>
        <w:t xml:space="preserve"> vento</w:t>
      </w:r>
      <w:r w:rsidRPr="00EE0E12">
        <w:t>.</w:t>
      </w:r>
    </w:p>
    <w:p w14:paraId="0BF994FF" w14:textId="77777777" w:rsidR="00B97508" w:rsidRPr="00D13A53"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D13A53">
        <w:rPr>
          <w:rFonts w:asciiTheme="majorHAnsi" w:hAnsiTheme="majorHAnsi"/>
        </w:rPr>
        <w:t>Estratégias de Avaliação e Monitoramento</w:t>
      </w:r>
    </w:p>
    <w:p w14:paraId="00D5C4E5" w14:textId="77777777" w:rsidR="00B97508" w:rsidRPr="00EE0E12" w:rsidRDefault="00B97508" w:rsidP="00D13A53">
      <w:pPr>
        <w:pStyle w:val="tier1Itext"/>
      </w:pPr>
      <w:r w:rsidRPr="00EE0E12">
        <w:t>Adicionalmente diferentes técnicas de avaliação e monitoramento da mancha estarão disponíveis no caso de um incidente de derramamento de óleo no mar durante as atividades da BP Energy no Bloco FZA-M-59. Essas técnicas poderão ser adotadas individual ou em conjunto, conforme as características do incidente e/ou restrições e limitações ambientais e operacionais. Sempre que possível, no entanto, a IMT deverá optar pela utilização combinada das técnicas de avaliação e monitoramento da mancha, estratégia que permite a mútua validação das informações obtidas através de cada técnica empregada, auxiliando no</w:t>
      </w:r>
      <w:r w:rsidR="00D13A53">
        <w:t xml:space="preserve"> processo de tomada de decisão.</w:t>
      </w:r>
    </w:p>
    <w:p w14:paraId="23EF38E5" w14:textId="77777777" w:rsidR="00B97508" w:rsidRPr="00EE0E12" w:rsidRDefault="00B97508" w:rsidP="00D13A53">
      <w:pPr>
        <w:pStyle w:val="tier1Itext"/>
      </w:pPr>
      <w:r w:rsidRPr="00EE0E12">
        <w:t xml:space="preserve">Neste contexto, a definição das técnicas a serem empregadas durante as ações de resposta, incluindo a forma, frequência e recursos necessários é responsabilidade das Seções de Operações e Planejamento da IMT, podendo sua execução estar sujeita </w:t>
      </w:r>
      <w:r w:rsidR="0056605F" w:rsidRPr="00EE0E12">
        <w:t>à</w:t>
      </w:r>
      <w:r w:rsidRPr="00EE0E12">
        <w:t xml:space="preserve"> aprovação do IC ou pessoa designada. Para tal definição deverão ser consideradas as informações de campo fornecidas pelos coordenadores de resposta a bordo das embarcações e utilizado o a</w:t>
      </w:r>
      <w:r w:rsidR="00D13A53">
        <w:t>poio de especialistas técnicos.</w:t>
      </w:r>
    </w:p>
    <w:p w14:paraId="2B666968" w14:textId="77777777" w:rsidR="00B97508" w:rsidRPr="00EE0E12" w:rsidRDefault="00B97508" w:rsidP="00D13A53">
      <w:pPr>
        <w:pStyle w:val="tier1Itext"/>
      </w:pPr>
      <w:r w:rsidRPr="00EE0E12">
        <w:t>As estratégias para avaliação e monitoram</w:t>
      </w:r>
      <w:r w:rsidR="00D13A53">
        <w:t>ento da mancha de óleo incluem:</w:t>
      </w:r>
    </w:p>
    <w:p w14:paraId="12E6935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Observação Visual por Embarcação;</w:t>
      </w:r>
    </w:p>
    <w:p w14:paraId="32AE1BB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Observação por Sobrevôo;</w:t>
      </w:r>
    </w:p>
    <w:p w14:paraId="5C6963A0" w14:textId="6568ED66"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Sistemas Automatizados de Detecção de Óleo (radar e </w:t>
      </w:r>
      <w:r w:rsidR="00994543">
        <w:rPr>
          <w:rFonts w:asciiTheme="majorHAnsi" w:hAnsiTheme="majorHAnsi"/>
        </w:rPr>
        <w:t>aerostato</w:t>
      </w:r>
      <w:r w:rsidRPr="00EE0E12">
        <w:rPr>
          <w:rFonts w:asciiTheme="majorHAnsi" w:hAnsiTheme="majorHAnsi"/>
        </w:rPr>
        <w:t xml:space="preserve"> de observação remota);</w:t>
      </w:r>
    </w:p>
    <w:p w14:paraId="521FDF28" w14:textId="453996B2" w:rsidR="00B97508" w:rsidRPr="00EE0E12" w:rsidRDefault="00EE16FF"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Pr>
          <w:rFonts w:asciiTheme="majorHAnsi" w:hAnsiTheme="majorHAnsi"/>
        </w:rPr>
        <w:t>Bóia</w:t>
      </w:r>
      <w:r w:rsidR="00B97508" w:rsidRPr="00EE0E12">
        <w:rPr>
          <w:rFonts w:asciiTheme="majorHAnsi" w:hAnsiTheme="majorHAnsi"/>
        </w:rPr>
        <w:t>s de Deriva (Drifting Buoys);</w:t>
      </w:r>
    </w:p>
    <w:p w14:paraId="2BC0E49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Sensoriamento Remoto por Imagens de Satélite;</w:t>
      </w:r>
    </w:p>
    <w:p w14:paraId="220E2D4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Modelagem de Dispersão e Deriva de Óleo; e</w:t>
      </w:r>
    </w:p>
    <w:p w14:paraId="14EBCE05"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Amostragem de Óleo.</w:t>
      </w:r>
    </w:p>
    <w:p w14:paraId="354B4566" w14:textId="687C3AE0" w:rsidR="00290F16" w:rsidRPr="009D01BE" w:rsidRDefault="001A0409" w:rsidP="006F18B8">
      <w:pPr>
        <w:pStyle w:val="Heading3"/>
        <w:ind w:left="1224"/>
      </w:pPr>
      <w:r>
        <w:t xml:space="preserve"> </w:t>
      </w:r>
      <w:bookmarkStart w:id="165" w:name="_Toc523833897"/>
      <w:r w:rsidR="00290F16" w:rsidRPr="009D01BE">
        <w:t>Observação Visual por Embarcação</w:t>
      </w:r>
      <w:bookmarkEnd w:id="165"/>
    </w:p>
    <w:p w14:paraId="23B21AA5" w14:textId="77777777" w:rsidR="00B97508" w:rsidRPr="00EE0E12" w:rsidRDefault="00B97508" w:rsidP="004B4E3F">
      <w:pPr>
        <w:pStyle w:val="tier1Itext"/>
        <w:keepNext/>
        <w:keepLines w:val="0"/>
      </w:pPr>
      <w:r w:rsidRPr="00EE0E12">
        <w:t xml:space="preserve">Para operações com embarcações, as considerações de segurança também são de suma importância e o comandante da embarcação deve ser consultado sobre todos os aspectos da </w:t>
      </w:r>
      <w:r w:rsidRPr="00EE0E12">
        <w:lastRenderedPageBreak/>
        <w:t>operação de observação antes do seu início. A embarcação dedicada, normalmente no campo, deverá ser a primeira a ser solicitada a realizar esta tarefa, porém ocasionalmente, as embarcações de apoio também podem ser orientadas a se juntar às campanhas de observação. Os membros da tripulação participando da observação devem ser regular e devidamente instruídos de forma antecipada sobre as características de segurança da atividade e sobre os procedimentos a serem cumpridos no caso de estar engajado com esta técnica de resposta. Equipamentos de proteção individual, tais como coletes salva-vidas, devem estar disponíveis e devem ser usados.</w:t>
      </w:r>
    </w:p>
    <w:p w14:paraId="02B4F573" w14:textId="77777777" w:rsidR="00B97508" w:rsidRPr="00EE0E12" w:rsidRDefault="00B97508" w:rsidP="00AD7C35">
      <w:pPr>
        <w:pStyle w:val="tier1Itext"/>
      </w:pPr>
      <w:r w:rsidRPr="00EE0E12">
        <w:t>Condições do mar inadequadas (escala Beaufort acima de 4-5) podem atrapalhar a observação por embarcações e também algumas das técnicas de resposta a serem consideradas, aumentando de modo significativo a responsabilidade do Comandante em relação aos aspectos de segurança da tripulação. As condições climáticas atuais e previstas para a área do incidente devem ser constantemente verificadas, especialmente considerando variações ao longo de períodos do dia, tendo em vista que influenciam em aspectos de visibilidade – necessários à observação de manchas de óleo – sobretudo quando realizada a partir de embarcações, em função da limitação de altura dos pontos de vigilância usualmente disponíveis. Adicionalmente, caso o óleo derramado permaneça em sub-superfície (sem aflorar), a sua identificação visual pode ser severamente comprometida, gerando erros na avaliação.</w:t>
      </w:r>
    </w:p>
    <w:p w14:paraId="7338F785" w14:textId="77777777" w:rsidR="00B97508" w:rsidRPr="00EE0E12" w:rsidRDefault="00B97508" w:rsidP="00AD7C35">
      <w:pPr>
        <w:pStyle w:val="tier1Itext"/>
      </w:pPr>
      <w:r w:rsidRPr="00EE0E12">
        <w:t>Mesmo com as limitações de observação apresentadas, a feita por embarcações possui algumas vantagens em</w:t>
      </w:r>
      <w:r w:rsidR="00AD7C35">
        <w:t xml:space="preserve"> comparação com a aérea como a:</w:t>
      </w:r>
    </w:p>
    <w:p w14:paraId="6B7C92B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Melhor percepção da espessura do óleo e da sua consistência, em função da visualização mais próxima;</w:t>
      </w:r>
    </w:p>
    <w:p w14:paraId="2516634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Possibilidade de verificação se um vazamento é de fato óleo ou uma ocorrência natural que se assemelha, como afloramentos de algas ou presença de águas vivas;</w:t>
      </w:r>
    </w:p>
    <w:p w14:paraId="66EC90E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Verificação da formação de aglomerações de piche (freqüentemente não visíveis a partir de aeronaves);</w:t>
      </w:r>
    </w:p>
    <w:p w14:paraId="1C8011D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Maior autonomia do período de vigilância; </w:t>
      </w:r>
    </w:p>
    <w:p w14:paraId="783A0F3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Mobilização imediata, já que a operação na Foz demandará a presença de uma embarcação dedicada de resposta a derrame na área do bloco para cumprir as diretrizes de resposta de 2, 6 e 12 horas, definidas na Resolução CONAMA nº 398/08; e</w:t>
      </w:r>
    </w:p>
    <w:p w14:paraId="6667B40F"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Possibilidade de coletar amostras de óleo para análise – isto será de particular utilidade ao observar-se manchas órfãs, de forma a tentar id</w:t>
      </w:r>
      <w:r w:rsidR="00AD7C35">
        <w:rPr>
          <w:rFonts w:asciiTheme="majorHAnsi" w:hAnsiTheme="majorHAnsi"/>
        </w:rPr>
        <w:t>entificar a fonte desta mancha.</w:t>
      </w:r>
    </w:p>
    <w:p w14:paraId="33738B13" w14:textId="77777777" w:rsidR="00B97508" w:rsidRPr="00EE0E12" w:rsidRDefault="00B97508" w:rsidP="00AD7C35">
      <w:pPr>
        <w:pStyle w:val="tier1Itext"/>
      </w:pPr>
      <w:r w:rsidRPr="00EE0E12">
        <w:lastRenderedPageBreak/>
        <w:t>O plano de observação por embarcações normalmente é definido quando da identificação do vazamento e consiste em navegar ao redor e pela mancha para reunir informações relacionadas com a sua dimensão, cobertura, aparência e o deslocamento e comportamento do óleo. Deve adicionalmente considerar o alinhamento com as determinações do OSC Delegado para definir a necessidade de acoplar um plano de amostragem, quando, então, o procedimento específico deve ser seguido. Atenção especial deve ser adotada com relação aos registros adequados de cadeia de custódia das amostras e às diretrizes de armazenamento destas amo</w:t>
      </w:r>
      <w:r w:rsidR="004B4E3F">
        <w:t>stras, visando sua preservação.</w:t>
      </w:r>
    </w:p>
    <w:p w14:paraId="72AB39C2" w14:textId="77777777" w:rsidR="00B97508" w:rsidRPr="00121F26" w:rsidRDefault="00B97508" w:rsidP="00AD7C35">
      <w:pPr>
        <w:pStyle w:val="tier1Itext"/>
      </w:pPr>
      <w:r w:rsidRPr="00EE0E12">
        <w:t>O comandante da embarcação deve manter registro das posições navegadas sobre e ao redor da(s) mancha(s), de maneira que o progresso possa ser monitorado juntamente com quaisquer mudanças de rumo que sejam necessárias, em função das circunstâncias de deriva da mesma</w:t>
      </w:r>
      <w:r w:rsidRPr="00121F26">
        <w:t xml:space="preserve">. </w:t>
      </w:r>
    </w:p>
    <w:p w14:paraId="2DD3A9DC" w14:textId="77777777" w:rsidR="00B97508" w:rsidRPr="00EE0E12" w:rsidRDefault="00B97508" w:rsidP="00AD7C35">
      <w:pPr>
        <w:pStyle w:val="tier1Itext"/>
      </w:pPr>
      <w:r w:rsidRPr="00EE0E12">
        <w:t>Os resultados das campanhas de observação por embarcações devem ser imediatamente disponibilizados ao OSC Delegado pelo Comandante, através de relatório via rádio (contato verbal), assim que a atividade for concluída, e deverá incluir, mas não estar limitado, a:</w:t>
      </w:r>
    </w:p>
    <w:p w14:paraId="2C28236E"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cstheme="majorHAnsi"/>
        </w:rPr>
      </w:pPr>
      <w:r w:rsidRPr="00EE0E12">
        <w:rPr>
          <w:rFonts w:asciiTheme="majorHAnsi" w:hAnsiTheme="majorHAnsi" w:cstheme="majorHAnsi"/>
        </w:rPr>
        <w:t>Breve descrição das observações;</w:t>
      </w:r>
    </w:p>
    <w:p w14:paraId="1AE409E1" w14:textId="31F5583C"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 xml:space="preserve">Direcionamento, comportamento e estimativa do óleo derramado (devendo esta ser feita com base na metodologia do </w:t>
      </w:r>
      <w:r w:rsidRPr="00EE0E12">
        <w:rPr>
          <w:rFonts w:asciiTheme="majorHAnsi" w:hAnsiTheme="majorHAnsi" w:cstheme="majorHAnsi"/>
          <w:i/>
        </w:rPr>
        <w:t>Bonn Agreement</w:t>
      </w:r>
      <w:r w:rsidRPr="00EE0E12">
        <w:rPr>
          <w:rFonts w:asciiTheme="majorHAnsi" w:hAnsiTheme="majorHAnsi" w:cstheme="majorHAnsi"/>
        </w:rPr>
        <w:t xml:space="preserve"> [BAOAC]); </w:t>
      </w:r>
    </w:p>
    <w:p w14:paraId="395BCB3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Coordenadas e fotos, caso existam;</w:t>
      </w:r>
    </w:p>
    <w:p w14:paraId="118ED119"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cstheme="majorHAnsi"/>
        </w:rPr>
      </w:pPr>
      <w:r w:rsidRPr="00EE0E12">
        <w:rPr>
          <w:rFonts w:asciiTheme="majorHAnsi" w:hAnsiTheme="majorHAnsi" w:cstheme="majorHAnsi"/>
        </w:rPr>
        <w:t>Condições climáticas locais (vento, estado do mar, visibilidade); e</w:t>
      </w:r>
    </w:p>
    <w:p w14:paraId="2EF86BB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cstheme="majorHAnsi"/>
        </w:rPr>
      </w:pPr>
      <w:r w:rsidRPr="00EE0E12">
        <w:rPr>
          <w:rFonts w:asciiTheme="majorHAnsi" w:hAnsiTheme="majorHAnsi" w:cstheme="majorHAnsi"/>
        </w:rPr>
        <w:t>Percepção da efetividade de quaisquer operações de resposta observada</w:t>
      </w:r>
      <w:r w:rsidR="00C57F70">
        <w:rPr>
          <w:rFonts w:asciiTheme="majorHAnsi" w:hAnsiTheme="majorHAnsi" w:cstheme="majorHAnsi"/>
        </w:rPr>
        <w:t>s</w:t>
      </w:r>
      <w:r w:rsidRPr="00EE0E12">
        <w:rPr>
          <w:rFonts w:asciiTheme="majorHAnsi" w:hAnsiTheme="majorHAnsi" w:cstheme="majorHAnsi"/>
        </w:rPr>
        <w:t>.</w:t>
      </w:r>
    </w:p>
    <w:p w14:paraId="0B486DAC" w14:textId="77777777" w:rsidR="00B97508" w:rsidRPr="00EE0E12" w:rsidRDefault="00B97508" w:rsidP="00AD7C35">
      <w:pPr>
        <w:pStyle w:val="tier1Itext"/>
      </w:pPr>
      <w:r w:rsidRPr="00EE0E12">
        <w:t>Todas estas informações devem ser registradas no Livro de Operações da embarcação (com finalidade de documentação para futura verificação) e um relatório formal destas observações da campanha marítima deve ser elaborado pelo auxiliar ou escriba da TRT local ou alguém delegado da tripulação, com a mesma informação, complementada com o nome da embarcação, hora inicial e final da campanha, derrota da embarcação com referentes notificações e a planilha com o cálculo de estimativa da quantidade de óleo no mar.</w:t>
      </w:r>
    </w:p>
    <w:p w14:paraId="74A42970" w14:textId="1EF8732A" w:rsidR="00B97508" w:rsidRPr="00EE0E12" w:rsidRDefault="00B97508" w:rsidP="00AD7C35">
      <w:pPr>
        <w:pStyle w:val="tier1Itext"/>
      </w:pPr>
      <w:r w:rsidRPr="00EE0E12">
        <w:t xml:space="preserve">Em incidentes de grande magnitude, outras técnicas (como, por exemplo, monitoramento por </w:t>
      </w:r>
      <w:r w:rsidR="00EE16FF">
        <w:t>bóia</w:t>
      </w:r>
      <w:r w:rsidRPr="00EE0E12">
        <w:t xml:space="preserve">s de deriva ou através de observação aérea </w:t>
      </w:r>
      <w:r w:rsidR="00AD7C35">
        <w:t>–</w:t>
      </w:r>
      <w:r w:rsidRPr="00EE0E12">
        <w:t xml:space="preserve"> por </w:t>
      </w:r>
      <w:r w:rsidR="00C57F70" w:rsidRPr="00EE0E12">
        <w:t>sobrev</w:t>
      </w:r>
      <w:r w:rsidR="00C57F70">
        <w:t>ô</w:t>
      </w:r>
      <w:r w:rsidR="00C57F70" w:rsidRPr="00EE0E12">
        <w:t>o</w:t>
      </w:r>
      <w:r w:rsidRPr="00EE0E12">
        <w:t>) devem ser consideradas, uma vez que a altura típica de observação em embarcações geralmente não permite a caracterização das dimensões e da aparência de manchas de grande extensão.</w:t>
      </w:r>
    </w:p>
    <w:p w14:paraId="58D6923D" w14:textId="21919134" w:rsidR="00290F16" w:rsidRPr="009D01BE" w:rsidRDefault="001A0409" w:rsidP="006F18B8">
      <w:pPr>
        <w:pStyle w:val="Heading3"/>
        <w:ind w:left="1224"/>
      </w:pPr>
      <w:r w:rsidRPr="00C83F24">
        <w:rPr>
          <w:lang w:val="pt-BR"/>
        </w:rPr>
        <w:lastRenderedPageBreak/>
        <w:t xml:space="preserve"> </w:t>
      </w:r>
      <w:bookmarkStart w:id="166" w:name="_Toc523833898"/>
      <w:r w:rsidR="00A968B6" w:rsidRPr="009D01BE">
        <w:t xml:space="preserve">Observação Aérea (por </w:t>
      </w:r>
      <w:r w:rsidR="00C57F70" w:rsidRPr="009D01BE">
        <w:t>sobrevôo</w:t>
      </w:r>
      <w:r w:rsidR="00A968B6" w:rsidRPr="009D01BE">
        <w:t>)</w:t>
      </w:r>
      <w:bookmarkEnd w:id="166"/>
    </w:p>
    <w:p w14:paraId="3AB5255F" w14:textId="32004441" w:rsidR="00B97508" w:rsidRPr="00EE0E12" w:rsidRDefault="00B97508" w:rsidP="00AD7C35">
      <w:pPr>
        <w:pStyle w:val="tier1Itext"/>
      </w:pPr>
      <w:r w:rsidRPr="00EE0E12">
        <w:t xml:space="preserve">Consiste na observação de área(s) pré-selecionada(s) por profissionais a bordo de aeronaves, que estejam capacitados a reconhecer a presença de óleo no mar e outras características, conforme objetivo estabelecido para o </w:t>
      </w:r>
      <w:r w:rsidR="0056605F" w:rsidRPr="00EE0E12">
        <w:t>sobrev</w:t>
      </w:r>
      <w:r w:rsidR="00246F01">
        <w:t>ô</w:t>
      </w:r>
      <w:r w:rsidR="0056605F" w:rsidRPr="00EE0E12">
        <w:t>o</w:t>
      </w:r>
      <w:r w:rsidRPr="00EE0E12">
        <w:t>. As operações de monitoramento aéreo apresentam uma ampla</w:t>
      </w:r>
      <w:r w:rsidR="00AD7C35">
        <w:t xml:space="preserve"> gama de aplicações, incluindo:</w:t>
      </w:r>
    </w:p>
    <w:p w14:paraId="526786FA"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Identificação da origem e localização do vazamento de óleo;</w:t>
      </w:r>
    </w:p>
    <w:p w14:paraId="68B1FA03"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Avaliação da aparência e dimensões da mancha de óleo (para a estimativa de volume, avaliação do processo de intemperismo, entre outros). Neste caso, assim como na observação por embarcação, a metodologia do </w:t>
      </w:r>
      <w:r w:rsidRPr="00EE0E12">
        <w:rPr>
          <w:rFonts w:asciiTheme="majorHAnsi" w:hAnsiTheme="majorHAnsi"/>
          <w:i/>
        </w:rPr>
        <w:t>Bonn Agreement</w:t>
      </w:r>
      <w:r w:rsidRPr="00EE0E12">
        <w:rPr>
          <w:rFonts w:asciiTheme="majorHAnsi" w:hAnsiTheme="majorHAnsi"/>
        </w:rPr>
        <w:t xml:space="preserve"> (BAOAC) deverá ser empregada;</w:t>
      </w:r>
    </w:p>
    <w:p w14:paraId="0ED1331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Avaliação do deslocamento da mancha e identificação de áreas potencialmente impactadas;</w:t>
      </w:r>
    </w:p>
    <w:p w14:paraId="0AA19F59"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Avaliação da extensão dos impactos do derramamento de óleo no mar ou na costa, incluindo vida selvagem; e</w:t>
      </w:r>
    </w:p>
    <w:p w14:paraId="756AD054"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Avaliação do status e eficiência das operações de resposta em curso (por exemplo, contenção e recolhimento, dispersão mecânica, dispersão química, resgate de fauna), assim como levantamento de informações para planejamento dos próximos estágios (como área de maior concentração de óleo, presença de fauna impactada, entre outros).</w:t>
      </w:r>
    </w:p>
    <w:p w14:paraId="1DC70CCC" w14:textId="77777777" w:rsidR="00B97508" w:rsidRPr="00EE0E12" w:rsidRDefault="00B97508" w:rsidP="00AD7C35">
      <w:pPr>
        <w:pStyle w:val="tier1Itext"/>
      </w:pPr>
      <w:r w:rsidRPr="00EE0E12">
        <w:t xml:space="preserve">As medidas de segurança são de suma importância e o piloto da aeronave deve ser consultado sobre todos os aspectos da operação de observação aérea (por </w:t>
      </w:r>
      <w:r w:rsidR="00C57F70" w:rsidRPr="00EE0E12">
        <w:t>sobrev</w:t>
      </w:r>
      <w:r w:rsidR="00C57F70">
        <w:t>ô</w:t>
      </w:r>
      <w:r w:rsidR="00C57F70" w:rsidRPr="00EE0E12">
        <w:t>o</w:t>
      </w:r>
      <w:r w:rsidRPr="00EE0E12">
        <w:t xml:space="preserve">) antes da partida, estando alinhado com as instruções do Gerente de Operações Aéreas da Seção de Operações. Aqueles que estiverem participando do </w:t>
      </w:r>
      <w:r w:rsidR="00BF2A83" w:rsidRPr="00EE0E12">
        <w:t>voo</w:t>
      </w:r>
      <w:r w:rsidRPr="00EE0E12">
        <w:t xml:space="preserve"> devem ser regularmente e devidamente instruídos de forma antecipada sobre as características de segurança da aeronave e sobre os procedimentos a serem cumpridos no caso de emergências. Equipamentos de proteção individuais, tais como coletes salva-vidas, devem estar disponíveis e ser usados sempre.</w:t>
      </w:r>
    </w:p>
    <w:p w14:paraId="78429F56" w14:textId="77777777" w:rsidR="00B97508" w:rsidRPr="00EE0E12" w:rsidRDefault="00B97508" w:rsidP="004B4E3F">
      <w:pPr>
        <w:pStyle w:val="tier1Itext"/>
      </w:pPr>
      <w:r w:rsidRPr="00EE0E12">
        <w:t xml:space="preserve">Condições de clima adverso podem atrapalhar a vigilância aérea e algumas das técnicas de resposta consideradas, aumentando de modo significativo a carga de trabalho dos pilotos e, </w:t>
      </w:r>
      <w:r w:rsidR="00BF2A83" w:rsidRPr="00EE0E12">
        <w:t>consequentemente</w:t>
      </w:r>
      <w:r w:rsidRPr="00EE0E12">
        <w:t>, diminuindo a segurança das operações. O clima atual e previsto dos aeroportos de partida e de chegada (caso seja outro) e da área do vazamento devem ser verificados, especialmente considerando os aspectos de visibilidade (diminuição relacionada com a presença de névoa ou precipitação), cobertura de nuvens, força do vento e potencial ocorrência de tempestades, que devem ser levados em consideração quando do planejamento da operação aérea de observação.</w:t>
      </w:r>
    </w:p>
    <w:p w14:paraId="2EE78D0C" w14:textId="77777777" w:rsidR="00B97508" w:rsidRPr="00EE0E12" w:rsidRDefault="00B97508" w:rsidP="00F035E6">
      <w:pPr>
        <w:pStyle w:val="tier1Itext"/>
      </w:pPr>
      <w:r w:rsidRPr="00EE0E12">
        <w:lastRenderedPageBreak/>
        <w:t>A escolha da aeronave mais adequada influencia a efetividade da operação em geral. Uma melhor visibilidade da área é obtida a partir de aeronaves de asas fixas na parte superior da fuselagem, que também possuem velocidade e alcance operacional como vantagens, ao contrário dos helicópteros que oferecem grande flexibilidade de manobrabilidade (</w:t>
      </w:r>
      <w:r w:rsidR="00BF2A83" w:rsidRPr="00EE0E12">
        <w:t>voo</w:t>
      </w:r>
      <w:r w:rsidRPr="00EE0E12">
        <w:t xml:space="preserve"> mais lento em baixas altitudes) para observação visual mais detalhada. Estes aspectos devem ser considerados sob o escopo da logística da operação, tal como a proximidade dos aeroportos e estações de reabastecimento, distância da costa e extensão da área a ser monitorada, tipo de especialistas a bordo e objetivos do </w:t>
      </w:r>
      <w:r w:rsidR="00BF2A83" w:rsidRPr="00EE0E12">
        <w:t>sobrevoo</w:t>
      </w:r>
      <w:r w:rsidRPr="00EE0E12">
        <w:t>.</w:t>
      </w:r>
    </w:p>
    <w:p w14:paraId="041AC0EE" w14:textId="78CB24FD" w:rsidR="00B97508" w:rsidRPr="00EE0E12" w:rsidRDefault="00B97508" w:rsidP="00F035E6">
      <w:pPr>
        <w:pStyle w:val="tier1Itext"/>
      </w:pPr>
      <w:r w:rsidRPr="00EE0E12">
        <w:t xml:space="preserve">Em função da disponibilidade imediata e pré-aprovação de uso, nos primeiros </w:t>
      </w:r>
      <w:r w:rsidR="00C57F70" w:rsidRPr="00EE0E12">
        <w:t>v</w:t>
      </w:r>
      <w:r w:rsidR="00C57F70">
        <w:t>ô</w:t>
      </w:r>
      <w:r w:rsidR="00C57F70" w:rsidRPr="00EE0E12">
        <w:t xml:space="preserve">os </w:t>
      </w:r>
      <w:r w:rsidRPr="00EE0E12">
        <w:t xml:space="preserve">serão utilizados os helicópteros contratados para suporte à perfuração na atividade em questão, sendo avaliada a necessidade da utilização de aeronaves extras, em função do dimensionamento da resposta definido. A mobilização dos recursos humanos e materiais necessários para a operacionalização da estratégia de observação por </w:t>
      </w:r>
      <w:r w:rsidR="00BF2A83" w:rsidRPr="00EE0E12">
        <w:t>sobrev</w:t>
      </w:r>
      <w:r w:rsidR="00246F01">
        <w:t>ô</w:t>
      </w:r>
      <w:r w:rsidR="00BF2A83" w:rsidRPr="00EE0E12">
        <w:t>o</w:t>
      </w:r>
      <w:r w:rsidRPr="00EE0E12">
        <w:t xml:space="preserve"> deverá ser realizada conforme descrito </w:t>
      </w:r>
      <w:r w:rsidRPr="00E24DBF">
        <w:t>no</w:t>
      </w:r>
      <w:r w:rsidR="00E24DBF" w:rsidRPr="00E24DBF">
        <w:t>s</w:t>
      </w:r>
      <w:r w:rsidRPr="00E24DBF">
        <w:t xml:space="preserve"> ite</w:t>
      </w:r>
      <w:r w:rsidR="00E24DBF" w:rsidRPr="00E24DBF">
        <w:t>ns</w:t>
      </w:r>
      <w:r w:rsidRPr="00E24DBF">
        <w:t xml:space="preserve"> </w:t>
      </w:r>
      <w:r w:rsidR="00E24DBF" w:rsidRPr="00E24DBF">
        <w:fldChar w:fldCharType="begin"/>
      </w:r>
      <w:r w:rsidR="00E24DBF" w:rsidRPr="00E24DBF">
        <w:instrText xml:space="preserve"> REF _Ref414455983 \r \h </w:instrText>
      </w:r>
      <w:r w:rsidR="00E24DBF">
        <w:instrText xml:space="preserve"> \* MERGEFORMAT </w:instrText>
      </w:r>
      <w:r w:rsidR="00E24DBF" w:rsidRPr="00E24DBF">
        <w:fldChar w:fldCharType="separate"/>
      </w:r>
      <w:r w:rsidR="00897470">
        <w:t>6</w:t>
      </w:r>
      <w:r w:rsidR="00E24DBF" w:rsidRPr="00E24DBF">
        <w:fldChar w:fldCharType="end"/>
      </w:r>
      <w:r w:rsidR="00E24DBF" w:rsidRPr="00E24DBF">
        <w:t xml:space="preserve"> e </w:t>
      </w:r>
      <w:r w:rsidR="00F035E6" w:rsidRPr="00E24DBF">
        <w:fldChar w:fldCharType="begin"/>
      </w:r>
      <w:r w:rsidR="00F035E6" w:rsidRPr="00E24DBF">
        <w:instrText xml:space="preserve"> REF _Ref414539175 \r \h  \* MERGEFORMAT </w:instrText>
      </w:r>
      <w:r w:rsidR="00F035E6" w:rsidRPr="00E24DBF">
        <w:fldChar w:fldCharType="separate"/>
      </w:r>
      <w:r w:rsidR="00897470">
        <w:t>7.3.1</w:t>
      </w:r>
      <w:r w:rsidR="00F035E6" w:rsidRPr="00E24DBF">
        <w:fldChar w:fldCharType="end"/>
      </w:r>
      <w:r w:rsidRPr="00E24DBF">
        <w:t>.</w:t>
      </w:r>
    </w:p>
    <w:p w14:paraId="11682D73" w14:textId="77777777" w:rsidR="00B97508" w:rsidRPr="00EE0E12" w:rsidRDefault="00B97508" w:rsidP="00F035E6">
      <w:pPr>
        <w:pStyle w:val="tier1Itext"/>
      </w:pPr>
      <w:r w:rsidRPr="00EE0E12">
        <w:t>A Autoridade Técnica em Aviação da BP Energy deve estar envolvida na resposta desde o início para proceder com a avaliação de qualquer nova aeronave engajada na atividade, em relação aos requerimentos legais e regulatórios específicos aplicáveis no país e em conformidade com os requerimentos da empresa, antes da sua mobilização e mesmo dur</w:t>
      </w:r>
      <w:r w:rsidR="00F035E6">
        <w:t>ante as atividades de resposta.</w:t>
      </w:r>
    </w:p>
    <w:p w14:paraId="64A45716" w14:textId="77777777" w:rsidR="00B97508" w:rsidRPr="00EE0E12" w:rsidRDefault="00B97508" w:rsidP="00F035E6">
      <w:pPr>
        <w:pStyle w:val="tier1Itext"/>
      </w:pPr>
      <w:r w:rsidRPr="00EE0E12">
        <w:t xml:space="preserve">O plano de </w:t>
      </w:r>
      <w:r w:rsidR="00C57F70" w:rsidRPr="00EE0E12">
        <w:t>v</w:t>
      </w:r>
      <w:r w:rsidR="00C57F70">
        <w:t>ô</w:t>
      </w:r>
      <w:r w:rsidR="00C57F70" w:rsidRPr="00EE0E12">
        <w:t xml:space="preserve">o </w:t>
      </w:r>
      <w:r w:rsidRPr="00EE0E12">
        <w:t xml:space="preserve">de observação deve ser preparado com a devida antecipação, levando em consideração qualquer informação disponível que possa reduzir a área vigiada ao máximo possível. Também devem ser consideradas as já descritas restrições de </w:t>
      </w:r>
      <w:r w:rsidR="00C57F70" w:rsidRPr="00EE0E12">
        <w:t>v</w:t>
      </w:r>
      <w:r w:rsidR="00C57F70">
        <w:t>ô</w:t>
      </w:r>
      <w:r w:rsidR="00C57F70" w:rsidRPr="00EE0E12">
        <w:t>o</w:t>
      </w:r>
      <w:r w:rsidRPr="00EE0E12">
        <w:t xml:space="preserve">, algumas das quais podem ser especificamente impostas como resultado do vazamento. A altitude e velocidade de observação, em geral, são determinadas pela visibilidade local. O planejamento da operação é coordenado pelo Gerente de Operações Aéreas, baseados nas demandas das Seções de Operações, Planejamento e Logística e registrado no formulário ICS-220 </w:t>
      </w:r>
      <w:r w:rsidR="00F035E6">
        <w:t>–</w:t>
      </w:r>
      <w:r w:rsidRPr="00EE0E12">
        <w:t xml:space="preserve"> Programação de Operações Aéreas.</w:t>
      </w:r>
    </w:p>
    <w:p w14:paraId="0FADDDAF" w14:textId="2456F160" w:rsidR="00B97508" w:rsidRPr="00EE0E12" w:rsidRDefault="00B97508" w:rsidP="00F035E6">
      <w:pPr>
        <w:pStyle w:val="tier1Itext"/>
      </w:pPr>
    </w:p>
    <w:p w14:paraId="0264852E" w14:textId="1E5D276C" w:rsidR="00B97508" w:rsidRDefault="00B97508" w:rsidP="00F035E6">
      <w:pPr>
        <w:pStyle w:val="tier1Itext"/>
        <w:spacing w:before="360"/>
      </w:pPr>
      <w:r w:rsidRPr="00EE0E12">
        <w:lastRenderedPageBreak/>
        <w:t xml:space="preserve">Os observadores, que podem ser funcionários próprios capacitados ou especialistas de empresas terceirizadas, devem manter registro de todas as posições da aeronave, de maneira que o progresso possa ser monitorado juntamente com quaisquer mudanças que sejam necessárias, em função das circunstâncias notadas durante o </w:t>
      </w:r>
      <w:r w:rsidR="00C57F70" w:rsidRPr="00EE0E12">
        <w:t>v</w:t>
      </w:r>
      <w:r w:rsidR="00C57F70">
        <w:t>ô</w:t>
      </w:r>
      <w:r w:rsidR="00C57F70" w:rsidRPr="00EE0E12">
        <w:t>o</w:t>
      </w:r>
      <w:r w:rsidRPr="00EE0E12">
        <w:t xml:space="preserve">. Durante as operações de observação, deve haver consistência de pelo menos um observador durante uma série de </w:t>
      </w:r>
      <w:r w:rsidR="00C57F70" w:rsidRPr="00EE0E12">
        <w:t>v</w:t>
      </w:r>
      <w:r w:rsidR="00C57F70">
        <w:t>ô</w:t>
      </w:r>
      <w:r w:rsidR="00C57F70" w:rsidRPr="00EE0E12">
        <w:t>os</w:t>
      </w:r>
      <w:r w:rsidRPr="00EE0E12">
        <w:t>, de forma que as variações nos relatórios reflitam as mudanças no estágio de dispersão da mancha e não as diferenças entre as percepções dos observadores. Os registros dos diferentes observadores também devem ser comparados para avaliar esta consistência, permitindo discussão e alinhamento com as percepções dos membros da equipe.</w:t>
      </w:r>
    </w:p>
    <w:p w14:paraId="76BE25FC" w14:textId="7B4F36C3" w:rsidR="006C23D7" w:rsidRPr="006F02F7" w:rsidRDefault="006C23D7" w:rsidP="00F035E6">
      <w:pPr>
        <w:pStyle w:val="tier1Itext"/>
        <w:spacing w:before="360"/>
      </w:pPr>
      <w:r w:rsidRPr="006F02F7">
        <w:rPr>
          <w:highlight w:val="lightGray"/>
        </w:rPr>
        <w:t xml:space="preserve">De forma a poder contribuir </w:t>
      </w:r>
      <w:r w:rsidR="008E4B8E" w:rsidRPr="006F02F7">
        <w:rPr>
          <w:highlight w:val="lightGray"/>
        </w:rPr>
        <w:t xml:space="preserve">tanto no </w:t>
      </w:r>
      <w:r w:rsidRPr="006F02F7">
        <w:rPr>
          <w:highlight w:val="lightGray"/>
        </w:rPr>
        <w:t xml:space="preserve">monitoramento </w:t>
      </w:r>
      <w:r w:rsidR="008E4B8E" w:rsidRPr="006F02F7">
        <w:rPr>
          <w:highlight w:val="lightGray"/>
        </w:rPr>
        <w:t xml:space="preserve">sistemático durante os vôos rotineiros realizados como em situações de emergência, </w:t>
      </w:r>
      <w:bookmarkStart w:id="167" w:name="_Hlk523319539"/>
      <w:r w:rsidR="008E4B8E" w:rsidRPr="006F02F7">
        <w:rPr>
          <w:highlight w:val="lightGray"/>
        </w:rPr>
        <w:t>os pilotos contratados para suporte às operações da BP Energy receberão um treinamento específico de capacitação que englobará aspectos da observação de óleo no mar e da identificação de fauna impactada por óleo. Assim eles poderão atuar no registro de qualquer ocorrência, mesmo que não relacionadas a incidentes de vazamento no projeto de perfuração da BP.</w:t>
      </w:r>
      <w:bookmarkEnd w:id="167"/>
      <w:r w:rsidR="008E4B8E" w:rsidRPr="006F02F7">
        <w:rPr>
          <w:highlight w:val="lightGray"/>
        </w:rPr>
        <w:t xml:space="preserve"> </w:t>
      </w:r>
      <w:r w:rsidR="00C403C3" w:rsidRPr="006F02F7">
        <w:rPr>
          <w:highlight w:val="lightGray"/>
        </w:rPr>
        <w:t xml:space="preserve"> É válido ressaltar que </w:t>
      </w:r>
      <w:bookmarkStart w:id="168" w:name="_Hlk523319638"/>
      <w:r w:rsidR="00C403C3" w:rsidRPr="006F02F7">
        <w:rPr>
          <w:highlight w:val="lightGray"/>
        </w:rPr>
        <w:t xml:space="preserve">este recurso será importante na identificação destas ocorrências não vinculadas à operação e nos primeiros momentos da resposta, quando especialistas estarão sendo mobilizados para o cenário de resposta a fim de assumir esta função. </w:t>
      </w:r>
      <w:bookmarkEnd w:id="168"/>
      <w:r w:rsidR="00C403C3" w:rsidRPr="006F02F7">
        <w:rPr>
          <w:highlight w:val="lightGray"/>
        </w:rPr>
        <w:t>No entanto, como é presença obrigatória em todos os vôos, os pilotos ainda terão a possibilidade de contribuir com suas observações capacitadas nas campanhas de  observação.</w:t>
      </w:r>
      <w:r w:rsidR="008E4B8E" w:rsidRPr="006F02F7">
        <w:t xml:space="preserve">  </w:t>
      </w:r>
    </w:p>
    <w:p w14:paraId="6555E883" w14:textId="77777777" w:rsidR="00B97508" w:rsidRPr="00EE0E12" w:rsidRDefault="00B97508" w:rsidP="005239F6">
      <w:pPr>
        <w:pStyle w:val="tier1Itext"/>
      </w:pPr>
      <w:r w:rsidRPr="00EE0E12">
        <w:t xml:space="preserve">Os resultados dos </w:t>
      </w:r>
      <w:r w:rsidR="00C57F70" w:rsidRPr="00EE0E12">
        <w:t>v</w:t>
      </w:r>
      <w:r w:rsidR="00C57F70">
        <w:t>ô</w:t>
      </w:r>
      <w:r w:rsidR="00C57F70" w:rsidRPr="00EE0E12">
        <w:t xml:space="preserve">os </w:t>
      </w:r>
      <w:r w:rsidRPr="00EE0E12">
        <w:t>de vigilância devem ser imediatamente disponibilizados ao OSC (ou OSC Delegado) através de relatório verbal dos observadores logo após seu desembarque, e que deve incluir, mas não estar limitado, a:</w:t>
      </w:r>
    </w:p>
    <w:p w14:paraId="2BC5C94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Breve descrição das observações;</w:t>
      </w:r>
    </w:p>
    <w:p w14:paraId="5DC7718C"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Direcionamento, comportamento e estimativa do óleo derramado (segundo BAOAC); </w:t>
      </w:r>
    </w:p>
    <w:p w14:paraId="475BF002"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Coordenadas e fotos;</w:t>
      </w:r>
    </w:p>
    <w:p w14:paraId="2D13690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Condições climáticas locais (vento, estado do mar, visibilidade); e</w:t>
      </w:r>
    </w:p>
    <w:p w14:paraId="5CAFEA88"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Percepção da efetividade de quaisquer operações de resposta observadas.</w:t>
      </w:r>
    </w:p>
    <w:p w14:paraId="63C552D3" w14:textId="77777777" w:rsidR="00B97508" w:rsidRPr="00EE0E12" w:rsidRDefault="00B97508" w:rsidP="005239F6">
      <w:pPr>
        <w:pStyle w:val="tier1Itext"/>
      </w:pPr>
      <w:r w:rsidRPr="00EE0E12">
        <w:t xml:space="preserve">Um relatório escrito formal das observações deve ser preparado com as mesmas informações complementadas por uma lista dos passageiros com sua função (nomes e afiliação), a informação sobre a plataforma aérea usada (helicóptero ou avião), o registro de tempo de </w:t>
      </w:r>
      <w:r w:rsidR="00C57F70" w:rsidRPr="00EE0E12">
        <w:t>v</w:t>
      </w:r>
      <w:r w:rsidR="00C57F70">
        <w:t>ô</w:t>
      </w:r>
      <w:r w:rsidR="00C57F70" w:rsidRPr="00EE0E12">
        <w:t xml:space="preserve">o </w:t>
      </w:r>
      <w:r w:rsidRPr="00EE0E12">
        <w:t>e trajeto, desenhos e notas, e a planilha com o cálculo de estimativa da quantidade de óleo no mar.</w:t>
      </w:r>
    </w:p>
    <w:p w14:paraId="24074651" w14:textId="77777777" w:rsidR="00B97508" w:rsidRPr="00EE0E12" w:rsidRDefault="00B97508" w:rsidP="005239F6">
      <w:pPr>
        <w:pStyle w:val="tier1Itext"/>
      </w:pPr>
      <w:r w:rsidRPr="00EE0E12">
        <w:lastRenderedPageBreak/>
        <w:t>Outra importante função desempenhada pelas operações de observação aérea é a de avaliação das condições operacionais (</w:t>
      </w:r>
      <w:r w:rsidRPr="00EE0E12">
        <w:rPr>
          <w:i/>
        </w:rPr>
        <w:t>spotter</w:t>
      </w:r>
      <w:r w:rsidRPr="00EE0E12">
        <w:t xml:space="preserve">). A aeronave </w:t>
      </w:r>
      <w:r w:rsidRPr="00EE0E12">
        <w:rPr>
          <w:i/>
        </w:rPr>
        <w:t>spotter</w:t>
      </w:r>
      <w:r w:rsidRPr="00EE0E12">
        <w:t xml:space="preserve"> tem a função de avaliar várias áreas do vazamento e identificar as suas principais características de forma a orientar as estratégias de resposta e as técnicas a serem empregadas em cada área específica. No caso da aplicação de dispersantes químicos, deverá garantir que a(s) área(s) de mancha selecionada(s) tenha(m) óleo suficiente para a operação, mapear estas áreas que serão aspersadas e checar para que nenhum animal selvagem, barco de pesca ou time de outra técnica de resposta estejam dentro delas. Quando tiver completado estas verificações, a aeronave </w:t>
      </w:r>
      <w:r w:rsidRPr="00EE0E12">
        <w:rPr>
          <w:i/>
        </w:rPr>
        <w:t>spotter</w:t>
      </w:r>
      <w:r w:rsidRPr="00EE0E12">
        <w:t xml:space="preserve"> irá guiar a embarcação ou aeronave de aplicação do dispersante para a seção de mancha selecionada, dando orientações e instruções de quando iniciar e finalizar suas operações.</w:t>
      </w:r>
    </w:p>
    <w:p w14:paraId="462146D9" w14:textId="32EF4E0A" w:rsidR="00290F16" w:rsidRPr="009E316F" w:rsidRDefault="001A0409" w:rsidP="006F18B8">
      <w:pPr>
        <w:pStyle w:val="Heading3"/>
        <w:ind w:left="1224"/>
        <w:rPr>
          <w:lang w:val="pt-BR"/>
        </w:rPr>
      </w:pPr>
      <w:r>
        <w:rPr>
          <w:lang w:val="pt-BR"/>
        </w:rPr>
        <w:t xml:space="preserve"> </w:t>
      </w:r>
      <w:bookmarkStart w:id="169" w:name="_Toc523833899"/>
      <w:r w:rsidR="00CF77CE" w:rsidRPr="009E316F">
        <w:rPr>
          <w:lang w:val="pt-BR"/>
        </w:rPr>
        <w:t>Sistemas de Detecção Automatizados de Óleo</w:t>
      </w:r>
      <w:bookmarkEnd w:id="169"/>
    </w:p>
    <w:p w14:paraId="05A7E03B" w14:textId="77777777" w:rsidR="00B97508" w:rsidRPr="00EE0E12" w:rsidRDefault="00B97508" w:rsidP="005239F6">
      <w:pPr>
        <w:pStyle w:val="tier1Itext"/>
      </w:pPr>
      <w:r w:rsidRPr="00EE0E12">
        <w:t>No que tange a sistemas automatizados de detecção de óleo, é importante lembrar que são considerados métodos indiretos de observação, onde diferentes fenômenos ou formações podem levar a uma interpretação errônea, classif</w:t>
      </w:r>
      <w:r w:rsidR="00BF2A83">
        <w:t>i</w:t>
      </w:r>
      <w:r w:rsidRPr="00EE0E12">
        <w:t xml:space="preserve">cada como um falso positivo. Os </w:t>
      </w:r>
      <w:r w:rsidRPr="00EE0E12">
        <w:rPr>
          <w:i/>
        </w:rPr>
        <w:t>softwares</w:t>
      </w:r>
      <w:r w:rsidRPr="00EE0E12">
        <w:t xml:space="preserve"> de apoio a estes sistemas têm sido melhorados continuamente, mas ainda demandam uma verificação visual e a corroboração de alguém treinado para a ratificação de uma suspeita de existência de óleo no raio operacional dos sensores.</w:t>
      </w:r>
    </w:p>
    <w:p w14:paraId="1451F268" w14:textId="77777777" w:rsidR="00B97508" w:rsidRPr="005239F6" w:rsidRDefault="00B97508"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rPr>
      </w:pPr>
      <w:r w:rsidRPr="005239F6">
        <w:rPr>
          <w:rFonts w:asciiTheme="majorHAnsi" w:hAnsiTheme="majorHAnsi"/>
        </w:rPr>
        <w:t>Radar de Detecção de Óleo</w:t>
      </w:r>
    </w:p>
    <w:p w14:paraId="26CD3163" w14:textId="186A5435" w:rsidR="00B97508" w:rsidRPr="00EE0E12" w:rsidRDefault="00B97508" w:rsidP="005239F6">
      <w:pPr>
        <w:pStyle w:val="tier1Itext"/>
      </w:pPr>
      <w:r w:rsidRPr="00EE0E12">
        <w:t>Equipamento capaz de detectar a presença de óleo na água, no entorno da embarcação em que se encontra instalado, fornecendo informações a respeito das dimensões e inferin</w:t>
      </w:r>
      <w:r w:rsidR="005239F6">
        <w:t>do espessura da mancha de óleo.</w:t>
      </w:r>
      <w:r w:rsidR="00246F01">
        <w:t xml:space="preserve">  </w:t>
      </w:r>
    </w:p>
    <w:p w14:paraId="28EC5FE2" w14:textId="77777777" w:rsidR="00B97508" w:rsidRPr="00EE0E12" w:rsidRDefault="00B97508" w:rsidP="005239F6">
      <w:pPr>
        <w:pStyle w:val="tier1Itext"/>
      </w:pPr>
      <w:r w:rsidRPr="00EE0E12">
        <w:t>O radar de detecção de óleo é capaz de operar em diferentes condições de visibilidade, sendo as informações obtidas de grande valia não só para o monitoramento da mancha, mas também para o apoio no posicionamento das embarcações durante as operações de resposta. Tem um alcance máximo operacional de 4 mn e faixa de melhor eficiência em estado do mar até 5, quando as alturas e quebras das cristas das ondas começam a mascarar os registros de retroespalhamento do radar.</w:t>
      </w:r>
    </w:p>
    <w:p w14:paraId="0F272E6E" w14:textId="77777777" w:rsidR="00B97508" w:rsidRPr="00EE0E12" w:rsidRDefault="00B97508" w:rsidP="005239F6">
      <w:pPr>
        <w:pStyle w:val="tier1Itext"/>
      </w:pPr>
      <w:r w:rsidRPr="00EE0E12">
        <w:t>No caso das atividades da BP Energy na Bacia da Foz do Amazonas, o radar estará presente na embarcação de resposta dedicada.</w:t>
      </w:r>
    </w:p>
    <w:p w14:paraId="6D2CF6D1" w14:textId="36559041" w:rsidR="00B97508" w:rsidRPr="00BF7A95" w:rsidRDefault="0099317E" w:rsidP="00EA2A77">
      <w:pPr>
        <w:pStyle w:val="OCEBullet"/>
        <w:keepNext/>
        <w:keepLines/>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ind w:left="714" w:hanging="357"/>
        <w:rPr>
          <w:rFonts w:asciiTheme="majorHAnsi" w:hAnsiTheme="majorHAnsi"/>
          <w:color w:val="auto"/>
          <w:highlight w:val="lightGray"/>
        </w:rPr>
      </w:pPr>
      <w:r w:rsidRPr="00BF7A95">
        <w:rPr>
          <w:rFonts w:asciiTheme="majorHAnsi" w:hAnsiTheme="majorHAnsi"/>
          <w:color w:val="auto"/>
          <w:highlight w:val="lightGray"/>
        </w:rPr>
        <w:lastRenderedPageBreak/>
        <w:t>Aerostato</w:t>
      </w:r>
    </w:p>
    <w:p w14:paraId="7105AD5A" w14:textId="77777777" w:rsidR="00B97508" w:rsidRPr="005239F6" w:rsidRDefault="00B97508" w:rsidP="005239F6">
      <w:pPr>
        <w:pStyle w:val="tier1Itext"/>
      </w:pPr>
      <w:r w:rsidRPr="00EE0E12">
        <w:t xml:space="preserve">Equipamento de monitoramento de grande portabilidade composto por um balão enchido com hélio, dotado de uma unidade com três sensores capaz de produzir em tempo real imagens georreferenciadas de alta resolução (visível e infravermelho), transmitidas via sistema </w:t>
      </w:r>
      <w:r w:rsidRPr="00EE0E12">
        <w:rPr>
          <w:i/>
        </w:rPr>
        <w:t>wireless</w:t>
      </w:r>
      <w:r w:rsidRPr="00EE0E12">
        <w:t xml:space="preserve"> a um computador localizado na embarcação ou em terra. Ele pode atingir 4 mn de alcance a uma altura de 150 m. As imagens capturadas poderão também ser acessadas pelos membros da IMT via </w:t>
      </w:r>
      <w:r w:rsidRPr="00EE0E12">
        <w:rPr>
          <w:i/>
        </w:rPr>
        <w:t xml:space="preserve">internet, </w:t>
      </w:r>
      <w:r w:rsidRPr="00EE0E12">
        <w:t xml:space="preserve">caso a banda do sistema permita a sua transmissão pela </w:t>
      </w:r>
      <w:r w:rsidRPr="00EE0E12">
        <w:rPr>
          <w:i/>
        </w:rPr>
        <w:t>web</w:t>
      </w:r>
      <w:r w:rsidRPr="00EE0E12">
        <w:t>, aumentando a interação entre as equipes.</w:t>
      </w:r>
    </w:p>
    <w:p w14:paraId="01D85899" w14:textId="3A0AF625" w:rsidR="00B97508" w:rsidRPr="00EE0E12" w:rsidRDefault="00B97508" w:rsidP="005239F6">
      <w:pPr>
        <w:pStyle w:val="tier1Itext"/>
      </w:pPr>
      <w:r w:rsidRPr="00EE0E12">
        <w:t xml:space="preserve"> O </w:t>
      </w:r>
      <w:r w:rsidR="0099317E" w:rsidRPr="00BF7A95">
        <w:rPr>
          <w:highlight w:val="lightGray"/>
        </w:rPr>
        <w:t>aerostato</w:t>
      </w:r>
      <w:r w:rsidRPr="0099317E">
        <w:rPr>
          <w:color w:val="FF0000"/>
        </w:rPr>
        <w:t xml:space="preserve"> </w:t>
      </w:r>
      <w:r w:rsidRPr="00EE0E12">
        <w:t xml:space="preserve">pode operar em diferentes condições de luminosidade e será mantido na base de apoio logístico, podendo ser colocado a bordo de uma embarcação a qualquer momento quando necessário. Também poderá ser deslocado para qualquer ponto da região costeira, de forma a apoiar operações de resposta, quando for o caso. </w:t>
      </w:r>
    </w:p>
    <w:p w14:paraId="5C166149" w14:textId="3F5D47E2" w:rsidR="00B97508" w:rsidRPr="00EE0E12" w:rsidRDefault="00B97508" w:rsidP="00BB36FA">
      <w:pPr>
        <w:pStyle w:val="tier1Itext"/>
        <w:spacing w:before="360"/>
      </w:pPr>
      <w:r w:rsidRPr="00EE0E12">
        <w:t xml:space="preserve">Entretanto, ressalta-se que, mesmo que a embarcação esteja equipada com dispositivos automatizados de rastreamento de manchas de óleo (radar ou </w:t>
      </w:r>
      <w:r w:rsidR="0099317E" w:rsidRPr="00BF7A95">
        <w:rPr>
          <w:highlight w:val="lightGray"/>
        </w:rPr>
        <w:t>aerostato</w:t>
      </w:r>
      <w:r w:rsidRPr="00EE0E12">
        <w:t>), o incremento do estado do mar pode criar falsos registros positivos, em função do mais intenso retroespalhamento difuso das ondas dos si</w:t>
      </w:r>
      <w:r w:rsidR="005239F6">
        <w:t>stemas de rastreamento (radar).</w:t>
      </w:r>
      <w:r w:rsidR="00273FEB">
        <w:t xml:space="preserve"> Da mesma forma, ainda que estes dispositivos </w:t>
      </w:r>
      <w:r w:rsidR="00273FEB" w:rsidRPr="00EE0E12">
        <w:t>permitam a observação e o monitoramento durante os períodos noturnos</w:t>
      </w:r>
      <w:r w:rsidR="00273FEB">
        <w:t>, isto não garante a eficiência da operação de recolhimento nestes períodos, devendo ser criteriosame</w:t>
      </w:r>
      <w:r w:rsidR="00B37F6A">
        <w:t>nte avaliada a sua pertinência.</w:t>
      </w:r>
    </w:p>
    <w:p w14:paraId="619F0B41" w14:textId="7E87986B" w:rsidR="00290F16" w:rsidRPr="00EE16FF" w:rsidRDefault="001A0409" w:rsidP="006F18B8">
      <w:pPr>
        <w:pStyle w:val="Heading3"/>
        <w:ind w:left="1224"/>
        <w:rPr>
          <w:lang w:val="pt-BR"/>
        </w:rPr>
      </w:pPr>
      <w:r>
        <w:rPr>
          <w:lang w:val="pt-BR"/>
        </w:rPr>
        <w:t xml:space="preserve"> </w:t>
      </w:r>
      <w:bookmarkStart w:id="170" w:name="_Toc523833900"/>
      <w:r w:rsidR="00EE16FF" w:rsidRPr="00EE16FF">
        <w:rPr>
          <w:lang w:val="pt-BR"/>
        </w:rPr>
        <w:t>Bóia</w:t>
      </w:r>
      <w:r w:rsidR="003B5C96" w:rsidRPr="00EE16FF">
        <w:rPr>
          <w:lang w:val="pt-BR"/>
        </w:rPr>
        <w:t>s de Deriva (Drifting Buoys)</w:t>
      </w:r>
      <w:bookmarkEnd w:id="170"/>
    </w:p>
    <w:p w14:paraId="2D7F9F5F" w14:textId="77777777" w:rsidR="00B97508" w:rsidRPr="00EE0E12" w:rsidRDefault="00B97508" w:rsidP="005239F6">
      <w:pPr>
        <w:pStyle w:val="tier1Itext"/>
      </w:pPr>
      <w:r w:rsidRPr="00EE0E12">
        <w:t xml:space="preserve">Os derivadores, ou </w:t>
      </w:r>
      <w:r w:rsidR="00273FEB" w:rsidRPr="00EE0E12">
        <w:t>b</w:t>
      </w:r>
      <w:r w:rsidR="00273FEB">
        <w:t>ó</w:t>
      </w:r>
      <w:r w:rsidR="00273FEB" w:rsidRPr="00EE0E12">
        <w:t xml:space="preserve">ias </w:t>
      </w:r>
      <w:r w:rsidRPr="00EE0E12">
        <w:t>de deriva (</w:t>
      </w:r>
      <w:r w:rsidRPr="00EE0E12">
        <w:rPr>
          <w:i/>
        </w:rPr>
        <w:t>drifting buoys</w:t>
      </w:r>
      <w:r w:rsidRPr="00EE0E12">
        <w:t xml:space="preserve">), consistem em </w:t>
      </w:r>
      <w:r w:rsidR="00273FEB">
        <w:t>flutuadores</w:t>
      </w:r>
      <w:r w:rsidR="00273FEB" w:rsidRPr="00EE0E12">
        <w:t xml:space="preserve"> dotad</w:t>
      </w:r>
      <w:r w:rsidR="00273FEB">
        <w:t>o</w:t>
      </w:r>
      <w:r w:rsidR="00273FEB" w:rsidRPr="00EE0E12">
        <w:t xml:space="preserve">s </w:t>
      </w:r>
      <w:r w:rsidRPr="00EE0E12">
        <w:t>de rastreadores monitorados por satélite, projetados especificamente para simular a deriva do óleo na superfície do mar (</w:t>
      </w:r>
      <w:r w:rsidRPr="00EE0E12">
        <w:rPr>
          <w:b/>
        </w:rPr>
        <w:fldChar w:fldCharType="begin"/>
      </w:r>
      <w:r w:rsidRPr="00EE0E12">
        <w:rPr>
          <w:b/>
        </w:rPr>
        <w:instrText xml:space="preserve"> REF _Ref412807892 \h  \* MERGEFORMAT </w:instrText>
      </w:r>
      <w:r w:rsidRPr="00EE0E12">
        <w:rPr>
          <w:b/>
        </w:rPr>
      </w:r>
      <w:r w:rsidRPr="00EE0E12">
        <w:rPr>
          <w:b/>
        </w:rPr>
        <w:fldChar w:fldCharType="separate"/>
      </w:r>
      <w:r w:rsidR="00246F01" w:rsidRPr="00246F01">
        <w:rPr>
          <w:b/>
        </w:rPr>
        <w:t xml:space="preserve">Figura </w:t>
      </w:r>
      <w:r w:rsidR="00246F01" w:rsidRPr="00246F01">
        <w:rPr>
          <w:b/>
          <w:noProof/>
        </w:rPr>
        <w:t>13</w:t>
      </w:r>
      <w:r w:rsidRPr="00EE0E12">
        <w:rPr>
          <w:b/>
        </w:rPr>
        <w:fldChar w:fldCharType="end"/>
      </w:r>
      <w:r w:rsidRPr="00EE0E12">
        <w:t>). Estes dispositivos devem ser lançados sobre a mancha de óleo pelos coordenadores de resposta a bordo das embarcações, respeitando as orientações do fabricante.</w:t>
      </w:r>
    </w:p>
    <w:p w14:paraId="1411C26D" w14:textId="77777777" w:rsidR="00B97508" w:rsidRPr="005239F6" w:rsidRDefault="00B97508" w:rsidP="005239F6">
      <w:pPr>
        <w:pStyle w:val="tier1Itext"/>
        <w:spacing w:before="0" w:after="0" w:line="240" w:lineRule="auto"/>
        <w:jc w:val="center"/>
      </w:pPr>
      <w:r w:rsidRPr="00EE0E12">
        <w:rPr>
          <w:noProof/>
          <w:lang w:val="en-US"/>
        </w:rPr>
        <w:lastRenderedPageBreak/>
        <w:drawing>
          <wp:inline distT="0" distB="0" distL="0" distR="0" wp14:anchorId="1FC17143" wp14:editId="5B22CD10">
            <wp:extent cx="2875812" cy="2160000"/>
            <wp:effectExtent l="0" t="0" r="1270" b="0"/>
            <wp:docPr id="12" name="Imagem 12" descr="C:\Users\lucas.fantinato\Desktop\boia_ispher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ucas.fantinato\Desktop\boia_isphere_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75812" cy="2160000"/>
                    </a:xfrm>
                    <a:prstGeom prst="rect">
                      <a:avLst/>
                    </a:prstGeom>
                    <a:noFill/>
                    <a:ln>
                      <a:noFill/>
                    </a:ln>
                  </pic:spPr>
                </pic:pic>
              </a:graphicData>
            </a:graphic>
          </wp:inline>
        </w:drawing>
      </w:r>
    </w:p>
    <w:p w14:paraId="085C8AF2" w14:textId="4DACC219" w:rsidR="00B97508" w:rsidRPr="005239F6" w:rsidRDefault="00B97508" w:rsidP="005239F6">
      <w:pPr>
        <w:pStyle w:val="Caption"/>
        <w:keepNext w:val="0"/>
        <w:spacing w:before="0" w:after="0" w:line="240" w:lineRule="auto"/>
      </w:pPr>
      <w:bookmarkStart w:id="171" w:name="_Ref412807892"/>
      <w:bookmarkStart w:id="172" w:name="_Toc412812288"/>
      <w:bookmarkStart w:id="173" w:name="_Toc523833978"/>
      <w:r w:rsidRPr="005239F6">
        <w:t xml:space="preserve">Figura </w:t>
      </w:r>
      <w:fldSimple w:instr=" SEQ Figura \* ARABIC ">
        <w:r w:rsidR="00246F01">
          <w:rPr>
            <w:noProof/>
          </w:rPr>
          <w:t>13</w:t>
        </w:r>
      </w:fldSimple>
      <w:bookmarkEnd w:id="171"/>
      <w:r w:rsidRPr="005239F6">
        <w:t xml:space="preserve">: Exemplo de </w:t>
      </w:r>
      <w:r w:rsidR="00EE16FF">
        <w:t>Bóia</w:t>
      </w:r>
      <w:r w:rsidRPr="005239F6">
        <w:t xml:space="preserve"> de deriva (</w:t>
      </w:r>
      <w:r w:rsidRPr="005239F6">
        <w:rPr>
          <w:i/>
        </w:rPr>
        <w:t>drifting buoy</w:t>
      </w:r>
      <w:r w:rsidRPr="005239F6">
        <w:t xml:space="preserve">). (Fonte: Prooceano, </w:t>
      </w:r>
      <w:r w:rsidRPr="00BC431A">
        <w:t>2015)</w:t>
      </w:r>
      <w:bookmarkEnd w:id="172"/>
      <w:r w:rsidR="00BF2A83" w:rsidRPr="00BC431A">
        <w:t>.</w:t>
      </w:r>
      <w:bookmarkEnd w:id="173"/>
    </w:p>
    <w:p w14:paraId="614B13FE" w14:textId="77777777" w:rsidR="00B97508" w:rsidRPr="00EE0E12" w:rsidRDefault="00B97508" w:rsidP="00BB36FA">
      <w:pPr>
        <w:pStyle w:val="tier1Itext"/>
        <w:spacing w:before="360"/>
      </w:pPr>
      <w:r w:rsidRPr="00EE0E12">
        <w:t xml:space="preserve">A embarcação dedicada para a operação no Bloco FZA-M-59 terá cinco </w:t>
      </w:r>
      <w:r w:rsidR="00273FEB" w:rsidRPr="00EE0E12">
        <w:t>b</w:t>
      </w:r>
      <w:r w:rsidR="00273FEB">
        <w:t>ó</w:t>
      </w:r>
      <w:r w:rsidR="00273FEB" w:rsidRPr="00EE0E12">
        <w:t xml:space="preserve">ias </w:t>
      </w:r>
      <w:r w:rsidRPr="00EE0E12">
        <w:t xml:space="preserve">de rastreamento de superfície para derramamento de óleo a bordo, prontas para ser ativadas, em caso de vazamento. Em complemento, a base de apoio também terá um conjunto de 5 </w:t>
      </w:r>
      <w:r w:rsidR="00273FEB" w:rsidRPr="00EE0E12">
        <w:t>b</w:t>
      </w:r>
      <w:r w:rsidR="00273FEB">
        <w:t>ó</w:t>
      </w:r>
      <w:r w:rsidR="00273FEB" w:rsidRPr="00EE0E12">
        <w:t>ias</w:t>
      </w:r>
      <w:r w:rsidRPr="00EE0E12">
        <w:t>, que poderão ser embarcadas em qualquer um dos PSVs, caso seja necessário.</w:t>
      </w:r>
    </w:p>
    <w:p w14:paraId="184AEC50" w14:textId="77777777" w:rsidR="00B97508" w:rsidRPr="00EE0E12" w:rsidRDefault="00B97508" w:rsidP="005239F6">
      <w:pPr>
        <w:pStyle w:val="tier1Itext"/>
      </w:pPr>
      <w:r w:rsidRPr="00EE0E12">
        <w:t xml:space="preserve">A BP Energy tem um provedor de serviços sob contrato que possui </w:t>
      </w:r>
      <w:r w:rsidR="00273FEB" w:rsidRPr="00EE0E12">
        <w:t>b</w:t>
      </w:r>
      <w:r w:rsidR="00273FEB">
        <w:t>ó</w:t>
      </w:r>
      <w:r w:rsidR="00273FEB" w:rsidRPr="00EE0E12">
        <w:t xml:space="preserve">ias </w:t>
      </w:r>
      <w:r w:rsidRPr="00EE0E12">
        <w:t>de superfície (que se movimenta simulando manchas superficiais, com influência direta do vento local) e subsuperficiais (que se movimenta em torno de 1 a 2 m abaixo da superfície do mar, sem a influência direta do vento local</w:t>
      </w:r>
      <w:r w:rsidRPr="00EE0E12">
        <w:rPr>
          <w:rStyle w:val="FootnoteReference"/>
          <w:rFonts w:cstheme="majorHAnsi"/>
          <w:szCs w:val="22"/>
        </w:rPr>
        <w:footnoteReference w:id="35"/>
      </w:r>
      <w:r w:rsidRPr="00EE0E12">
        <w:t xml:space="preserve">) em estoque suficiente, caso o incidente demande mais deste tipo de equipamento. Os membros da Unidade de RC&amp;E são os responsáveis pelo contato direto com o fornecedor e pelo processamento das informações geradas pelas </w:t>
      </w:r>
      <w:r w:rsidR="00273FEB" w:rsidRPr="00EE0E12">
        <w:t>b</w:t>
      </w:r>
      <w:r w:rsidR="00273FEB">
        <w:t>ó</w:t>
      </w:r>
      <w:r w:rsidR="00273FEB" w:rsidRPr="00EE0E12">
        <w:t>ias</w:t>
      </w:r>
      <w:r w:rsidRPr="00EE0E12">
        <w:t>.</w:t>
      </w:r>
    </w:p>
    <w:p w14:paraId="0D588844" w14:textId="2553E5C8" w:rsidR="00B97508" w:rsidRPr="00EE0E12" w:rsidRDefault="00B97508" w:rsidP="005239F6">
      <w:pPr>
        <w:pStyle w:val="tier1Itext"/>
      </w:pPr>
      <w:r w:rsidRPr="00EE0E12">
        <w:t>As tripulações são treinadas na ativação (e desativação) correta dos dispositivos e em realizar o esquema de lançamento específico, considerando a circunscrição da parte superior da mancha</w:t>
      </w:r>
      <w:r w:rsidR="00246F01">
        <w:t>.</w:t>
      </w:r>
      <w:r w:rsidRPr="00EE0E12">
        <w:t xml:space="preserve"> </w:t>
      </w:r>
    </w:p>
    <w:p w14:paraId="5FBD1551" w14:textId="575BB214" w:rsidR="00B97508" w:rsidRPr="00EE0E12" w:rsidRDefault="00B97508" w:rsidP="00121F26">
      <w:pPr>
        <w:pStyle w:val="tier1Itext"/>
        <w:spacing w:before="360"/>
      </w:pPr>
      <w:r w:rsidRPr="00EE0E12">
        <w:lastRenderedPageBreak/>
        <w:t xml:space="preserve">A frequência de transmissão de cada </w:t>
      </w:r>
      <w:r w:rsidR="00273FEB" w:rsidRPr="00EE0E12">
        <w:t>b</w:t>
      </w:r>
      <w:r w:rsidR="00273FEB">
        <w:t>ó</w:t>
      </w:r>
      <w:r w:rsidR="00273FEB" w:rsidRPr="00EE0E12">
        <w:t xml:space="preserve">ia </w:t>
      </w:r>
      <w:r w:rsidRPr="00EE0E12">
        <w:t xml:space="preserve">para o satélite (que define o intervalo de tempo entre duas posições subsequentes da </w:t>
      </w:r>
      <w:r w:rsidR="00273FEB" w:rsidRPr="00EE0E12">
        <w:t>b</w:t>
      </w:r>
      <w:r w:rsidR="00273FEB">
        <w:t>ó</w:t>
      </w:r>
      <w:r w:rsidR="00273FEB" w:rsidRPr="00EE0E12">
        <w:t>ia</w:t>
      </w:r>
      <w:r w:rsidRPr="00EE0E12">
        <w:t xml:space="preserve">) pode ser ajustado entre 15 minutos e 2 horas, dependendo da finalidade da vigilância. É importante levar em consideração que um período menor de transmissão terá impacto sobre a carga da bateria do equipamento, reduzindo o período de seu funcionamento no mar. Normalmente, uma carga completa da bateria, transmitindo a cada 15 minutos, pode durar </w:t>
      </w:r>
      <w:r w:rsidR="002B1821">
        <w:t xml:space="preserve">de quatro </w:t>
      </w:r>
      <w:r w:rsidRPr="00EE0E12">
        <w:t>até seis meses (média) no mar.</w:t>
      </w:r>
    </w:p>
    <w:p w14:paraId="73E7B7E3" w14:textId="77777777" w:rsidR="00B97508" w:rsidRPr="00EE0E12" w:rsidRDefault="00B97508" w:rsidP="005239F6">
      <w:pPr>
        <w:pStyle w:val="tier1Itext"/>
      </w:pPr>
      <w:r w:rsidRPr="00EE0E12">
        <w:t xml:space="preserve">Também é importante considerar o atraso na transmissão e processamento do sinal do sistema de satélite na atualização da posição das </w:t>
      </w:r>
      <w:r w:rsidR="00273FEB" w:rsidRPr="00EE0E12">
        <w:t>b</w:t>
      </w:r>
      <w:r w:rsidR="00273FEB">
        <w:t>ó</w:t>
      </w:r>
      <w:r w:rsidR="00273FEB" w:rsidRPr="00EE0E12">
        <w:t xml:space="preserve">ias </w:t>
      </w:r>
      <w:r w:rsidRPr="00EE0E12">
        <w:t>de monitoramento na tela da página do provedor de serviço</w:t>
      </w:r>
      <w:r w:rsidRPr="00EE0E12">
        <w:rPr>
          <w:rStyle w:val="FootnoteReference"/>
          <w:rFonts w:cstheme="majorHAnsi"/>
          <w:szCs w:val="22"/>
        </w:rPr>
        <w:footnoteReference w:id="36"/>
      </w:r>
      <w:r w:rsidRPr="00EE0E12">
        <w:t>.</w:t>
      </w:r>
    </w:p>
    <w:p w14:paraId="1B867C26" w14:textId="77777777" w:rsidR="00B97508" w:rsidRPr="00EE0E12" w:rsidRDefault="00B97508" w:rsidP="005239F6">
      <w:pPr>
        <w:pStyle w:val="tier1Itext"/>
      </w:pPr>
      <w:r w:rsidRPr="00EE0E12">
        <w:t xml:space="preserve">O uso deste tipo de dispositivo de rastreamento é uma alternativa confiável para o acompanhamento do deslocamento da mancha, principalmente quando as condições de tempo vigentes restringem o monitoramento visual por embarcação ou aeronave e mesmo durante o período noturno. Também contribui </w:t>
      </w:r>
      <w:r w:rsidRPr="00971AC0">
        <w:t>com medições lagrangianas atuais</w:t>
      </w:r>
      <w:r w:rsidRPr="00EE0E12">
        <w:t xml:space="preserve"> do campo de correntes superficial para a recalibração dos modelos de previsão de dispersão e deslocamento de vazamentos de óleo continuamente durante e após o vazamento, como exigido pelos requisitos Corporativos </w:t>
      </w:r>
      <w:r w:rsidR="005239F6">
        <w:t>da BP para este tipo de modelo.</w:t>
      </w:r>
    </w:p>
    <w:p w14:paraId="11557AE0" w14:textId="189046A7" w:rsidR="00B97508" w:rsidRPr="00EE0E12" w:rsidRDefault="00B97508" w:rsidP="005239F6">
      <w:pPr>
        <w:pStyle w:val="tier1Itext"/>
      </w:pPr>
      <w:r w:rsidRPr="00EE0E12">
        <w:t xml:space="preserve">A deriva em zonas eminentemente oceânicas e o modelo da </w:t>
      </w:r>
      <w:r w:rsidR="00273FEB" w:rsidRPr="00EE0E12">
        <w:t>b</w:t>
      </w:r>
      <w:r w:rsidR="00273FEB">
        <w:t>ó</w:t>
      </w:r>
      <w:r w:rsidR="00273FEB" w:rsidRPr="00EE0E12">
        <w:t xml:space="preserve">ia </w:t>
      </w:r>
      <w:r w:rsidRPr="00EE0E12">
        <w:t>(que a faz derivar como a mancha de óleo, balanceando o efeito de arrasto do vento) permite projetar que nenhuma d</w:t>
      </w:r>
      <w:r w:rsidR="00273FEB">
        <w:t>el</w:t>
      </w:r>
      <w:r w:rsidRPr="00EE0E12">
        <w:t>as</w:t>
      </w:r>
      <w:r w:rsidR="00273FEB" w:rsidRPr="00EE0E12">
        <w:t xml:space="preserve"> </w:t>
      </w:r>
      <w:r w:rsidRPr="00EE0E12">
        <w:t>deverá ser recuperada, não devendo ser reconsideradas nos cálculos do</w:t>
      </w:r>
      <w:r w:rsidR="005239F6">
        <w:t>s quantitativos a serem usados.</w:t>
      </w:r>
    </w:p>
    <w:p w14:paraId="17579847" w14:textId="37276CD9" w:rsidR="00290F16" w:rsidRPr="009E316F" w:rsidRDefault="001A0409" w:rsidP="006F18B8">
      <w:pPr>
        <w:pStyle w:val="Heading3"/>
        <w:ind w:left="1224"/>
        <w:rPr>
          <w:lang w:val="pt-BR"/>
        </w:rPr>
      </w:pPr>
      <w:r>
        <w:rPr>
          <w:lang w:val="pt-BR"/>
        </w:rPr>
        <w:t xml:space="preserve"> </w:t>
      </w:r>
      <w:bookmarkStart w:id="174" w:name="_Toc523833901"/>
      <w:r w:rsidR="003B5C96" w:rsidRPr="009E316F">
        <w:rPr>
          <w:lang w:val="pt-BR"/>
        </w:rPr>
        <w:t>Sensoriamento Remoto por Imagens de Satélite</w:t>
      </w:r>
      <w:bookmarkEnd w:id="174"/>
    </w:p>
    <w:p w14:paraId="1679986A" w14:textId="77777777" w:rsidR="00B97508" w:rsidRPr="00EE0E12" w:rsidRDefault="00B97508" w:rsidP="005239F6">
      <w:pPr>
        <w:pStyle w:val="tier1Itext"/>
      </w:pPr>
      <w:r w:rsidRPr="00EE0E12">
        <w:t>A presente técnica de monitoramento consiste na utilização de imagens de satélite para detectar e monitora</w:t>
      </w:r>
      <w:r w:rsidR="005239F6">
        <w:t>r derramamentos de óleo no mar.</w:t>
      </w:r>
    </w:p>
    <w:p w14:paraId="51D8CBF6" w14:textId="77777777" w:rsidR="00B97508" w:rsidRPr="00EE0E12" w:rsidRDefault="00B97508" w:rsidP="005239F6">
      <w:pPr>
        <w:pStyle w:val="tier1Itext"/>
      </w:pPr>
      <w:r w:rsidRPr="00EE0E12">
        <w:t>Para que as imagens de satélite sejam eficazes para a vigilância de um vazamento de óleo, três critérios básicos devem ser atendidos:</w:t>
      </w:r>
    </w:p>
    <w:p w14:paraId="051571B7"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O sensor de satélite deve ser capaz de detectar o vazamento/mancha e suas alterações posteriores;</w:t>
      </w:r>
    </w:p>
    <w:p w14:paraId="22B828B0"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lastRenderedPageBreak/>
        <w:t xml:space="preserve">O satélite deve ter uma cobertura confiável e frequente sobre a área afetada; e </w:t>
      </w:r>
    </w:p>
    <w:p w14:paraId="0DFDAC0D" w14:textId="77777777" w:rsidR="00B97508" w:rsidRPr="00EE0E12" w:rsidRDefault="00B9750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 xml:space="preserve">O programa de processamento das imagens do satélite e a expertise do </w:t>
      </w:r>
      <w:r w:rsidR="00273FEB">
        <w:rPr>
          <w:rFonts w:asciiTheme="majorHAnsi" w:hAnsiTheme="majorHAnsi"/>
        </w:rPr>
        <w:t>i</w:t>
      </w:r>
      <w:r w:rsidRPr="00EE0E12">
        <w:rPr>
          <w:rFonts w:asciiTheme="majorHAnsi" w:hAnsiTheme="majorHAnsi"/>
        </w:rPr>
        <w:t>nterpretador devem ser capazes de fornecer os produtos para o usuário final em tempo hábil.</w:t>
      </w:r>
    </w:p>
    <w:p w14:paraId="57BE2678" w14:textId="77777777" w:rsidR="00B97508" w:rsidRPr="00EE0E12" w:rsidRDefault="00B97508" w:rsidP="005239F6">
      <w:pPr>
        <w:pStyle w:val="tier1Itext"/>
      </w:pPr>
      <w:r w:rsidRPr="00EE0E12">
        <w:t xml:space="preserve">Considerando isso, as manchas de óleo podem ser rastreadas por duas tecnologias diferentes de imagens de satélite: (i) imagens do </w:t>
      </w:r>
      <w:r w:rsidRPr="00EE0E12">
        <w:rPr>
          <w:b/>
        </w:rPr>
        <w:t>Radar de</w:t>
      </w:r>
      <w:r w:rsidRPr="00EE0E12">
        <w:t xml:space="preserve"> </w:t>
      </w:r>
      <w:r w:rsidRPr="00EE0E12">
        <w:rPr>
          <w:b/>
        </w:rPr>
        <w:t xml:space="preserve">Abertura Sintética </w:t>
      </w:r>
      <w:r w:rsidRPr="00EE0E12">
        <w:t>(do inglês</w:t>
      </w:r>
      <w:r w:rsidR="00BF2A83">
        <w:t>,</w:t>
      </w:r>
      <w:r w:rsidRPr="00EE0E12">
        <w:t xml:space="preserve"> </w:t>
      </w:r>
      <w:r w:rsidRPr="00EE0E12">
        <w:rPr>
          <w:i/>
        </w:rPr>
        <w:t>Synthetic Aperture Radar</w:t>
      </w:r>
      <w:r w:rsidRPr="00EE0E12">
        <w:t xml:space="preserve"> – </w:t>
      </w:r>
      <w:r w:rsidRPr="00EE0E12">
        <w:rPr>
          <w:b/>
        </w:rPr>
        <w:t>SAR</w:t>
      </w:r>
      <w:r w:rsidRPr="00EE0E12">
        <w:t xml:space="preserve">), indicada como a mais apropriada para este objetivo, cobrindo a região da Foz do Amazonas de uma a duas vezes por dia; e (ii) imagens de satélite </w:t>
      </w:r>
      <w:r w:rsidRPr="00EE0E12">
        <w:rPr>
          <w:b/>
        </w:rPr>
        <w:t>MODIS</w:t>
      </w:r>
      <w:r w:rsidRPr="00EE0E12">
        <w:t xml:space="preserve"> (ou </w:t>
      </w:r>
      <w:r w:rsidRPr="00EE0E12">
        <w:rPr>
          <w:i/>
        </w:rPr>
        <w:t>Moderate Resolution Imaging Spectroradiometer</w:t>
      </w:r>
      <w:r w:rsidRPr="00EE0E12">
        <w:t>), que cobre a região uma vez a cada dois ou três dias.</w:t>
      </w:r>
    </w:p>
    <w:p w14:paraId="6400B35E" w14:textId="77777777" w:rsidR="00B97508" w:rsidRPr="00EE0E12" w:rsidRDefault="00B97508" w:rsidP="00121F26">
      <w:pPr>
        <w:pStyle w:val="tier1Itext"/>
        <w:spacing w:before="360"/>
      </w:pPr>
      <w:r w:rsidRPr="00EE0E12">
        <w:t>Outro elemento interessante na operação com satélites com tecnologia SAR é que, durante um incidente de vazamento de óleo declarado (considerado uma "emergência declarada"), o evento recebe prioridade na programação dos satélites em órbita, depois da própria integridade do satélite, tornando mais ágil o início da aquisição das imagen</w:t>
      </w:r>
      <w:r w:rsidR="005368E7">
        <w:t>s de vigilância.</w:t>
      </w:r>
    </w:p>
    <w:p w14:paraId="06E378FB" w14:textId="77777777" w:rsidR="00B97508" w:rsidRPr="00EE0E12" w:rsidRDefault="00B97508" w:rsidP="005368E7">
      <w:pPr>
        <w:pStyle w:val="tier1Itext"/>
      </w:pPr>
      <w:r w:rsidRPr="00EE0E12">
        <w:t xml:space="preserve">O aspecto mais importante ao qual se deve atentar é que a imagem de vigilância de satélite deve ser sempre calibrada com informações locais visuais, o que permitirá que os ajustes adequados sejam feitos no </w:t>
      </w:r>
      <w:r w:rsidRPr="00EE0E12">
        <w:rPr>
          <w:i/>
        </w:rPr>
        <w:t>software</w:t>
      </w:r>
      <w:r w:rsidRPr="00EE0E12">
        <w:t xml:space="preserve"> de processamento desta imagem. Mesmo o uso de imagens MODIS deve ser associado a outras informações obtidas no processo de observação, como uma verificação cruzada com imagens SAR, a fim de evitar interpretações erradas ou aplicações indevidas de ferramentas dos programas de tratamento de imagens quando a feição da mancha de óleo não </w:t>
      </w:r>
      <w:r w:rsidR="005368E7">
        <w:t>é tão claramente identificável.</w:t>
      </w:r>
    </w:p>
    <w:p w14:paraId="5FA4D6AD" w14:textId="77777777" w:rsidR="00B97508" w:rsidRPr="00EE0E12" w:rsidRDefault="00B97508" w:rsidP="005368E7">
      <w:pPr>
        <w:pStyle w:val="tier1Itext"/>
      </w:pPr>
      <w:r w:rsidRPr="00EE0E12">
        <w:t>Assim sendo a BP mantém contrato global com a empresa K-SAT, que fornece relatórios periódicos com imagens de passagens de satélites com tecnologia SAR escolhidas pelos especialistas da BP Energy. A nível local, este contrato, bem como a sua ativação, é de responsabilidade do Coordenador de Gerenciamento de Crise e Continuidade e Resposta à Emergência (CCMER C</w:t>
      </w:r>
      <w:r w:rsidRPr="00EE0E12">
        <w:rPr>
          <w:i/>
        </w:rPr>
        <w:t>oordinator</w:t>
      </w:r>
      <w:r w:rsidRPr="00EE0E12">
        <w:t>). Durante uma resposta à emergência, o contato técnico com a empresa de satélite é feito por um membro da Unidade de RC&amp;E.</w:t>
      </w:r>
    </w:p>
    <w:p w14:paraId="51CC8C1B" w14:textId="77777777" w:rsidR="00B97508" w:rsidRPr="00EE0E12" w:rsidRDefault="00B97508" w:rsidP="005368E7">
      <w:pPr>
        <w:pStyle w:val="tier1Itext"/>
      </w:pPr>
      <w:r w:rsidRPr="00EE0E12">
        <w:t>A BP Energy mantém um procedimento relacionado ao monitoramento por imagens de satélite que visa garantir uma maior eficiência no uso desta ferramenta durante o período de atividade de perfuração em seus blocos, a saber:</w:t>
      </w:r>
    </w:p>
    <w:p w14:paraId="2F27B8CF" w14:textId="77777777" w:rsidR="00B97508" w:rsidRPr="00EE0E12" w:rsidRDefault="00B97508" w:rsidP="00EA2A77">
      <w:pPr>
        <w:pStyle w:val="tier1Itext"/>
        <w:numPr>
          <w:ilvl w:val="0"/>
          <w:numId w:val="18"/>
        </w:numPr>
        <w:spacing w:after="0"/>
        <w:ind w:left="714" w:hanging="357"/>
      </w:pPr>
      <w:r w:rsidRPr="00EE0E12">
        <w:t>Inicialmente é solicitado a K-SAT o envio da programação dos satélites no período desejado, a fim de definir as melhores passagens sobre a área de interesse. Assim, define-se um cardápio inicial de imagens a serem contratadas, o que é periodicamente revisitado.</w:t>
      </w:r>
    </w:p>
    <w:p w14:paraId="21E99E3D" w14:textId="77777777" w:rsidR="00B97508" w:rsidRPr="00EE0E12" w:rsidRDefault="00B97508" w:rsidP="00EA2A77">
      <w:pPr>
        <w:pStyle w:val="tier1Itext"/>
        <w:numPr>
          <w:ilvl w:val="0"/>
          <w:numId w:val="18"/>
        </w:numPr>
        <w:spacing w:before="0" w:after="0"/>
        <w:ind w:left="714" w:hanging="357"/>
      </w:pPr>
      <w:r w:rsidRPr="00EE0E12">
        <w:lastRenderedPageBreak/>
        <w:t>O monitoramento inicia-se com a coleta semanal de imagens da área de interesse cerca de um a dois meses antes do início da atividade, no modo mais amplo de varredura, de forma a prover de registros reais os interpretadores que estarão avaliando estas imagens e levantar informações da área quanto à ocorrência de vazamentos naturais ou não;</w:t>
      </w:r>
    </w:p>
    <w:p w14:paraId="1A68571D" w14:textId="70DB063E" w:rsidR="00B97508" w:rsidRPr="00EE0E12" w:rsidRDefault="00B97508" w:rsidP="00EA2A77">
      <w:pPr>
        <w:pStyle w:val="tier1Itext"/>
        <w:numPr>
          <w:ilvl w:val="0"/>
          <w:numId w:val="18"/>
        </w:numPr>
        <w:spacing w:before="0" w:after="0"/>
        <w:ind w:left="714" w:hanging="357"/>
      </w:pPr>
      <w:r w:rsidRPr="00EE0E12">
        <w:t xml:space="preserve">Durante o período inicial de perfuração, as imagens são coletadas também com </w:t>
      </w:r>
      <w:r w:rsidR="00BF2A83" w:rsidRPr="00EE0E12">
        <w:t>frequência</w:t>
      </w:r>
      <w:r w:rsidRPr="00EE0E12">
        <w:t xml:space="preserve"> semanal, mas com varredura mais refinada (</w:t>
      </w:r>
      <w:r w:rsidR="001A0409">
        <w:t>menor cobertura e mais detalhamento</w:t>
      </w:r>
      <w:r w:rsidRPr="00EE0E12">
        <w:t xml:space="preserve">), para monitoramento específico do bloco e da região da perfuração. Esta frequência contribui para a continuação do aumento do conhecimento do padrão local pelo interpretador e melhor calibração do </w:t>
      </w:r>
      <w:r w:rsidR="00BF2A83" w:rsidRPr="00EE0E12">
        <w:t>algoritmo</w:t>
      </w:r>
      <w:r w:rsidRPr="00EE0E12">
        <w:t xml:space="preserve"> identificador de possíveis vazamentos na região de interesse;</w:t>
      </w:r>
    </w:p>
    <w:p w14:paraId="2FE2BBEB" w14:textId="77777777" w:rsidR="00B97508" w:rsidRPr="00EE0E12" w:rsidRDefault="00B97508" w:rsidP="00EA2A77">
      <w:pPr>
        <w:pStyle w:val="tier1Itext"/>
        <w:numPr>
          <w:ilvl w:val="0"/>
          <w:numId w:val="18"/>
        </w:numPr>
        <w:spacing w:before="0" w:after="0"/>
        <w:ind w:left="714" w:hanging="357"/>
      </w:pPr>
      <w:r w:rsidRPr="00EE0E12">
        <w:t>Quando a perfuração entra na zona prevista da camada objetivo, a frequência é alterada para diária, o que permite um melhor acompanhamento e a garantia do imageamento da região na programação do satélite, mesmo não considerando o procedimento de “emergência declarada”. Caso o poço não registre camada portadora de óleo, o imageamento retorna à frequência semanal;</w:t>
      </w:r>
    </w:p>
    <w:p w14:paraId="284FEBAE" w14:textId="77777777" w:rsidR="00B97508" w:rsidRPr="00EE0E12" w:rsidRDefault="00B97508" w:rsidP="00EA2A77">
      <w:pPr>
        <w:pStyle w:val="tier1Itext"/>
        <w:numPr>
          <w:ilvl w:val="0"/>
          <w:numId w:val="18"/>
        </w:numPr>
        <w:spacing w:before="0"/>
        <w:ind w:left="714" w:hanging="357"/>
      </w:pPr>
      <w:r w:rsidRPr="00EE0E12">
        <w:t>Ao final da perfuração, no caso de registro de camada portadora de óleo, após o tamponamento e abandono do poço, ainda são coletadas mais três imagens: (i) uma logo após o abandono; (ii) outra uma semana depois e (iii) outra um mês depois do abandono. Isto permite registrar a ausência de vazamentos nos curto e longo intervalos após o fechamento e abandono do poço.</w:t>
      </w:r>
    </w:p>
    <w:p w14:paraId="1D114CBA" w14:textId="0B0AC4AA" w:rsidR="00290F16" w:rsidRPr="009E316F" w:rsidRDefault="001A0409" w:rsidP="006F18B8">
      <w:pPr>
        <w:pStyle w:val="Heading3"/>
        <w:ind w:left="1224"/>
        <w:rPr>
          <w:lang w:val="pt-BR"/>
        </w:rPr>
      </w:pPr>
      <w:r>
        <w:rPr>
          <w:lang w:val="pt-BR"/>
        </w:rPr>
        <w:t xml:space="preserve"> </w:t>
      </w:r>
      <w:bookmarkStart w:id="175" w:name="_Toc523833902"/>
      <w:r w:rsidR="00290F16" w:rsidRPr="009E316F">
        <w:rPr>
          <w:lang w:val="pt-BR"/>
        </w:rPr>
        <w:t>Modelagem de Dispersão e Deriva de Óleo</w:t>
      </w:r>
      <w:bookmarkEnd w:id="175"/>
    </w:p>
    <w:p w14:paraId="3BB93F3B" w14:textId="77777777" w:rsidR="00B97508" w:rsidRPr="00EE0E12" w:rsidRDefault="00B97508" w:rsidP="005368E7">
      <w:pPr>
        <w:pStyle w:val="tier1Itext"/>
      </w:pPr>
      <w:r w:rsidRPr="00EE0E12">
        <w:t>Com base nas orientações do Sistema de Gerenciamento de Resposta a Emergências da BP, quando a modelagem de vazamento de óleo for utilizada como parte da estratégia de acompanhamento e vigilância, o modelo deverá ter a capacidade de ser recalibrado periodicamente à medida que novos dados de campo forem gerados.</w:t>
      </w:r>
    </w:p>
    <w:p w14:paraId="4CBB9519" w14:textId="77777777" w:rsidR="00B97508" w:rsidRPr="00EE0E12" w:rsidRDefault="00B97508" w:rsidP="005368E7">
      <w:pPr>
        <w:pStyle w:val="tier1Itext"/>
      </w:pPr>
      <w:r w:rsidRPr="00EE0E12">
        <w:t>A BP Energy usa o modelo OSCAR</w:t>
      </w:r>
      <w:r w:rsidRPr="00EE0E12">
        <w:rPr>
          <w:rStyle w:val="FootnoteReference"/>
          <w:rFonts w:cstheme="majorHAnsi"/>
        </w:rPr>
        <w:footnoteReference w:id="37"/>
      </w:r>
      <w:r w:rsidRPr="00EE0E12">
        <w:t xml:space="preserve"> para modelar a previsão da trajetória da mancha de um vazamento de óleo, com base na hidrodinâmica local, desenvolvida por empresa local habilitada, cujo contato é parte da lista de empresas contratadas, atualizada no momento da ativação da IMT. </w:t>
      </w:r>
    </w:p>
    <w:p w14:paraId="5353B1AE" w14:textId="77777777" w:rsidR="00B97508" w:rsidRPr="00EE0E12" w:rsidRDefault="00B97508" w:rsidP="005368E7">
      <w:pPr>
        <w:pStyle w:val="tier1Itext"/>
      </w:pPr>
      <w:r w:rsidRPr="00EE0E12">
        <w:lastRenderedPageBreak/>
        <w:t>A empresa de modelagem contratada é normalmente a mesma que gerou as previsões na fase de elaboração do PEI e deve comprovar que possui procedimentos sistemáticos de atualização de sua base de dados hidrodinâmicos da região. A BP Energy mantém um contrato de prontidão operacional durante o período da perfuração, o que garante que, em caso de vazamento, a modelagem possa ser ativada imediatamente, a partir de dados atualizados de parâmetros ambientais.</w:t>
      </w:r>
    </w:p>
    <w:p w14:paraId="4CD432A2" w14:textId="77777777" w:rsidR="00B97508" w:rsidRPr="00EE0E12" w:rsidRDefault="00B97508" w:rsidP="005368E7">
      <w:pPr>
        <w:pStyle w:val="tier1Itext"/>
      </w:pPr>
      <w:r w:rsidRPr="00EE0E12">
        <w:t xml:space="preserve">Antes da entrada na camada projetada objetivo da perfuração no Bloco (até quinze dias antes), a BP Energy planeja uma campanha de lançamento de </w:t>
      </w:r>
      <w:r w:rsidR="00D06378" w:rsidRPr="00EE0E12">
        <w:t>b</w:t>
      </w:r>
      <w:r w:rsidR="00D06378">
        <w:t>ó</w:t>
      </w:r>
      <w:r w:rsidR="00D06378" w:rsidRPr="00EE0E12">
        <w:t xml:space="preserve">ias </w:t>
      </w:r>
      <w:r w:rsidRPr="00EE0E12">
        <w:t>de deriva (modelos I-Sphere e SLB) para atualizar as informações local e regional dos padrões de correntes de superfície e subsuperfície, contribuindo para atualizar o modelo hidrodinâmico da área.</w:t>
      </w:r>
    </w:p>
    <w:p w14:paraId="03A74334" w14:textId="59276ADC" w:rsidR="00B97508" w:rsidRDefault="00B97508" w:rsidP="005368E7">
      <w:pPr>
        <w:pStyle w:val="tier1Itext"/>
      </w:pPr>
      <w:r w:rsidRPr="00EE0E12">
        <w:t xml:space="preserve">O relatório de modelagem contém informações para as 72 horas seguintes </w:t>
      </w:r>
      <w:r w:rsidR="00D06378">
        <w:t>à sua referência de emissão</w:t>
      </w:r>
      <w:r w:rsidRPr="00EE0E12">
        <w:t>, com saídas em passos de tempo variáveis, não limitadas a dispersão e deriva da mancha de óleo vazado apresentado sob o formato de curvas probabilísticas de concentração de óleo; tempos de chegada de óleo em pontos significativos da grade de modelagem (costa e pontos marinhos de relevância), espessura média de óleo na superfície; e balanço de massa ao longo do tempo. Estes resultados também podem ser exibidos no sistema georeferenciado em site do provedor, por meio da senha de acesso ou fornecidos em formato GIS e integrados na base de dados espacial georreferenciada on-line da BP</w:t>
      </w:r>
      <w:r w:rsidR="00D06378">
        <w:t xml:space="preserve"> Energy</w:t>
      </w:r>
      <w:r w:rsidRPr="00EE0E12">
        <w:t>, aumentando a extensão e integração de avaliação de todas as ferramentas de vigilância. A verificação da integração dos dados de modelagem na Base GIS é de responsabilidade da Unidade de RC&amp;E.</w:t>
      </w:r>
    </w:p>
    <w:p w14:paraId="583B4EF7" w14:textId="46B3F56F" w:rsidR="0099317E" w:rsidRPr="00365288" w:rsidRDefault="0099317E" w:rsidP="005368E7">
      <w:pPr>
        <w:pStyle w:val="tier1Itext"/>
      </w:pPr>
      <w:bookmarkStart w:id="176" w:name="_Hlk523321238"/>
      <w:r w:rsidRPr="00365288">
        <w:rPr>
          <w:highlight w:val="lightGray"/>
        </w:rPr>
        <w:t>De forma a suportar comunicações com países onde haja a potencial presença de uma deriva de mancha, tanto na base de dados espacial georreferenciada da BP Energy, como na base da modelagem, estará presente a camada com informações sobre os limites reais ou presumidos das águas nacionais dos países do sudoeste do Caribe, de forma que esta informação seja uma das saídas constantes do relatório.</w:t>
      </w:r>
      <w:r w:rsidRPr="00365288">
        <w:t xml:space="preserve">   </w:t>
      </w:r>
    </w:p>
    <w:bookmarkEnd w:id="176"/>
    <w:p w14:paraId="42C9C6E8" w14:textId="77777777" w:rsidR="00B97508" w:rsidRPr="00EE0E12" w:rsidRDefault="00B97508" w:rsidP="00E9093F">
      <w:pPr>
        <w:pStyle w:val="tier1Itext"/>
        <w:spacing w:after="120"/>
        <w:rPr>
          <w:rFonts w:cstheme="majorHAnsi"/>
        </w:rPr>
      </w:pPr>
      <w:r w:rsidRPr="00EE0E12">
        <w:rPr>
          <w:rFonts w:cstheme="majorHAnsi"/>
        </w:rPr>
        <w:t xml:space="preserve">A </w:t>
      </w:r>
      <w:r w:rsidRPr="00EE0E12">
        <w:rPr>
          <w:rFonts w:cstheme="majorHAnsi"/>
          <w:b/>
        </w:rPr>
        <w:fldChar w:fldCharType="begin"/>
      </w:r>
      <w:r w:rsidRPr="00EE0E12">
        <w:rPr>
          <w:rFonts w:cstheme="majorHAnsi"/>
          <w:b/>
        </w:rPr>
        <w:instrText xml:space="preserve"> REF _Ref412808109 \h  \* MERGEFORMAT </w:instrText>
      </w:r>
      <w:r w:rsidRPr="00EE0E12">
        <w:rPr>
          <w:rFonts w:cstheme="majorHAnsi"/>
          <w:b/>
        </w:rPr>
      </w:r>
      <w:r w:rsidRPr="00EE0E12">
        <w:rPr>
          <w:rFonts w:cstheme="majorHAnsi"/>
          <w:b/>
        </w:rPr>
        <w:fldChar w:fldCharType="separate"/>
      </w:r>
      <w:r w:rsidR="001A0409" w:rsidRPr="001A0409">
        <w:rPr>
          <w:b/>
        </w:rPr>
        <w:t xml:space="preserve">Figura </w:t>
      </w:r>
      <w:r w:rsidR="001A0409" w:rsidRPr="001A0409">
        <w:rPr>
          <w:b/>
          <w:noProof/>
        </w:rPr>
        <w:t>14</w:t>
      </w:r>
      <w:r w:rsidRPr="00EE0E12">
        <w:rPr>
          <w:rFonts w:cstheme="majorHAnsi"/>
          <w:b/>
        </w:rPr>
        <w:fldChar w:fldCharType="end"/>
      </w:r>
      <w:r w:rsidRPr="00EE0E12">
        <w:rPr>
          <w:rFonts w:cstheme="majorHAnsi"/>
        </w:rPr>
        <w:t xml:space="preserve"> apresenta saídas de exemplo dos resultados do modelo.</w:t>
      </w:r>
    </w:p>
    <w:tbl>
      <w:tblPr>
        <w:tblW w:w="5000" w:type="pct"/>
        <w:jc w:val="center"/>
        <w:tblBorders>
          <w:top w:val="single" w:sz="6" w:space="0" w:color="008000"/>
          <w:left w:val="single" w:sz="6" w:space="0" w:color="008000"/>
          <w:bottom w:val="single" w:sz="6" w:space="0" w:color="008000"/>
          <w:right w:val="single" w:sz="6" w:space="0" w:color="008000"/>
        </w:tblBorders>
        <w:tblLook w:val="01E0" w:firstRow="1" w:lastRow="1" w:firstColumn="1" w:lastColumn="1" w:noHBand="0" w:noVBand="0"/>
      </w:tblPr>
      <w:tblGrid>
        <w:gridCol w:w="4440"/>
        <w:gridCol w:w="228"/>
        <w:gridCol w:w="4386"/>
      </w:tblGrid>
      <w:tr w:rsidR="00B97508" w:rsidRPr="00EE0E12" w14:paraId="0771F43A" w14:textId="77777777" w:rsidTr="005368E7">
        <w:trPr>
          <w:jc w:val="center"/>
        </w:trPr>
        <w:tc>
          <w:tcPr>
            <w:tcW w:w="2459" w:type="pct"/>
            <w:shd w:val="clear" w:color="auto" w:fill="auto"/>
          </w:tcPr>
          <w:p w14:paraId="51E081C8"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lastRenderedPageBreak/>
              <w:drawing>
                <wp:inline distT="0" distB="0" distL="0" distR="0" wp14:anchorId="308D0BB0" wp14:editId="2E062B4A">
                  <wp:extent cx="2646000" cy="2005200"/>
                  <wp:effectExtent l="0" t="0" r="254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2"/>
                          <a:stretch>
                            <a:fillRect/>
                          </a:stretch>
                        </pic:blipFill>
                        <pic:spPr>
                          <a:xfrm>
                            <a:off x="0" y="0"/>
                            <a:ext cx="2646000" cy="2005200"/>
                          </a:xfrm>
                          <a:prstGeom prst="rect">
                            <a:avLst/>
                          </a:prstGeom>
                        </pic:spPr>
                      </pic:pic>
                    </a:graphicData>
                  </a:graphic>
                </wp:inline>
              </w:drawing>
            </w:r>
          </w:p>
        </w:tc>
        <w:tc>
          <w:tcPr>
            <w:tcW w:w="133" w:type="pct"/>
            <w:shd w:val="clear" w:color="auto" w:fill="auto"/>
          </w:tcPr>
          <w:p w14:paraId="2CDFA4C8" w14:textId="77777777" w:rsidR="00B97508" w:rsidRPr="00EE0E12" w:rsidRDefault="00B97508" w:rsidP="005368E7">
            <w:pPr>
              <w:spacing w:before="0" w:line="240" w:lineRule="auto"/>
              <w:jc w:val="center"/>
              <w:rPr>
                <w:rFonts w:asciiTheme="majorHAnsi" w:hAnsiTheme="majorHAnsi"/>
                <w:color w:val="008000"/>
                <w:szCs w:val="20"/>
              </w:rPr>
            </w:pPr>
          </w:p>
        </w:tc>
        <w:tc>
          <w:tcPr>
            <w:tcW w:w="2408" w:type="pct"/>
            <w:shd w:val="clear" w:color="auto" w:fill="auto"/>
          </w:tcPr>
          <w:p w14:paraId="1AC15F4E"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3DB7933E" wp14:editId="469897CD">
                  <wp:extent cx="2646000" cy="2005200"/>
                  <wp:effectExtent l="0" t="0" r="2540"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3"/>
                          <a:stretch>
                            <a:fillRect/>
                          </a:stretch>
                        </pic:blipFill>
                        <pic:spPr>
                          <a:xfrm>
                            <a:off x="0" y="0"/>
                            <a:ext cx="2646000" cy="2005200"/>
                          </a:xfrm>
                          <a:prstGeom prst="rect">
                            <a:avLst/>
                          </a:prstGeom>
                        </pic:spPr>
                      </pic:pic>
                    </a:graphicData>
                  </a:graphic>
                </wp:inline>
              </w:drawing>
            </w:r>
          </w:p>
        </w:tc>
      </w:tr>
      <w:tr w:rsidR="00B97508" w:rsidRPr="00EE0E12" w14:paraId="6CA6058F" w14:textId="77777777" w:rsidTr="005368E7">
        <w:trPr>
          <w:jc w:val="center"/>
        </w:trPr>
        <w:tc>
          <w:tcPr>
            <w:tcW w:w="2459" w:type="pct"/>
            <w:shd w:val="clear" w:color="auto" w:fill="auto"/>
          </w:tcPr>
          <w:p w14:paraId="39B31416"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Probabilidade de contaminação na superfície (%)</w:t>
            </w:r>
          </w:p>
        </w:tc>
        <w:tc>
          <w:tcPr>
            <w:tcW w:w="133" w:type="pct"/>
            <w:shd w:val="clear" w:color="auto" w:fill="auto"/>
          </w:tcPr>
          <w:p w14:paraId="2616609E" w14:textId="77777777" w:rsidR="00B97508" w:rsidRPr="00EE0E12" w:rsidRDefault="00B97508" w:rsidP="005368E7">
            <w:pPr>
              <w:spacing w:before="0" w:line="240" w:lineRule="auto"/>
              <w:jc w:val="center"/>
              <w:rPr>
                <w:rFonts w:asciiTheme="majorHAnsi" w:hAnsiTheme="majorHAnsi"/>
                <w:szCs w:val="18"/>
              </w:rPr>
            </w:pPr>
          </w:p>
        </w:tc>
        <w:tc>
          <w:tcPr>
            <w:tcW w:w="2408" w:type="pct"/>
            <w:shd w:val="clear" w:color="auto" w:fill="auto"/>
          </w:tcPr>
          <w:p w14:paraId="438551F5"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Tempo mínimo de chegada à costa (dias)</w:t>
            </w:r>
          </w:p>
        </w:tc>
      </w:tr>
      <w:tr w:rsidR="00B97508" w:rsidRPr="00EE0E12" w14:paraId="1CF784F1" w14:textId="77777777" w:rsidTr="005368E7">
        <w:trPr>
          <w:jc w:val="center"/>
        </w:trPr>
        <w:tc>
          <w:tcPr>
            <w:tcW w:w="2459" w:type="pct"/>
            <w:shd w:val="clear" w:color="auto" w:fill="auto"/>
          </w:tcPr>
          <w:p w14:paraId="38302BD2"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67046AFD" wp14:editId="2F894BBF">
                  <wp:extent cx="2646000" cy="2005200"/>
                  <wp:effectExtent l="0" t="0" r="2540" b="0"/>
                  <wp:docPr id="3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4"/>
                          <a:stretch>
                            <a:fillRect/>
                          </a:stretch>
                        </pic:blipFill>
                        <pic:spPr>
                          <a:xfrm>
                            <a:off x="0" y="0"/>
                            <a:ext cx="2646000" cy="2005200"/>
                          </a:xfrm>
                          <a:prstGeom prst="rect">
                            <a:avLst/>
                          </a:prstGeom>
                        </pic:spPr>
                      </pic:pic>
                    </a:graphicData>
                  </a:graphic>
                </wp:inline>
              </w:drawing>
            </w:r>
          </w:p>
        </w:tc>
        <w:tc>
          <w:tcPr>
            <w:tcW w:w="133" w:type="pct"/>
            <w:shd w:val="clear" w:color="auto" w:fill="auto"/>
          </w:tcPr>
          <w:p w14:paraId="2B0DEE48" w14:textId="77777777" w:rsidR="00B97508" w:rsidRPr="00EE0E12" w:rsidRDefault="00B97508" w:rsidP="005368E7">
            <w:pPr>
              <w:spacing w:before="0" w:line="240" w:lineRule="auto"/>
              <w:jc w:val="center"/>
              <w:rPr>
                <w:rFonts w:asciiTheme="majorHAnsi" w:hAnsiTheme="majorHAnsi"/>
                <w:color w:val="008000"/>
                <w:szCs w:val="20"/>
              </w:rPr>
            </w:pPr>
          </w:p>
        </w:tc>
        <w:tc>
          <w:tcPr>
            <w:tcW w:w="2408" w:type="pct"/>
            <w:shd w:val="clear" w:color="auto" w:fill="auto"/>
          </w:tcPr>
          <w:p w14:paraId="507B1593" w14:textId="77777777" w:rsidR="00B97508" w:rsidRPr="00EE0E12" w:rsidRDefault="00B97508" w:rsidP="005368E7">
            <w:pPr>
              <w:spacing w:before="0" w:line="240" w:lineRule="auto"/>
              <w:jc w:val="center"/>
              <w:rPr>
                <w:rFonts w:asciiTheme="majorHAnsi" w:hAnsiTheme="majorHAnsi"/>
                <w:color w:val="008000"/>
                <w:szCs w:val="20"/>
              </w:rPr>
            </w:pPr>
            <w:r w:rsidRPr="00EE0E12">
              <w:rPr>
                <w:rFonts w:asciiTheme="majorHAnsi" w:hAnsiTheme="majorHAnsi"/>
                <w:noProof/>
                <w:lang w:val="en-US" w:eastAsia="en-US"/>
              </w:rPr>
              <w:drawing>
                <wp:inline distT="0" distB="0" distL="0" distR="0" wp14:anchorId="412B9E13" wp14:editId="415C27E1">
                  <wp:extent cx="2646000" cy="2005200"/>
                  <wp:effectExtent l="0" t="0" r="2540" b="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referRelativeResize="0"/>
                        </pic:nvPicPr>
                        <pic:blipFill>
                          <a:blip r:embed="rId55"/>
                          <a:stretch>
                            <a:fillRect/>
                          </a:stretch>
                        </pic:blipFill>
                        <pic:spPr>
                          <a:xfrm>
                            <a:off x="0" y="0"/>
                            <a:ext cx="2646000" cy="2005200"/>
                          </a:xfrm>
                          <a:prstGeom prst="rect">
                            <a:avLst/>
                          </a:prstGeom>
                        </pic:spPr>
                      </pic:pic>
                    </a:graphicData>
                  </a:graphic>
                </wp:inline>
              </w:drawing>
            </w:r>
          </w:p>
        </w:tc>
      </w:tr>
      <w:tr w:rsidR="00B97508" w:rsidRPr="00EE0E12" w14:paraId="012ADE9A" w14:textId="77777777" w:rsidTr="005368E7">
        <w:trPr>
          <w:jc w:val="center"/>
        </w:trPr>
        <w:tc>
          <w:tcPr>
            <w:tcW w:w="2459" w:type="pct"/>
            <w:shd w:val="clear" w:color="auto" w:fill="auto"/>
          </w:tcPr>
          <w:p w14:paraId="5EB3D18A"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Modo determinístico: Espessura de óleo (mm)</w:t>
            </w:r>
          </w:p>
        </w:tc>
        <w:tc>
          <w:tcPr>
            <w:tcW w:w="133" w:type="pct"/>
            <w:shd w:val="clear" w:color="auto" w:fill="auto"/>
          </w:tcPr>
          <w:p w14:paraId="337A799E" w14:textId="77777777" w:rsidR="00B97508" w:rsidRPr="00EE0E12" w:rsidRDefault="00B97508" w:rsidP="005368E7">
            <w:pPr>
              <w:spacing w:before="0" w:line="240" w:lineRule="auto"/>
              <w:jc w:val="center"/>
              <w:rPr>
                <w:rFonts w:asciiTheme="majorHAnsi" w:hAnsiTheme="majorHAnsi"/>
                <w:szCs w:val="18"/>
              </w:rPr>
            </w:pPr>
          </w:p>
        </w:tc>
        <w:tc>
          <w:tcPr>
            <w:tcW w:w="2408" w:type="pct"/>
            <w:shd w:val="clear" w:color="auto" w:fill="auto"/>
          </w:tcPr>
          <w:p w14:paraId="7C987E1B" w14:textId="77777777" w:rsidR="00B97508" w:rsidRPr="00EE0E12" w:rsidRDefault="00B97508" w:rsidP="005368E7">
            <w:pPr>
              <w:spacing w:before="0" w:line="240" w:lineRule="auto"/>
              <w:jc w:val="center"/>
              <w:rPr>
                <w:rFonts w:asciiTheme="majorHAnsi" w:hAnsiTheme="majorHAnsi"/>
                <w:szCs w:val="18"/>
              </w:rPr>
            </w:pPr>
            <w:r w:rsidRPr="00EE0E12">
              <w:rPr>
                <w:rFonts w:asciiTheme="majorHAnsi" w:hAnsiTheme="majorHAnsi"/>
                <w:szCs w:val="18"/>
              </w:rPr>
              <w:t>Balanço de massa durante modelagem</w:t>
            </w:r>
          </w:p>
        </w:tc>
      </w:tr>
    </w:tbl>
    <w:p w14:paraId="64AA791C" w14:textId="77777777" w:rsidR="00B97508" w:rsidRPr="00EE0E12" w:rsidRDefault="00B97508" w:rsidP="00E9093F">
      <w:pPr>
        <w:pStyle w:val="Caption"/>
        <w:keepNext w:val="0"/>
        <w:spacing w:before="0" w:after="0" w:line="240" w:lineRule="auto"/>
      </w:pPr>
      <w:bookmarkStart w:id="177" w:name="_Ref412808109"/>
      <w:bookmarkStart w:id="178" w:name="_Toc412812290"/>
      <w:bookmarkStart w:id="179" w:name="_Toc523833979"/>
      <w:r w:rsidRPr="00EE0E12">
        <w:t xml:space="preserve">Figura </w:t>
      </w:r>
      <w:fldSimple w:instr=" SEQ Figura \* ARABIC ">
        <w:r w:rsidR="001A0409">
          <w:rPr>
            <w:noProof/>
          </w:rPr>
          <w:t>14</w:t>
        </w:r>
      </w:fldSimple>
      <w:bookmarkEnd w:id="177"/>
      <w:r w:rsidRPr="00EE0E12">
        <w:t>: Amostras de resultados de saída do modelo</w:t>
      </w:r>
      <w:r w:rsidR="008D6541">
        <w:t xml:space="preserve"> (Fonte: Prooceano, 2015)</w:t>
      </w:r>
      <w:r w:rsidRPr="00EE0E12">
        <w:t>.</w:t>
      </w:r>
      <w:bookmarkEnd w:id="178"/>
      <w:bookmarkEnd w:id="179"/>
    </w:p>
    <w:p w14:paraId="7AF505BB" w14:textId="77777777" w:rsidR="00B97508" w:rsidRPr="00EE0E12" w:rsidRDefault="00B97508" w:rsidP="005368E7">
      <w:pPr>
        <w:pStyle w:val="tier1Itext"/>
        <w:spacing w:before="360"/>
      </w:pPr>
      <w:r w:rsidRPr="00EE0E12">
        <w:t xml:space="preserve">É válido ressaltar que as informações levantadas que retratam situações reais (monitoramento aéreo e imageamento por satélites) devem ser cruzadas com os resultados das modelagens, de forma a permitir que estes últimos sejam calibrados e feitos os ajustes necessários ao modelo para convergir da melhor forma para a situação observada. </w:t>
      </w:r>
      <w:r w:rsidRPr="00EE0E12">
        <w:rPr>
          <w:szCs w:val="22"/>
        </w:rPr>
        <w:t xml:space="preserve">Dessa forma, confirma-se que a estratégia de modelagem de dispersão e deriva de óleo é complementada pela observação aérea (por </w:t>
      </w:r>
      <w:r w:rsidR="00D06378" w:rsidRPr="00EE0E12">
        <w:rPr>
          <w:szCs w:val="22"/>
        </w:rPr>
        <w:t>sobrev</w:t>
      </w:r>
      <w:r w:rsidR="00D06378">
        <w:rPr>
          <w:szCs w:val="22"/>
        </w:rPr>
        <w:t>ô</w:t>
      </w:r>
      <w:r w:rsidR="00D06378" w:rsidRPr="00EE0E12">
        <w:rPr>
          <w:szCs w:val="22"/>
        </w:rPr>
        <w:t>o</w:t>
      </w:r>
      <w:r w:rsidRPr="00EE0E12">
        <w:rPr>
          <w:szCs w:val="22"/>
        </w:rPr>
        <w:t>) e pelo sensoriamento remoto por imagens de satélite, que orientam o planejamento de um monitoramento, com ações de curto, médio e longo prazos.</w:t>
      </w:r>
    </w:p>
    <w:p w14:paraId="24E9C515" w14:textId="1D8B7B6D" w:rsidR="00290F16" w:rsidRPr="009D01BE" w:rsidRDefault="001A0409" w:rsidP="006F18B8">
      <w:pPr>
        <w:pStyle w:val="Heading3"/>
        <w:ind w:left="1224"/>
      </w:pPr>
      <w:r w:rsidRPr="00C83F24">
        <w:rPr>
          <w:lang w:val="pt-BR"/>
        </w:rPr>
        <w:lastRenderedPageBreak/>
        <w:t xml:space="preserve"> </w:t>
      </w:r>
      <w:bookmarkStart w:id="180" w:name="_Toc523833903"/>
      <w:r w:rsidR="003B5C96" w:rsidRPr="009D01BE">
        <w:t>Amostragem de Óleo</w:t>
      </w:r>
      <w:bookmarkEnd w:id="180"/>
    </w:p>
    <w:p w14:paraId="373A6AB4" w14:textId="77777777" w:rsidR="00B97508" w:rsidRPr="00EE0E12" w:rsidRDefault="00B97508" w:rsidP="00852397">
      <w:pPr>
        <w:pStyle w:val="tier1Itext"/>
      </w:pPr>
      <w:r w:rsidRPr="00EE0E12">
        <w:t xml:space="preserve">A amostragem da mistura do óleo derramando no ambiente marinho, e/ou da água e sedimentos na região de interesse poderá ser realizada em qualquer fase da resposta à emergência, conforme o objetivo desejado (identificação do produto </w:t>
      </w:r>
      <w:r w:rsidR="00BF2A83" w:rsidRPr="00EE0E12">
        <w:t>derramado, análise do grau de in</w:t>
      </w:r>
      <w:r w:rsidRPr="00EE0E12">
        <w:t xml:space="preserve">temperização do óleo, análise da qualidade da água, entre outros). </w:t>
      </w:r>
      <w:r w:rsidRPr="00EE0E12">
        <w:rPr>
          <w:rFonts w:cstheme="majorHAnsi"/>
        </w:rPr>
        <w:t xml:space="preserve">A amostragem é ainda mais crítica nos casos de resposta a manchas órfãs, a fim de garantir a clara identificação da origem do óleo vazado, evidenciando ser diferente dos envolvidos nas operações da perfuração </w:t>
      </w:r>
      <w:r w:rsidR="00D06378">
        <w:rPr>
          <w:rFonts w:cstheme="majorHAnsi"/>
        </w:rPr>
        <w:t xml:space="preserve">da empresa </w:t>
      </w:r>
      <w:r w:rsidRPr="00EE0E12">
        <w:rPr>
          <w:rFonts w:cstheme="majorHAnsi"/>
        </w:rPr>
        <w:t>no Bloco FZA-M-59.</w:t>
      </w:r>
    </w:p>
    <w:p w14:paraId="571C5E72" w14:textId="77777777" w:rsidR="00B97508" w:rsidRPr="00EE0E12" w:rsidRDefault="00B97508" w:rsidP="00852397">
      <w:pPr>
        <w:pStyle w:val="tier1Itext"/>
      </w:pPr>
      <w:r w:rsidRPr="00EE0E12">
        <w:t xml:space="preserve">O processo consiste em utilizar um </w:t>
      </w:r>
      <w:r w:rsidRPr="00EE0E12">
        <w:rPr>
          <w:i/>
        </w:rPr>
        <w:t>kit</w:t>
      </w:r>
      <w:r w:rsidRPr="00EE0E12">
        <w:t xml:space="preserve"> adequado para a coleta da amostra do óleo vazado, preservar esta amostra e preparar a documentação da cadeia de custódia para enviá-lo a um laboratório autorizado no período definido para a realização da análise. As distâncias envolvidas na operação da BP Energy na Foz do Amazonas poderão levar a necessidade de ajustes de logística na coleta e envio das amostras, de forma a se preservar os tempos definidos para as análises.</w:t>
      </w:r>
    </w:p>
    <w:p w14:paraId="76601A32" w14:textId="77777777" w:rsidR="00B97508" w:rsidRPr="00EE0E12" w:rsidRDefault="00B97508" w:rsidP="00852397">
      <w:pPr>
        <w:pStyle w:val="tier1Itext"/>
      </w:pPr>
      <w:r w:rsidRPr="00EE0E12">
        <w:t xml:space="preserve">Com objetivo de permitir uma avaliação inicial rápida, </w:t>
      </w:r>
      <w:r w:rsidRPr="00EE0E12">
        <w:rPr>
          <w:i/>
        </w:rPr>
        <w:t>kits</w:t>
      </w:r>
      <w:r w:rsidRPr="00EE0E12">
        <w:t xml:space="preserve"> de amostragem da mistura do óleo no ambiente marinho estarão disponibilizados na embarcação dedicada e na base de apoio logístico, podendo ser embarcados em qualquer um dos PSVs. Equipamentos adicionais para a realização das campanhas de monitoramento e amostragem poderão ser definidos e mobilizados</w:t>
      </w:r>
      <w:r w:rsidR="00852397">
        <w:t xml:space="preserve"> durante as ações de respostas.</w:t>
      </w:r>
    </w:p>
    <w:p w14:paraId="5FD9E7BF" w14:textId="77777777" w:rsidR="00290F16" w:rsidRPr="009E316F" w:rsidRDefault="00290F16" w:rsidP="009D01BE">
      <w:pPr>
        <w:pStyle w:val="Heading2"/>
        <w:rPr>
          <w:lang w:val="pt-BR"/>
        </w:rPr>
      </w:pPr>
      <w:bookmarkStart w:id="181" w:name="_Ref414612593"/>
      <w:bookmarkStart w:id="182" w:name="_Ref414612625"/>
      <w:bookmarkStart w:id="183" w:name="_Ref414612885"/>
      <w:bookmarkStart w:id="184" w:name="_Ref414612911"/>
      <w:bookmarkStart w:id="185" w:name="_Toc523833904"/>
      <w:r w:rsidRPr="009E316F">
        <w:rPr>
          <w:lang w:val="pt-BR"/>
        </w:rPr>
        <w:t>Procedimentos para Contenção e Recolhimento de Óleo Derramado</w:t>
      </w:r>
      <w:bookmarkEnd w:id="181"/>
      <w:bookmarkEnd w:id="182"/>
      <w:bookmarkEnd w:id="183"/>
      <w:bookmarkEnd w:id="184"/>
      <w:bookmarkEnd w:id="185"/>
    </w:p>
    <w:p w14:paraId="036A561F" w14:textId="06095486" w:rsidR="00B97508" w:rsidRPr="00EE0E12" w:rsidRDefault="00B97508" w:rsidP="00915026">
      <w:pPr>
        <w:pStyle w:val="tier1Itext"/>
      </w:pPr>
      <w:r w:rsidRPr="00EE0E12">
        <w:t xml:space="preserve">Na ocorrência de um incidente de poluição por óleo no mar durante as atividades da BP Energy na Bacia da Foz do Amazonas, os procedimentos para o combate ao óleo derramado, através de equipamentos para a contenção e recolhimento, deverão ser priorizados sempre que esta técnica for considerada no conjunto de respostas. </w:t>
      </w:r>
    </w:p>
    <w:p w14:paraId="21769E02" w14:textId="197E5D12" w:rsidR="00B97508" w:rsidRPr="00EE0E12" w:rsidRDefault="00B97508" w:rsidP="00852397">
      <w:pPr>
        <w:pStyle w:val="tier1Itext"/>
      </w:pPr>
      <w:r w:rsidRPr="00EE0E12">
        <w:t xml:space="preserve">As condições ambientais momentâneas no local das ações de resposta (como velocidade da corrente, velocidade do vento, altura e frequência de ondas, por exemplo) juntamente com as características do vazamento (espessura e dispersão da mancha) influenciarão diretamente a eficiência de operacionalização </w:t>
      </w:r>
      <w:r w:rsidR="00915026">
        <w:t>da</w:t>
      </w:r>
      <w:r w:rsidRPr="00EE0E12">
        <w:t xml:space="preserve"> estratég</w:t>
      </w:r>
      <w:r w:rsidR="00915026">
        <w:t>ia</w:t>
      </w:r>
      <w:r w:rsidRPr="00EE0E12">
        <w:t xml:space="preserve"> de contenção e recolhimento. </w:t>
      </w:r>
    </w:p>
    <w:p w14:paraId="19EB8FAA" w14:textId="12EFEF26" w:rsidR="00B97508" w:rsidRPr="00EE0E12" w:rsidRDefault="00FB78EA" w:rsidP="00852397">
      <w:pPr>
        <w:pStyle w:val="tier1Itext"/>
      </w:pPr>
      <w:r>
        <w:lastRenderedPageBreak/>
        <w:t>A configuração definida é dimensionada</w:t>
      </w:r>
      <w:r w:rsidR="00DE19B6">
        <w:t xml:space="preserve"> até </w:t>
      </w:r>
      <w:r w:rsidR="00B97508" w:rsidRPr="00EE0E12">
        <w:t xml:space="preserve">cenários com maior velocidade resultante de reboque (de 3 a 5 nós) e em condições de mar mais agitadas (até Beaufort 7 - ventos de moderados a forte [21 a 33 nós] e ondas de até 3.0 m). </w:t>
      </w:r>
      <w:r>
        <w:t>M</w:t>
      </w:r>
      <w:r w:rsidR="00B97508" w:rsidRPr="00EE0E12">
        <w:t xml:space="preserve">anchas mais espalhadas e filmes menos espessos de óleo </w:t>
      </w:r>
      <w:r>
        <w:t>são</w:t>
      </w:r>
      <w:r w:rsidR="00B97508" w:rsidRPr="00EE0E12">
        <w:t xml:space="preserve"> melhor combatidos </w:t>
      </w:r>
      <w:r>
        <w:t>pela tecnologia do sistema</w:t>
      </w:r>
      <w:r w:rsidR="00B97508" w:rsidRPr="00EE0E12">
        <w:t xml:space="preserve">, que prima pela alta capacidade nominal de recolhimento, a despeito do menor </w:t>
      </w:r>
      <w:r w:rsidR="00B97508" w:rsidRPr="00EE0E12">
        <w:rPr>
          <w:i/>
        </w:rPr>
        <w:t>swath</w:t>
      </w:r>
      <w:r>
        <w:rPr>
          <w:rStyle w:val="FootnoteReference"/>
          <w:i/>
        </w:rPr>
        <w:footnoteReference w:id="38"/>
      </w:r>
      <w:r w:rsidR="00B97508" w:rsidRPr="00EE0E12">
        <w:t>, também atendendo aos limites operacionais dos equipamentos.</w:t>
      </w:r>
    </w:p>
    <w:p w14:paraId="7CF338F5" w14:textId="6E7510F3" w:rsidR="00B97508" w:rsidRPr="00852397" w:rsidRDefault="00B97508" w:rsidP="00852397">
      <w:pPr>
        <w:pStyle w:val="tier1Itext"/>
      </w:pPr>
      <w:r w:rsidRPr="00852397">
        <w:t xml:space="preserve">A </w:t>
      </w:r>
      <w:r w:rsidRPr="00852397">
        <w:rPr>
          <w:b/>
        </w:rPr>
        <w:fldChar w:fldCharType="begin"/>
      </w:r>
      <w:r w:rsidRPr="00852397">
        <w:rPr>
          <w:b/>
        </w:rPr>
        <w:instrText xml:space="preserve"> REF _Ref411453102 \h  \* MERGEFORMAT </w:instrText>
      </w:r>
      <w:r w:rsidRPr="00852397">
        <w:rPr>
          <w:b/>
        </w:rPr>
      </w:r>
      <w:r w:rsidRPr="00852397">
        <w:rPr>
          <w:b/>
        </w:rPr>
        <w:fldChar w:fldCharType="separate"/>
      </w:r>
      <w:r w:rsidR="00FB78EA" w:rsidRPr="00FB78EA">
        <w:rPr>
          <w:b/>
        </w:rPr>
        <w:t xml:space="preserve">Tabela </w:t>
      </w:r>
      <w:r w:rsidR="00FB78EA" w:rsidRPr="00FB78EA">
        <w:rPr>
          <w:b/>
          <w:noProof/>
        </w:rPr>
        <w:t>13</w:t>
      </w:r>
      <w:r w:rsidRPr="00852397">
        <w:rPr>
          <w:b/>
        </w:rPr>
        <w:fldChar w:fldCharType="end"/>
      </w:r>
      <w:r w:rsidRPr="00852397">
        <w:t xml:space="preserve"> resume </w:t>
      </w:r>
      <w:r w:rsidRPr="003E44C4">
        <w:t>as principais características</w:t>
      </w:r>
      <w:r w:rsidRPr="00852397">
        <w:t xml:space="preserve"> analisadas da configuraç</w:t>
      </w:r>
      <w:r w:rsidR="00FB78EA">
        <w:t>ão escolhida para a resposta a</w:t>
      </w:r>
      <w:r w:rsidRPr="00852397">
        <w:t xml:space="preserve"> um evento </w:t>
      </w:r>
      <w:r w:rsidR="00FB78EA">
        <w:t>de</w:t>
      </w:r>
      <w:r w:rsidRPr="00852397">
        <w:t xml:space="preserve"> vazamento de óleo.</w:t>
      </w:r>
    </w:p>
    <w:tbl>
      <w:tblPr>
        <w:tblW w:w="5000" w:type="pct"/>
        <w:tblLayout w:type="fixed"/>
        <w:tblCellMar>
          <w:left w:w="70" w:type="dxa"/>
          <w:right w:w="70" w:type="dxa"/>
        </w:tblCellMar>
        <w:tblLook w:val="04A0" w:firstRow="1" w:lastRow="0" w:firstColumn="1" w:lastColumn="0" w:noHBand="0" w:noVBand="1"/>
      </w:tblPr>
      <w:tblGrid>
        <w:gridCol w:w="1592"/>
        <w:gridCol w:w="1515"/>
        <w:gridCol w:w="1517"/>
        <w:gridCol w:w="1472"/>
        <w:gridCol w:w="1474"/>
        <w:gridCol w:w="1470"/>
      </w:tblGrid>
      <w:tr w:rsidR="00B97508" w:rsidRPr="00EE0E12" w14:paraId="4F0DA7E7" w14:textId="77777777" w:rsidTr="00852397">
        <w:trPr>
          <w:trHeight w:val="340"/>
          <w:tblHeader/>
        </w:trPr>
        <w:tc>
          <w:tcPr>
            <w:tcW w:w="5000" w:type="pct"/>
            <w:gridSpan w:val="6"/>
            <w:tcBorders>
              <w:top w:val="single" w:sz="12" w:space="0" w:color="FFFFFF"/>
              <w:left w:val="single" w:sz="12" w:space="0" w:color="FFFFFF"/>
              <w:bottom w:val="single" w:sz="12" w:space="0" w:color="FFFFFF" w:themeColor="background1"/>
              <w:right w:val="single" w:sz="12" w:space="0" w:color="FFFFFF"/>
            </w:tcBorders>
            <w:shd w:val="clear" w:color="auto" w:fill="FFFFFF" w:themeFill="background1"/>
            <w:vAlign w:val="bottom"/>
          </w:tcPr>
          <w:p w14:paraId="19DD04CB" w14:textId="4A2C6278" w:rsidR="00B97508" w:rsidRPr="00EE0E12" w:rsidRDefault="00B97508" w:rsidP="00FB78EA">
            <w:pPr>
              <w:pStyle w:val="Caption"/>
              <w:spacing w:before="0" w:after="0" w:line="240" w:lineRule="auto"/>
              <w:jc w:val="left"/>
              <w:rPr>
                <w:rFonts w:cs="Times New Roman"/>
                <w:bCs/>
                <w:color w:val="FFFFFF"/>
                <w:lang w:eastAsia="pt-BR"/>
              </w:rPr>
            </w:pPr>
            <w:bookmarkStart w:id="186" w:name="_Ref411453102"/>
            <w:bookmarkStart w:id="187" w:name="_Toc412812270"/>
            <w:bookmarkStart w:id="188" w:name="_Toc523834045"/>
            <w:r w:rsidRPr="00EE0E12">
              <w:t xml:space="preserve">Tabela </w:t>
            </w:r>
            <w:fldSimple w:instr=" SEQ Tabela \* ARABIC ">
              <w:r w:rsidR="00FB78EA">
                <w:rPr>
                  <w:noProof/>
                </w:rPr>
                <w:t>13</w:t>
              </w:r>
            </w:fldSimple>
            <w:bookmarkEnd w:id="186"/>
            <w:r w:rsidRPr="00EE0E12">
              <w:t xml:space="preserve">: Características </w:t>
            </w:r>
            <w:r w:rsidR="00FB78EA">
              <w:t>da</w:t>
            </w:r>
            <w:r w:rsidRPr="00EE0E12">
              <w:t xml:space="preserve"> estratégia adotada</w:t>
            </w:r>
            <w:bookmarkEnd w:id="187"/>
            <w:r w:rsidR="00852397">
              <w:t>.</w:t>
            </w:r>
            <w:bookmarkEnd w:id="188"/>
          </w:p>
        </w:tc>
      </w:tr>
      <w:tr w:rsidR="00B97508" w:rsidRPr="00EE0E12" w14:paraId="21ADA114" w14:textId="77777777" w:rsidTr="00FB78EA">
        <w:trPr>
          <w:trHeight w:val="254"/>
          <w:tblHeader/>
        </w:trPr>
        <w:tc>
          <w:tcPr>
            <w:tcW w:w="881"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59EF1FAF" w14:textId="252E6A43" w:rsidR="00B97508" w:rsidRPr="00EE0E12" w:rsidRDefault="00FB78EA" w:rsidP="00852397">
            <w:pPr>
              <w:keepNext/>
              <w:keepLines/>
              <w:tabs>
                <w:tab w:val="left" w:pos="5529"/>
              </w:tabs>
              <w:spacing w:before="0" w:line="240" w:lineRule="auto"/>
              <w:jc w:val="center"/>
              <w:rPr>
                <w:rFonts w:asciiTheme="majorHAnsi" w:hAnsiTheme="majorHAnsi" w:cs="Times New Roman"/>
                <w:b/>
                <w:bCs/>
                <w:color w:val="FFFFFF"/>
                <w:sz w:val="20"/>
                <w:szCs w:val="20"/>
              </w:rPr>
            </w:pPr>
            <w:r>
              <w:rPr>
                <w:rFonts w:asciiTheme="majorHAnsi" w:hAnsiTheme="majorHAnsi" w:cs="Times New Roman"/>
                <w:b/>
                <w:bCs/>
                <w:color w:val="FFFFFF"/>
                <w:sz w:val="20"/>
                <w:szCs w:val="20"/>
              </w:rPr>
              <w:t>Sistema de Recolhimento</w:t>
            </w:r>
          </w:p>
        </w:tc>
        <w:tc>
          <w:tcPr>
            <w:tcW w:w="838"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459F6373" w14:textId="77777777" w:rsidR="00B97508" w:rsidRPr="00EE0E12" w:rsidRDefault="00B97508" w:rsidP="00852397">
            <w:pPr>
              <w:keepNext/>
              <w:keepLines/>
              <w:tabs>
                <w:tab w:val="left" w:pos="4913"/>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Tipo de óleo</w:t>
            </w:r>
          </w:p>
        </w:tc>
        <w:tc>
          <w:tcPr>
            <w:tcW w:w="3281" w:type="pct"/>
            <w:gridSpan w:val="4"/>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0EB71BAE" w14:textId="77777777" w:rsidR="00B97508" w:rsidRPr="00EE0E12" w:rsidRDefault="00F9135C"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Referência</w:t>
            </w:r>
            <w:r w:rsidR="00B97508" w:rsidRPr="00EE0E12">
              <w:rPr>
                <w:rFonts w:asciiTheme="majorHAnsi" w:hAnsiTheme="majorHAnsi" w:cs="Times New Roman"/>
                <w:b/>
                <w:bCs/>
                <w:color w:val="FFFFFF"/>
                <w:sz w:val="20"/>
                <w:szCs w:val="20"/>
              </w:rPr>
              <w:t xml:space="preserve"> de Condições meteoceanográficas limites </w:t>
            </w:r>
          </w:p>
        </w:tc>
      </w:tr>
      <w:tr w:rsidR="00B97508" w:rsidRPr="00EE0E12" w14:paraId="1827BE10" w14:textId="77777777" w:rsidTr="00FB78EA">
        <w:trPr>
          <w:trHeight w:val="248"/>
          <w:tblHeader/>
        </w:trPr>
        <w:tc>
          <w:tcPr>
            <w:tcW w:w="881"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vAlign w:val="center"/>
          </w:tcPr>
          <w:p w14:paraId="1D093EF4" w14:textId="77777777" w:rsidR="00B97508" w:rsidRPr="00EE0E12" w:rsidRDefault="00B97508" w:rsidP="00852397">
            <w:pPr>
              <w:keepNext/>
              <w:keepLines/>
              <w:tabs>
                <w:tab w:val="left" w:pos="5529"/>
              </w:tabs>
              <w:spacing w:before="0" w:line="240" w:lineRule="auto"/>
              <w:rPr>
                <w:rFonts w:asciiTheme="majorHAnsi" w:hAnsiTheme="majorHAnsi" w:cs="Times New Roman"/>
                <w:b/>
                <w:bCs/>
                <w:color w:val="FFFFFF"/>
                <w:sz w:val="20"/>
                <w:szCs w:val="20"/>
              </w:rPr>
            </w:pPr>
          </w:p>
        </w:tc>
        <w:tc>
          <w:tcPr>
            <w:tcW w:w="838"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06C0E372"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p>
        </w:tc>
        <w:tc>
          <w:tcPr>
            <w:tcW w:w="839" w:type="pct"/>
            <w:vMerge w:val="restar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30E246DC"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Velocidade de arraste</w:t>
            </w:r>
          </w:p>
          <w:p w14:paraId="73C53378"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(nós)</w:t>
            </w:r>
          </w:p>
        </w:tc>
        <w:tc>
          <w:tcPr>
            <w:tcW w:w="2442" w:type="pct"/>
            <w:gridSpan w:val="3"/>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tcPr>
          <w:p w14:paraId="6F5482B8" w14:textId="77777777" w:rsidR="00B97508" w:rsidRPr="00EE0E12" w:rsidRDefault="00B97508" w:rsidP="00852397">
            <w:pPr>
              <w:keepNext/>
              <w:keepLines/>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Escala Beaufort</w:t>
            </w:r>
          </w:p>
        </w:tc>
      </w:tr>
      <w:tr w:rsidR="00B97508" w:rsidRPr="00EE0E12" w14:paraId="77C20A73" w14:textId="77777777" w:rsidTr="00FB78EA">
        <w:trPr>
          <w:trHeight w:val="686"/>
          <w:tblHeader/>
        </w:trPr>
        <w:tc>
          <w:tcPr>
            <w:tcW w:w="881"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vAlign w:val="center"/>
            <w:hideMark/>
          </w:tcPr>
          <w:p w14:paraId="47B330F9" w14:textId="77777777" w:rsidR="00B97508" w:rsidRPr="00EE0E12" w:rsidRDefault="00B97508" w:rsidP="00852397">
            <w:pPr>
              <w:tabs>
                <w:tab w:val="left" w:pos="5529"/>
              </w:tabs>
              <w:spacing w:before="0" w:line="240" w:lineRule="auto"/>
              <w:rPr>
                <w:rFonts w:asciiTheme="majorHAnsi" w:hAnsiTheme="majorHAnsi" w:cs="Times New Roman"/>
                <w:b/>
                <w:bCs/>
                <w:color w:val="FFFFFF"/>
                <w:sz w:val="20"/>
                <w:szCs w:val="20"/>
              </w:rPr>
            </w:pPr>
          </w:p>
        </w:tc>
        <w:tc>
          <w:tcPr>
            <w:tcW w:w="838"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406A8D09"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p>
        </w:tc>
        <w:tc>
          <w:tcPr>
            <w:tcW w:w="839" w:type="pct"/>
            <w:vMerge/>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tcPr>
          <w:p w14:paraId="52B15E2C"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1F497D"/>
            <w:vAlign w:val="center"/>
            <w:hideMark/>
          </w:tcPr>
          <w:p w14:paraId="797697E5"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 xml:space="preserve">Classe </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55AE2B32"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Velocidade do vento</w:t>
            </w:r>
          </w:p>
          <w:p w14:paraId="15BBF283"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(nós)</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1F497D"/>
            <w:vAlign w:val="center"/>
            <w:hideMark/>
          </w:tcPr>
          <w:p w14:paraId="66533ACB"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Altura das ondas</w:t>
            </w:r>
          </w:p>
          <w:p w14:paraId="22036839" w14:textId="77777777" w:rsidR="00B97508" w:rsidRPr="00EE0E12" w:rsidRDefault="00B97508" w:rsidP="00852397">
            <w:pPr>
              <w:tabs>
                <w:tab w:val="left" w:pos="5529"/>
              </w:tabs>
              <w:spacing w:before="0" w:line="240" w:lineRule="auto"/>
              <w:jc w:val="center"/>
              <w:rPr>
                <w:rFonts w:asciiTheme="majorHAnsi" w:hAnsiTheme="majorHAnsi" w:cs="Times New Roman"/>
                <w:b/>
                <w:bCs/>
                <w:color w:val="FFFFFF"/>
                <w:sz w:val="20"/>
                <w:szCs w:val="20"/>
              </w:rPr>
            </w:pPr>
            <w:r w:rsidRPr="00EE0E12">
              <w:rPr>
                <w:rFonts w:asciiTheme="majorHAnsi" w:hAnsiTheme="majorHAnsi" w:cs="Times New Roman"/>
                <w:b/>
                <w:bCs/>
                <w:color w:val="FFFFFF"/>
                <w:sz w:val="20"/>
                <w:szCs w:val="20"/>
              </w:rPr>
              <w:t>(m)</w:t>
            </w:r>
          </w:p>
        </w:tc>
      </w:tr>
      <w:tr w:rsidR="00B97508" w:rsidRPr="00EE0E12" w14:paraId="751BE694" w14:textId="77777777" w:rsidTr="00FB78EA">
        <w:trPr>
          <w:cantSplit/>
          <w:trHeight w:val="882"/>
        </w:trPr>
        <w:tc>
          <w:tcPr>
            <w:tcW w:w="881"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33661A7C" w14:textId="7D0D2F92" w:rsidR="00B97508" w:rsidRPr="00EE0E12" w:rsidRDefault="00FB78EA" w:rsidP="00852397">
            <w:pPr>
              <w:tabs>
                <w:tab w:val="left" w:pos="5529"/>
              </w:tabs>
              <w:spacing w:before="0" w:line="240" w:lineRule="auto"/>
              <w:jc w:val="center"/>
              <w:rPr>
                <w:rFonts w:asciiTheme="majorHAnsi" w:hAnsiTheme="majorHAnsi" w:cs="Times New Roman"/>
                <w:i/>
                <w:color w:val="000000"/>
                <w:sz w:val="20"/>
                <w:szCs w:val="20"/>
              </w:rPr>
            </w:pPr>
            <w:r>
              <w:rPr>
                <w:rFonts w:asciiTheme="majorHAnsi" w:hAnsiTheme="majorHAnsi" w:cs="Times New Roman"/>
                <w:i/>
                <w:color w:val="000000"/>
                <w:sz w:val="20"/>
                <w:szCs w:val="20"/>
              </w:rPr>
              <w:t>CB 6 com bomba integrada</w:t>
            </w:r>
          </w:p>
        </w:tc>
        <w:tc>
          <w:tcPr>
            <w:tcW w:w="838"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6F12DF89"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Todos os tipos de óleo</w:t>
            </w:r>
          </w:p>
        </w:tc>
        <w:tc>
          <w:tcPr>
            <w:tcW w:w="839"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42167877"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 xml:space="preserve">Até 5,0 </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73184412"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Até 7</w:t>
            </w:r>
          </w:p>
        </w:tc>
        <w:tc>
          <w:tcPr>
            <w:tcW w:w="81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04F85463" w14:textId="77777777" w:rsidR="00B97508" w:rsidRPr="00EE0E12" w:rsidRDefault="00B97508" w:rsidP="00852397">
            <w:pPr>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21 a 33</w:t>
            </w:r>
          </w:p>
        </w:tc>
        <w:tc>
          <w:tcPr>
            <w:tcW w:w="814"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000000" w:fill="F2F2F2"/>
            <w:vAlign w:val="center"/>
          </w:tcPr>
          <w:p w14:paraId="45CA1888" w14:textId="77777777" w:rsidR="00B97508" w:rsidRPr="00EE0E12" w:rsidRDefault="00B97508" w:rsidP="00852397">
            <w:pPr>
              <w:keepNext/>
              <w:tabs>
                <w:tab w:val="left" w:pos="5529"/>
              </w:tabs>
              <w:spacing w:before="0" w:line="240" w:lineRule="auto"/>
              <w:jc w:val="center"/>
              <w:rPr>
                <w:rFonts w:asciiTheme="majorHAnsi" w:hAnsiTheme="majorHAnsi" w:cs="Times New Roman"/>
                <w:color w:val="000000"/>
                <w:sz w:val="20"/>
                <w:szCs w:val="20"/>
              </w:rPr>
            </w:pPr>
            <w:r w:rsidRPr="00EE0E12">
              <w:rPr>
                <w:rFonts w:asciiTheme="majorHAnsi" w:hAnsiTheme="majorHAnsi" w:cs="Times New Roman"/>
                <w:color w:val="000000"/>
                <w:sz w:val="20"/>
                <w:szCs w:val="20"/>
              </w:rPr>
              <w:t>até 3,0</w:t>
            </w:r>
          </w:p>
        </w:tc>
      </w:tr>
    </w:tbl>
    <w:p w14:paraId="4A69BF6A" w14:textId="77777777" w:rsidR="00B97508" w:rsidRPr="00EE0E12" w:rsidRDefault="00B97508" w:rsidP="00852397">
      <w:pPr>
        <w:pStyle w:val="tier1Itext"/>
        <w:spacing w:before="360"/>
      </w:pPr>
      <w:r w:rsidRPr="00EE0E12">
        <w:t xml:space="preserve">Convém ressaltar que as condições ambientais estão associadas não somente às limitações dos equipamentos necessários a operacionalização da estratégia de contenção e recolhimento, mas também aos riscos à segurança do pessoal envolvido na resposta. Esses valores de limitações representam um indicativo, porém a avaliação e consequente decisão pela realização/manutenção da operação é responsabilidade do Capitão da embarcação, com apoio do Coordenador de Resposta embarcado, e deverá ser comunicada ao Chefe da Seção de Operações (ou delegado) ou ao Supervisor da Divisão de Resposta </w:t>
      </w:r>
      <w:r w:rsidRPr="00EE0E12">
        <w:rPr>
          <w:i/>
        </w:rPr>
        <w:t>Offshore</w:t>
      </w:r>
      <w:r w:rsidRPr="00EE0E12">
        <w:t>, se formalmente constituída, em consonância com o protocolo de comunicação interno.</w:t>
      </w:r>
    </w:p>
    <w:p w14:paraId="631EC7B7" w14:textId="4FC2A4AC" w:rsidR="00B97508" w:rsidRPr="00EE0E12" w:rsidRDefault="00FB78EA" w:rsidP="00852397">
      <w:pPr>
        <w:pStyle w:val="tier1Itext"/>
      </w:pPr>
      <w:r>
        <w:t xml:space="preserve">O sistema de recolhimento definido </w:t>
      </w:r>
      <w:r w:rsidR="00B97508" w:rsidRPr="00EE0E12">
        <w:t xml:space="preserve">prevê a utilização de uma única embarcação, que ficará responsável, simultaneamente, pelo lançamento </w:t>
      </w:r>
      <w:r>
        <w:t>da CB 6</w:t>
      </w:r>
      <w:r w:rsidR="00B97508" w:rsidRPr="00EE0E12">
        <w:t xml:space="preserve"> a partir de sua popa; pelo reboque dessa barreira, fazendo uso de um BoomVane; e pelo recolhimento do óleo contido, através </w:t>
      </w:r>
      <w:r>
        <w:t>da</w:t>
      </w:r>
      <w:r w:rsidR="00B97508" w:rsidRPr="00EE0E12">
        <w:t xml:space="preserve"> estrutura de concentração no final da barreira com bomba acoplada</w:t>
      </w:r>
      <w:r w:rsidR="003E44C4">
        <w:t>.</w:t>
      </w:r>
      <w:r w:rsidR="00B97508" w:rsidRPr="00EE0E12">
        <w:t xml:space="preserve"> A </w:t>
      </w:r>
      <w:r w:rsidR="00B97508" w:rsidRPr="00EE0E12">
        <w:rPr>
          <w:b/>
        </w:rPr>
        <w:fldChar w:fldCharType="begin"/>
      </w:r>
      <w:r w:rsidR="00B97508" w:rsidRPr="00EE0E12">
        <w:rPr>
          <w:b/>
        </w:rPr>
        <w:instrText xml:space="preserve"> REF _Ref412808401 \h  \* MERGEFORMAT </w:instrText>
      </w:r>
      <w:r w:rsidR="00B97508" w:rsidRPr="00EE0E12">
        <w:rPr>
          <w:b/>
        </w:rPr>
      </w:r>
      <w:r w:rsidR="00B97508" w:rsidRPr="00EE0E12">
        <w:rPr>
          <w:b/>
        </w:rPr>
        <w:fldChar w:fldCharType="separate"/>
      </w:r>
      <w:r w:rsidRPr="00FB78EA">
        <w:rPr>
          <w:b/>
        </w:rPr>
        <w:t xml:space="preserve">Figura </w:t>
      </w:r>
      <w:r w:rsidRPr="00FB78EA">
        <w:rPr>
          <w:b/>
          <w:noProof/>
        </w:rPr>
        <w:t>15</w:t>
      </w:r>
      <w:r w:rsidR="00B97508" w:rsidRPr="00EE0E12">
        <w:rPr>
          <w:b/>
        </w:rPr>
        <w:fldChar w:fldCharType="end"/>
      </w:r>
      <w:r w:rsidR="00B97508" w:rsidRPr="00EE0E12">
        <w:t xml:space="preserve"> apresenta um esquema ilustrando o sistema Current Buster</w:t>
      </w:r>
    </w:p>
    <w:p w14:paraId="2EE0A840" w14:textId="77777777" w:rsidR="00B97508" w:rsidRPr="00EE0E12" w:rsidRDefault="00B97508" w:rsidP="00852397">
      <w:pPr>
        <w:pStyle w:val="tier1Itext"/>
        <w:spacing w:before="0" w:after="0" w:line="240" w:lineRule="auto"/>
        <w:jc w:val="center"/>
      </w:pPr>
      <w:r w:rsidRPr="00EE0E12">
        <w:rPr>
          <w:noProof/>
          <w:lang w:val="en-US"/>
        </w:rPr>
        <w:lastRenderedPageBreak/>
        <w:drawing>
          <wp:inline distT="0" distB="0" distL="0" distR="0" wp14:anchorId="319F3015" wp14:editId="430451DF">
            <wp:extent cx="4764115" cy="2958776"/>
            <wp:effectExtent l="0" t="0" r="0" b="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77817" cy="2967286"/>
                    </a:xfrm>
                    <a:prstGeom prst="rect">
                      <a:avLst/>
                    </a:prstGeom>
                    <a:noFill/>
                    <a:ln>
                      <a:noFill/>
                    </a:ln>
                  </pic:spPr>
                </pic:pic>
              </a:graphicData>
            </a:graphic>
          </wp:inline>
        </w:drawing>
      </w:r>
    </w:p>
    <w:p w14:paraId="7BA360E2" w14:textId="77777777" w:rsidR="00B97508" w:rsidRPr="00EE0E12" w:rsidRDefault="00B97508" w:rsidP="00E9093F">
      <w:pPr>
        <w:pStyle w:val="Caption"/>
        <w:keepNext w:val="0"/>
        <w:spacing w:before="0" w:after="0" w:line="240" w:lineRule="auto"/>
      </w:pPr>
      <w:bookmarkStart w:id="189" w:name="_Ref412808401"/>
      <w:bookmarkStart w:id="190" w:name="_Toc412812293"/>
      <w:bookmarkStart w:id="191" w:name="_Toc523833980"/>
      <w:r w:rsidRPr="00EE0E12">
        <w:t xml:space="preserve">Figura </w:t>
      </w:r>
      <w:fldSimple w:instr=" SEQ Figura \* ARABIC ">
        <w:r w:rsidR="00FB78EA">
          <w:rPr>
            <w:noProof/>
          </w:rPr>
          <w:t>15</w:t>
        </w:r>
      </w:fldSimple>
      <w:bookmarkEnd w:id="189"/>
      <w:r w:rsidRPr="00EE0E12">
        <w:t xml:space="preserve">: Sistema com tecnologia inovadora de contenção e recolhimento </w:t>
      </w:r>
      <w:r w:rsidR="00E26CE0">
        <w:t>–</w:t>
      </w:r>
      <w:r w:rsidRPr="00EE0E12">
        <w:rPr>
          <w:i/>
        </w:rPr>
        <w:t xml:space="preserve"> Current Buster</w:t>
      </w:r>
      <w:r w:rsidRPr="00EE0E12">
        <w:t xml:space="preserve"> lançado com </w:t>
      </w:r>
      <w:r w:rsidRPr="00EE0E12">
        <w:rPr>
          <w:i/>
        </w:rPr>
        <w:t>Boom Vane</w:t>
      </w:r>
      <w:r w:rsidRPr="00EE0E12">
        <w:t xml:space="preserve"> (Fonte: adaptado de NOFI </w:t>
      </w:r>
      <w:r w:rsidRPr="00EE0E12">
        <w:rPr>
          <w:i/>
        </w:rPr>
        <w:t>Current</w:t>
      </w:r>
      <w:r w:rsidRPr="00EE0E12">
        <w:t xml:space="preserve"> </w:t>
      </w:r>
      <w:r w:rsidRPr="00EE0E12">
        <w:rPr>
          <w:i/>
        </w:rPr>
        <w:t>Buster</w:t>
      </w:r>
      <w:r w:rsidRPr="00EE0E12">
        <w:t>®, 2014).</w:t>
      </w:r>
      <w:bookmarkEnd w:id="190"/>
      <w:bookmarkEnd w:id="191"/>
    </w:p>
    <w:p w14:paraId="41E60053" w14:textId="7934330C" w:rsidR="00B97508" w:rsidRPr="00EE0E12" w:rsidRDefault="00B97508" w:rsidP="00852397">
      <w:pPr>
        <w:pStyle w:val="tier1Itext"/>
        <w:spacing w:before="0" w:after="0" w:line="240" w:lineRule="auto"/>
        <w:jc w:val="center"/>
      </w:pPr>
    </w:p>
    <w:p w14:paraId="2FA73F6E" w14:textId="62974805" w:rsidR="00B97508" w:rsidRPr="00EE0E12" w:rsidRDefault="00B97508" w:rsidP="00852397">
      <w:pPr>
        <w:pStyle w:val="Caption"/>
        <w:keepNext w:val="0"/>
        <w:spacing w:before="0" w:after="0" w:line="240" w:lineRule="auto"/>
      </w:pPr>
    </w:p>
    <w:p w14:paraId="4116A6AB" w14:textId="72C6000A" w:rsidR="00B97508" w:rsidRPr="00EE0E12" w:rsidRDefault="00B97508" w:rsidP="004B4E3F">
      <w:pPr>
        <w:pStyle w:val="tier1Itext"/>
        <w:spacing w:before="360"/>
      </w:pPr>
      <w:r w:rsidRPr="00EE0E12">
        <w:t>O sistema</w:t>
      </w:r>
      <w:r w:rsidR="00AB1A73">
        <w:t xml:space="preserve"> CB 6</w:t>
      </w:r>
      <w:r w:rsidRPr="00EE0E12">
        <w:t xml:space="preserve"> permite</w:t>
      </w:r>
      <w:r w:rsidR="00F9135C" w:rsidRPr="00EE0E12">
        <w:t xml:space="preserve"> que as operações de va</w:t>
      </w:r>
      <w:r w:rsidRPr="00EE0E12">
        <w:t xml:space="preserve">rredura do óleo e recolhimento através de bombas acopladas possam ser feitas simultaneamente, contra ou a favor da direção da corrente e onda (respeitando o valor de seu limite operacional frente </w:t>
      </w:r>
      <w:r w:rsidR="003E44C4">
        <w:t>à</w:t>
      </w:r>
      <w:r w:rsidR="003E44C4" w:rsidRPr="00EE0E12">
        <w:t xml:space="preserve"> </w:t>
      </w:r>
      <w:r w:rsidRPr="00EE0E12">
        <w:t>resultante), conferindo ao sistema um maior poder de manobra.</w:t>
      </w:r>
    </w:p>
    <w:p w14:paraId="1D04B827" w14:textId="6B45F564" w:rsidR="00B97508" w:rsidRPr="00EE0E12" w:rsidRDefault="00B97508" w:rsidP="008314DB">
      <w:pPr>
        <w:pStyle w:val="tier1Itext"/>
      </w:pPr>
      <w:r w:rsidRPr="00EE0E12">
        <w:t>Adicionalmente, a maior eficiência do sistema se deve a presença d</w:t>
      </w:r>
      <w:r w:rsidR="00AB1A73">
        <w:t>o</w:t>
      </w:r>
      <w:r w:rsidRPr="00EE0E12">
        <w:t xml:space="preserve"> mecanismo de separação primária, que é posicionado antes do tanque separador e de válvulas existentes no assoalho do tanque separador.</w:t>
      </w:r>
    </w:p>
    <w:p w14:paraId="59197553" w14:textId="073544DB" w:rsidR="00B97508" w:rsidRPr="00EE0E12" w:rsidRDefault="00B97508" w:rsidP="008314DB">
      <w:pPr>
        <w:pStyle w:val="tier1Itext"/>
      </w:pPr>
      <w:r w:rsidRPr="00EE0E12">
        <w:t xml:space="preserve">Os recursos </w:t>
      </w:r>
      <w:r w:rsidR="00AB1A73">
        <w:t xml:space="preserve">projetados para a técnica de </w:t>
      </w:r>
      <w:r w:rsidRPr="00EE0E12">
        <w:t xml:space="preserve">contenção e recolhimento descritas neste PEI são apresentados na </w:t>
      </w:r>
      <w:r w:rsidRPr="00EE0E12">
        <w:rPr>
          <w:b/>
        </w:rPr>
        <w:fldChar w:fldCharType="begin"/>
      </w:r>
      <w:r w:rsidRPr="00EE0E12">
        <w:rPr>
          <w:b/>
        </w:rPr>
        <w:instrText xml:space="preserve"> REF _Ref411453111 \h  \* MERGEFORMAT </w:instrText>
      </w:r>
      <w:r w:rsidRPr="00EE0E12">
        <w:rPr>
          <w:b/>
        </w:rPr>
      </w:r>
      <w:r w:rsidRPr="00EE0E12">
        <w:rPr>
          <w:b/>
        </w:rPr>
        <w:fldChar w:fldCharType="separate"/>
      </w:r>
      <w:r w:rsidR="00AB1A73" w:rsidRPr="00AB1A73">
        <w:rPr>
          <w:b/>
          <w:szCs w:val="22"/>
        </w:rPr>
        <w:t xml:space="preserve">Tabela </w:t>
      </w:r>
      <w:r w:rsidR="00AB1A73" w:rsidRPr="00AB1A73">
        <w:rPr>
          <w:b/>
          <w:noProof/>
          <w:szCs w:val="22"/>
        </w:rPr>
        <w:t>14</w:t>
      </w:r>
      <w:r w:rsidRPr="00EE0E12">
        <w:rPr>
          <w:b/>
        </w:rPr>
        <w:fldChar w:fldCharType="end"/>
      </w:r>
      <w:r w:rsidRPr="00EE0E12">
        <w:t xml:space="preserve">. </w:t>
      </w:r>
      <w:r w:rsidR="00B434F8">
        <w:t>A</w:t>
      </w:r>
      <w:r w:rsidRPr="00EE0E12">
        <w:t xml:space="preserve"> evolução da resposta (em conformidade com os requisitos da Resolução CONAMA Nº 398/08) </w:t>
      </w:r>
      <w:r w:rsidR="00B434F8">
        <w:t>é indicada pelos tempos de disponibilidade também indicados nesta tabela</w:t>
      </w:r>
      <w:r w:rsidRPr="00EE0E12">
        <w:t>.</w:t>
      </w:r>
    </w:p>
    <w:p w14:paraId="40B6E418" w14:textId="77777777" w:rsidR="00B97508" w:rsidRDefault="00B97508" w:rsidP="00B97508">
      <w:pPr>
        <w:sectPr w:rsidR="00B97508" w:rsidSect="00656D39">
          <w:headerReference w:type="even" r:id="rId57"/>
          <w:headerReference w:type="default" r:id="rId58"/>
          <w:footerReference w:type="even" r:id="rId59"/>
          <w:footerReference w:type="default" r:id="rId60"/>
          <w:pgSz w:w="11906" w:h="16838" w:code="9"/>
          <w:pgMar w:top="1418" w:right="1418" w:bottom="1418" w:left="1418" w:header="170" w:footer="0" w:gutter="0"/>
          <w:cols w:space="708"/>
          <w:docGrid w:linePitch="360"/>
        </w:sectPr>
      </w:pPr>
    </w:p>
    <w:tbl>
      <w:tblPr>
        <w:tblStyle w:val="Ocean"/>
        <w:tblW w:w="4753"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ayout w:type="fixed"/>
        <w:tblLook w:val="04A0" w:firstRow="1" w:lastRow="0" w:firstColumn="1" w:lastColumn="0" w:noHBand="0" w:noVBand="1"/>
      </w:tblPr>
      <w:tblGrid>
        <w:gridCol w:w="990"/>
        <w:gridCol w:w="1682"/>
        <w:gridCol w:w="1504"/>
        <w:gridCol w:w="2298"/>
        <w:gridCol w:w="6809"/>
      </w:tblGrid>
      <w:tr w:rsidR="007E0169" w:rsidRPr="008314DB" w14:paraId="50DE05AD" w14:textId="77777777" w:rsidTr="003C7B91">
        <w:trPr>
          <w:cnfStyle w:val="100000000000" w:firstRow="1" w:lastRow="0" w:firstColumn="0" w:lastColumn="0" w:oddVBand="0" w:evenVBand="0" w:oddHBand="0" w:evenHBand="0" w:firstRowFirstColumn="0" w:firstRowLastColumn="0" w:lastRowFirstColumn="0" w:lastRowLastColumn="0"/>
          <w:cantSplit/>
          <w:trHeight w:val="340"/>
          <w:tblHeader/>
        </w:trPr>
        <w:tc>
          <w:tcPr>
            <w:tcW w:w="5000" w:type="pct"/>
            <w:gridSpan w:val="5"/>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vAlign w:val="bottom"/>
          </w:tcPr>
          <w:p w14:paraId="4359389F" w14:textId="77777777" w:rsidR="007E0169" w:rsidRPr="008314DB" w:rsidRDefault="007E0169" w:rsidP="008314DB">
            <w:pPr>
              <w:tabs>
                <w:tab w:val="left" w:pos="5529"/>
              </w:tabs>
              <w:spacing w:before="0" w:line="240" w:lineRule="auto"/>
              <w:jc w:val="left"/>
              <w:rPr>
                <w:rFonts w:asciiTheme="majorHAnsi" w:hAnsiTheme="majorHAnsi"/>
                <w:noProof/>
                <w:color w:val="auto"/>
                <w:sz w:val="20"/>
                <w:szCs w:val="20"/>
              </w:rPr>
            </w:pPr>
            <w:bookmarkStart w:id="192" w:name="_Ref411453111"/>
            <w:bookmarkStart w:id="193" w:name="_Toc412812271"/>
            <w:bookmarkStart w:id="194" w:name="_Toc523834046"/>
            <w:r w:rsidRPr="008314DB">
              <w:rPr>
                <w:rFonts w:asciiTheme="majorHAnsi" w:hAnsiTheme="majorHAnsi"/>
                <w:color w:val="auto"/>
                <w:sz w:val="20"/>
                <w:szCs w:val="20"/>
              </w:rPr>
              <w:lastRenderedPageBreak/>
              <w:t xml:space="preserve">Tabela </w:t>
            </w:r>
            <w:r w:rsidRPr="008314DB">
              <w:rPr>
                <w:rFonts w:asciiTheme="majorHAnsi" w:hAnsiTheme="majorHAnsi"/>
                <w:sz w:val="20"/>
                <w:szCs w:val="20"/>
              </w:rPr>
              <w:fldChar w:fldCharType="begin"/>
            </w:r>
            <w:r w:rsidRPr="008314DB">
              <w:rPr>
                <w:rFonts w:asciiTheme="majorHAnsi" w:hAnsiTheme="majorHAnsi"/>
                <w:color w:val="auto"/>
                <w:sz w:val="20"/>
                <w:szCs w:val="20"/>
              </w:rPr>
              <w:instrText xml:space="preserve"> SEQ Tabela \* ARABIC </w:instrText>
            </w:r>
            <w:r w:rsidRPr="008314DB">
              <w:rPr>
                <w:rFonts w:asciiTheme="majorHAnsi" w:hAnsiTheme="majorHAnsi"/>
                <w:sz w:val="20"/>
                <w:szCs w:val="20"/>
              </w:rPr>
              <w:fldChar w:fldCharType="separate"/>
            </w:r>
            <w:r w:rsidR="00AB1A73">
              <w:rPr>
                <w:rFonts w:asciiTheme="majorHAnsi" w:hAnsiTheme="majorHAnsi"/>
                <w:noProof/>
                <w:color w:val="auto"/>
                <w:sz w:val="20"/>
                <w:szCs w:val="20"/>
              </w:rPr>
              <w:t>14</w:t>
            </w:r>
            <w:r w:rsidRPr="008314DB">
              <w:rPr>
                <w:rFonts w:asciiTheme="majorHAnsi" w:hAnsiTheme="majorHAnsi"/>
                <w:sz w:val="20"/>
                <w:szCs w:val="20"/>
              </w:rPr>
              <w:fldChar w:fldCharType="end"/>
            </w:r>
            <w:bookmarkEnd w:id="192"/>
            <w:r w:rsidRPr="008314DB">
              <w:rPr>
                <w:rFonts w:asciiTheme="majorHAnsi" w:hAnsiTheme="majorHAnsi"/>
                <w:color w:val="auto"/>
                <w:sz w:val="20"/>
                <w:szCs w:val="20"/>
              </w:rPr>
              <w:t>: Recursos disponíveis para a operacionalização da estratégia de contenção e recolhimento.</w:t>
            </w:r>
            <w:bookmarkEnd w:id="193"/>
            <w:bookmarkEnd w:id="194"/>
          </w:p>
        </w:tc>
      </w:tr>
      <w:tr w:rsidR="003C7B91" w:rsidRPr="008314DB" w14:paraId="18BE14EC" w14:textId="77777777" w:rsidTr="003C7B91">
        <w:trPr>
          <w:cnfStyle w:val="100000000000" w:firstRow="1" w:lastRow="0" w:firstColumn="0" w:lastColumn="0" w:oddVBand="0" w:evenVBand="0" w:oddHBand="0" w:evenHBand="0" w:firstRowFirstColumn="0" w:firstRowLastColumn="0" w:lastRowFirstColumn="0" w:lastRowLastColumn="0"/>
          <w:cantSplit/>
          <w:trHeight w:val="398"/>
          <w:tblHeader/>
        </w:trPr>
        <w:tc>
          <w:tcPr>
            <w:tcW w:w="373" w:type="pct"/>
            <w:shd w:val="clear" w:color="auto" w:fill="1F497D"/>
          </w:tcPr>
          <w:p w14:paraId="3B5DF2AF" w14:textId="77777777" w:rsidR="00B434F8"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Tipo/</w:t>
            </w:r>
          </w:p>
          <w:p w14:paraId="708C967C" w14:textId="1E33F998"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Nome</w:t>
            </w:r>
          </w:p>
        </w:tc>
        <w:tc>
          <w:tcPr>
            <w:tcW w:w="633" w:type="pct"/>
            <w:shd w:val="clear" w:color="auto" w:fill="1F497D"/>
          </w:tcPr>
          <w:p w14:paraId="5C760EAD" w14:textId="77777777" w:rsidR="007E0169" w:rsidRPr="008314DB"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Função</w:t>
            </w:r>
          </w:p>
        </w:tc>
        <w:tc>
          <w:tcPr>
            <w:tcW w:w="566" w:type="pct"/>
            <w:shd w:val="clear" w:color="auto" w:fill="1F497D"/>
          </w:tcPr>
          <w:p w14:paraId="381DF7F6" w14:textId="77777777" w:rsidR="007E0169" w:rsidRPr="008314DB" w:rsidRDefault="007E0169" w:rsidP="002652AA">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Localização</w:t>
            </w:r>
          </w:p>
        </w:tc>
        <w:tc>
          <w:tcPr>
            <w:tcW w:w="865" w:type="pct"/>
            <w:shd w:val="clear" w:color="auto" w:fill="1F497D"/>
          </w:tcPr>
          <w:p w14:paraId="70BE6E88" w14:textId="77777777"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Tempo para disponibilidade</w:t>
            </w:r>
          </w:p>
        </w:tc>
        <w:tc>
          <w:tcPr>
            <w:tcW w:w="2563" w:type="pct"/>
            <w:shd w:val="clear" w:color="auto" w:fill="1F497D"/>
          </w:tcPr>
          <w:p w14:paraId="54A35343" w14:textId="77777777" w:rsidR="007E0169" w:rsidRPr="008314DB" w:rsidRDefault="007E0169" w:rsidP="002652AA">
            <w:pPr>
              <w:tabs>
                <w:tab w:val="left" w:pos="5529"/>
              </w:tabs>
              <w:spacing w:before="0" w:line="240" w:lineRule="auto"/>
              <w:jc w:val="center"/>
              <w:rPr>
                <w:rFonts w:asciiTheme="majorHAnsi" w:hAnsiTheme="majorHAnsi"/>
                <w:b w:val="0"/>
                <w:noProof/>
                <w:sz w:val="20"/>
                <w:szCs w:val="20"/>
              </w:rPr>
            </w:pPr>
            <w:r w:rsidRPr="008314DB">
              <w:rPr>
                <w:rFonts w:asciiTheme="majorHAnsi" w:hAnsiTheme="majorHAnsi"/>
                <w:noProof/>
                <w:sz w:val="20"/>
                <w:szCs w:val="20"/>
              </w:rPr>
              <w:t>Recursos de Contenção e Recolhimento</w:t>
            </w:r>
          </w:p>
        </w:tc>
      </w:tr>
      <w:tr w:rsidR="003C7B91" w:rsidRPr="008314DB" w14:paraId="406AD2EF" w14:textId="77777777" w:rsidTr="003C7B91">
        <w:trPr>
          <w:cnfStyle w:val="000000100000" w:firstRow="0" w:lastRow="0" w:firstColumn="0" w:lastColumn="0" w:oddVBand="0" w:evenVBand="0" w:oddHBand="1" w:evenHBand="0" w:firstRowFirstColumn="0" w:firstRowLastColumn="0" w:lastRowFirstColumn="0" w:lastRowLastColumn="0"/>
          <w:cantSplit/>
          <w:trHeight w:val="2154"/>
        </w:trPr>
        <w:tc>
          <w:tcPr>
            <w:tcW w:w="373" w:type="pct"/>
          </w:tcPr>
          <w:p w14:paraId="4F356492" w14:textId="25E7D4CC" w:rsidR="00B17610" w:rsidRPr="008314DB" w:rsidRDefault="00B17610" w:rsidP="008314DB">
            <w:pPr>
              <w:tabs>
                <w:tab w:val="left" w:pos="5529"/>
              </w:tabs>
              <w:spacing w:before="0" w:line="240" w:lineRule="auto"/>
              <w:rPr>
                <w:rFonts w:asciiTheme="majorHAnsi" w:hAnsiTheme="majorHAnsi"/>
                <w:b/>
                <w:noProof/>
                <w:sz w:val="20"/>
                <w:szCs w:val="20"/>
              </w:rPr>
            </w:pPr>
            <w:r w:rsidRPr="008314DB">
              <w:rPr>
                <w:rFonts w:asciiTheme="majorHAnsi" w:hAnsiTheme="majorHAnsi"/>
                <w:b/>
                <w:noProof/>
                <w:sz w:val="20"/>
                <w:szCs w:val="20"/>
              </w:rPr>
              <w:t>OSRV</w:t>
            </w:r>
          </w:p>
        </w:tc>
        <w:tc>
          <w:tcPr>
            <w:tcW w:w="633" w:type="pct"/>
          </w:tcPr>
          <w:p w14:paraId="4E600FC7" w14:textId="7FEA2B66" w:rsidR="00B17610" w:rsidRPr="008314DB" w:rsidRDefault="00B17610" w:rsidP="00FA4BE7">
            <w:pPr>
              <w:tabs>
                <w:tab w:val="left" w:pos="5529"/>
              </w:tabs>
              <w:spacing w:before="0" w:line="240" w:lineRule="auto"/>
              <w:jc w:val="center"/>
              <w:rPr>
                <w:rFonts w:asciiTheme="majorHAnsi" w:hAnsiTheme="majorHAnsi"/>
                <w:b/>
                <w:i/>
                <w:noProof/>
                <w:sz w:val="20"/>
                <w:szCs w:val="20"/>
              </w:rPr>
            </w:pPr>
            <w:r w:rsidRPr="008314DB">
              <w:rPr>
                <w:rFonts w:asciiTheme="majorHAnsi" w:hAnsiTheme="majorHAnsi"/>
                <w:i/>
                <w:noProof/>
                <w:sz w:val="20"/>
                <w:szCs w:val="20"/>
              </w:rPr>
              <w:t>Embarcação de resposta dedicada</w:t>
            </w:r>
          </w:p>
        </w:tc>
        <w:tc>
          <w:tcPr>
            <w:tcW w:w="566" w:type="pct"/>
          </w:tcPr>
          <w:p w14:paraId="564A1DDB" w14:textId="0AA056D1"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Até 2h da locação</w:t>
            </w:r>
          </w:p>
        </w:tc>
        <w:tc>
          <w:tcPr>
            <w:tcW w:w="865" w:type="pct"/>
            <w:shd w:val="clear" w:color="auto" w:fill="EB3719"/>
          </w:tcPr>
          <w:p w14:paraId="74684F38" w14:textId="6447F771" w:rsidR="00B17610" w:rsidRPr="00C45C9A" w:rsidRDefault="00B17610" w:rsidP="00FA4BE7">
            <w:pPr>
              <w:tabs>
                <w:tab w:val="left" w:pos="5529"/>
              </w:tabs>
              <w:spacing w:before="0" w:line="240" w:lineRule="auto"/>
              <w:jc w:val="center"/>
              <w:rPr>
                <w:rFonts w:asciiTheme="majorHAnsi" w:hAnsiTheme="majorHAnsi"/>
                <w:noProof/>
                <w:color w:val="FFFFFF" w:themeColor="background1"/>
                <w:sz w:val="20"/>
                <w:szCs w:val="20"/>
                <w:highlight w:val="lightGray"/>
              </w:rPr>
            </w:pPr>
            <w:r w:rsidRPr="00EE130C">
              <w:rPr>
                <w:rFonts w:asciiTheme="majorHAnsi" w:hAnsiTheme="majorHAnsi"/>
                <w:noProof/>
                <w:color w:val="FFFFFF" w:themeColor="background1"/>
                <w:sz w:val="20"/>
                <w:szCs w:val="20"/>
              </w:rPr>
              <w:t xml:space="preserve">02 / </w:t>
            </w:r>
            <w:r w:rsidRPr="00EE130C">
              <w:rPr>
                <w:rFonts w:asciiTheme="majorHAnsi" w:hAnsiTheme="majorHAnsi"/>
                <w:noProof/>
                <w:color w:val="FFFFFF" w:themeColor="background1"/>
              </w:rPr>
              <w:t>06 / 12 h</w:t>
            </w:r>
          </w:p>
        </w:tc>
        <w:tc>
          <w:tcPr>
            <w:tcW w:w="2563" w:type="pct"/>
          </w:tcPr>
          <w:p w14:paraId="0A2495A1" w14:textId="77777777" w:rsidR="00B17610" w:rsidRPr="008314DB" w:rsidRDefault="00B17610" w:rsidP="00FA4BE7">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388CFBA2" w14:textId="0E57640B" w:rsidR="00B17610" w:rsidRPr="00B17610"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00A61ECA"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sidR="00AB1A73">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p>
          <w:p w14:paraId="50160A2C" w14:textId="709659BA" w:rsidR="00A61ECA" w:rsidRDefault="00A61ECA" w:rsidP="00A61ECA">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barreira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sidRPr="00A61ECA">
              <w:rPr>
                <w:rFonts w:asciiTheme="majorHAnsi" w:hAnsiTheme="majorHAnsi"/>
                <w:noProof/>
                <w:sz w:val="20"/>
                <w:szCs w:val="20"/>
              </w:rPr>
              <w:t xml:space="preserve"> </w:t>
            </w:r>
            <w:r w:rsidRPr="006B5044">
              <w:rPr>
                <w:rFonts w:asciiTheme="majorHAnsi" w:hAnsiTheme="majorHAnsi"/>
                <w:noProof/>
                <w:sz w:val="20"/>
                <w:szCs w:val="20"/>
              </w:rPr>
              <w:t>(</w:t>
            </w:r>
            <w:r>
              <w:rPr>
                <w:rFonts w:asciiTheme="majorHAnsi" w:hAnsiTheme="majorHAnsi"/>
                <w:noProof/>
                <w:sz w:val="20"/>
                <w:szCs w:val="20"/>
              </w:rPr>
              <w:t>considerada redundância da primeira)</w:t>
            </w:r>
          </w:p>
          <w:p w14:paraId="70A6D7D7" w14:textId="7330B5CF" w:rsidR="00A61ECA" w:rsidRDefault="00A61ECA" w:rsidP="00A61ECA">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bomba reserva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Pr>
                <w:rFonts w:asciiTheme="majorHAnsi" w:hAnsiTheme="majorHAnsi"/>
                <w:noProof/>
                <w:sz w:val="20"/>
                <w:szCs w:val="20"/>
              </w:rPr>
              <w:t>, com CN</w:t>
            </w:r>
            <w:r w:rsidRPr="00A61ECA">
              <w:rPr>
                <w:rFonts w:asciiTheme="majorHAnsi" w:hAnsiTheme="majorHAnsi"/>
                <w:noProof/>
                <w:sz w:val="20"/>
                <w:szCs w:val="20"/>
                <w:vertAlign w:val="superscript"/>
              </w:rPr>
              <w:t>1</w:t>
            </w:r>
            <w:r>
              <w:rPr>
                <w:rFonts w:asciiTheme="majorHAnsi" w:hAnsiTheme="majorHAnsi"/>
                <w:noProof/>
                <w:sz w:val="20"/>
                <w:szCs w:val="20"/>
              </w:rPr>
              <w:t xml:space="preserve"> de 100 m</w:t>
            </w:r>
            <w:r w:rsidRPr="00A61ECA">
              <w:rPr>
                <w:rFonts w:asciiTheme="majorHAnsi" w:hAnsiTheme="majorHAnsi"/>
                <w:noProof/>
                <w:sz w:val="20"/>
                <w:szCs w:val="20"/>
                <w:vertAlign w:val="superscript"/>
              </w:rPr>
              <w:t>3</w:t>
            </w:r>
            <w:r>
              <w:rPr>
                <w:rFonts w:asciiTheme="majorHAnsi" w:hAnsiTheme="majorHAnsi"/>
                <w:noProof/>
                <w:sz w:val="20"/>
                <w:szCs w:val="20"/>
              </w:rPr>
              <w:t xml:space="preserve">/h </w:t>
            </w:r>
          </w:p>
          <w:p w14:paraId="162C66A7" w14:textId="4BB33CFB" w:rsidR="00B17610" w:rsidRPr="008314DB" w:rsidRDefault="00B17610" w:rsidP="00A61ECA">
            <w:pPr>
              <w:tabs>
                <w:tab w:val="left" w:pos="5529"/>
              </w:tabs>
              <w:spacing w:before="0" w:line="240" w:lineRule="auto"/>
              <w:jc w:val="left"/>
              <w:rPr>
                <w:rFonts w:asciiTheme="majorHAnsi" w:hAnsiTheme="majorHAnsi"/>
                <w:noProof/>
                <w:sz w:val="20"/>
                <w:szCs w:val="20"/>
              </w:rPr>
            </w:pPr>
            <w:r w:rsidRPr="008314DB">
              <w:rPr>
                <w:rFonts w:asciiTheme="majorHAnsi" w:hAnsiTheme="majorHAnsi"/>
                <w:b/>
                <w:noProof/>
                <w:sz w:val="20"/>
                <w:szCs w:val="20"/>
              </w:rPr>
              <w:t>Tancagem</w:t>
            </w:r>
            <w:r>
              <w:rPr>
                <w:rFonts w:asciiTheme="majorHAnsi" w:hAnsiTheme="majorHAnsi"/>
                <w:noProof/>
                <w:sz w:val="20"/>
                <w:szCs w:val="20"/>
              </w:rPr>
              <w:t>: 1.050 m³ (livre/</w:t>
            </w:r>
            <w:r w:rsidR="00AB1A73">
              <w:rPr>
                <w:rFonts w:asciiTheme="majorHAnsi" w:hAnsiTheme="majorHAnsi"/>
                <w:noProof/>
                <w:sz w:val="20"/>
                <w:szCs w:val="20"/>
              </w:rPr>
              <w:t>dedicada à resposta)</w:t>
            </w:r>
          </w:p>
        </w:tc>
      </w:tr>
      <w:tr w:rsidR="003C7B91" w:rsidRPr="008314DB" w14:paraId="2E059E51" w14:textId="77777777" w:rsidTr="003C7B91">
        <w:trPr>
          <w:cnfStyle w:val="000000010000" w:firstRow="0" w:lastRow="0" w:firstColumn="0" w:lastColumn="0" w:oddVBand="0" w:evenVBand="0" w:oddHBand="0" w:evenHBand="1" w:firstRowFirstColumn="0" w:firstRowLastColumn="0" w:lastRowFirstColumn="0" w:lastRowLastColumn="0"/>
          <w:cantSplit/>
          <w:trHeight w:val="1701"/>
        </w:trPr>
        <w:tc>
          <w:tcPr>
            <w:tcW w:w="373" w:type="pct"/>
          </w:tcPr>
          <w:p w14:paraId="2ABCF284" w14:textId="40DB9794" w:rsidR="00B17610" w:rsidRPr="008314DB" w:rsidRDefault="00B17610" w:rsidP="008314DB">
            <w:pPr>
              <w:tabs>
                <w:tab w:val="left" w:pos="5529"/>
              </w:tabs>
              <w:spacing w:before="0" w:line="240" w:lineRule="auto"/>
              <w:rPr>
                <w:rFonts w:asciiTheme="majorHAnsi" w:hAnsiTheme="majorHAnsi"/>
                <w:b/>
                <w:noProof/>
                <w:sz w:val="20"/>
                <w:szCs w:val="20"/>
              </w:rPr>
            </w:pPr>
            <w:r w:rsidRPr="008314DB">
              <w:rPr>
                <w:rFonts w:asciiTheme="majorHAnsi" w:hAnsiTheme="majorHAnsi"/>
                <w:b/>
                <w:noProof/>
                <w:sz w:val="20"/>
                <w:szCs w:val="20"/>
              </w:rPr>
              <w:t xml:space="preserve">PSV 01 </w:t>
            </w:r>
          </w:p>
        </w:tc>
        <w:tc>
          <w:tcPr>
            <w:tcW w:w="633" w:type="pct"/>
          </w:tcPr>
          <w:p w14:paraId="4B03139A" w14:textId="181E787F" w:rsidR="00B17610" w:rsidRPr="00B434F8" w:rsidRDefault="00B434F8" w:rsidP="00B434F8">
            <w:pPr>
              <w:tabs>
                <w:tab w:val="left" w:pos="5529"/>
              </w:tabs>
              <w:spacing w:before="0" w:line="240" w:lineRule="auto"/>
              <w:jc w:val="center"/>
              <w:rPr>
                <w:rFonts w:asciiTheme="majorHAnsi" w:hAnsiTheme="majorHAnsi"/>
                <w:i/>
                <w:noProof/>
                <w:sz w:val="20"/>
                <w:szCs w:val="20"/>
              </w:rPr>
            </w:pPr>
            <w:r>
              <w:rPr>
                <w:rFonts w:asciiTheme="majorHAnsi" w:hAnsiTheme="majorHAnsi"/>
                <w:i/>
                <w:noProof/>
                <w:sz w:val="20"/>
                <w:szCs w:val="20"/>
              </w:rPr>
              <w:t>Embarcação de recolhimento</w:t>
            </w:r>
          </w:p>
        </w:tc>
        <w:tc>
          <w:tcPr>
            <w:tcW w:w="566" w:type="pct"/>
          </w:tcPr>
          <w:p w14:paraId="5013E6C4" w14:textId="5CAF06FD"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Até </w:t>
            </w:r>
            <w:r>
              <w:rPr>
                <w:rFonts w:asciiTheme="majorHAnsi" w:hAnsiTheme="majorHAnsi"/>
                <w:noProof/>
                <w:sz w:val="20"/>
                <w:szCs w:val="20"/>
              </w:rPr>
              <w:t>36</w:t>
            </w:r>
            <w:r w:rsidRPr="008314DB">
              <w:rPr>
                <w:rFonts w:asciiTheme="majorHAnsi" w:hAnsiTheme="majorHAnsi"/>
                <w:noProof/>
                <w:sz w:val="20"/>
                <w:szCs w:val="20"/>
              </w:rPr>
              <w:t>h da locação</w:t>
            </w:r>
          </w:p>
        </w:tc>
        <w:tc>
          <w:tcPr>
            <w:tcW w:w="865" w:type="pct"/>
            <w:shd w:val="clear" w:color="auto" w:fill="FFC000"/>
          </w:tcPr>
          <w:p w14:paraId="2688D5A8" w14:textId="013A2CD1" w:rsidR="00B17610" w:rsidRPr="008314DB" w:rsidRDefault="00B17610" w:rsidP="00FA4BE7">
            <w:pPr>
              <w:tabs>
                <w:tab w:val="left" w:pos="5529"/>
              </w:tabs>
              <w:spacing w:before="0" w:line="240" w:lineRule="auto"/>
              <w:jc w:val="center"/>
              <w:rPr>
                <w:rFonts w:asciiTheme="majorHAnsi" w:hAnsiTheme="majorHAnsi"/>
                <w:noProof/>
                <w:color w:val="FFFFFF" w:themeColor="background1"/>
                <w:sz w:val="20"/>
                <w:szCs w:val="20"/>
              </w:rPr>
            </w:pPr>
            <w:r w:rsidRPr="00AA0B19">
              <w:rPr>
                <w:rFonts w:asciiTheme="majorHAnsi" w:hAnsiTheme="majorHAnsi"/>
                <w:noProof/>
                <w:sz w:val="20"/>
                <w:szCs w:val="20"/>
              </w:rPr>
              <w:t>36 h</w:t>
            </w:r>
          </w:p>
        </w:tc>
        <w:tc>
          <w:tcPr>
            <w:tcW w:w="2563" w:type="pct"/>
          </w:tcPr>
          <w:p w14:paraId="1DE7E145" w14:textId="77777777" w:rsidR="00B434F8" w:rsidRPr="008314DB" w:rsidRDefault="00B434F8" w:rsidP="00B434F8">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63B9E690" w14:textId="77777777" w:rsidR="00B434F8" w:rsidRPr="00B17610" w:rsidRDefault="00B434F8" w:rsidP="00B434F8">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p>
          <w:p w14:paraId="6DCEFBA0" w14:textId="77777777" w:rsidR="00B434F8" w:rsidRDefault="00B434F8" w:rsidP="00B434F8">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barreira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sidRPr="00A61ECA">
              <w:rPr>
                <w:rFonts w:asciiTheme="majorHAnsi" w:hAnsiTheme="majorHAnsi"/>
                <w:noProof/>
                <w:sz w:val="20"/>
                <w:szCs w:val="20"/>
              </w:rPr>
              <w:t xml:space="preserve"> </w:t>
            </w:r>
            <w:r w:rsidRPr="006B5044">
              <w:rPr>
                <w:rFonts w:asciiTheme="majorHAnsi" w:hAnsiTheme="majorHAnsi"/>
                <w:noProof/>
                <w:sz w:val="20"/>
                <w:szCs w:val="20"/>
              </w:rPr>
              <w:t>(</w:t>
            </w:r>
            <w:r>
              <w:rPr>
                <w:rFonts w:asciiTheme="majorHAnsi" w:hAnsiTheme="majorHAnsi"/>
                <w:noProof/>
                <w:sz w:val="20"/>
                <w:szCs w:val="20"/>
              </w:rPr>
              <w:t>considerada redundância da primeira)</w:t>
            </w:r>
          </w:p>
          <w:p w14:paraId="3DAD6D56" w14:textId="77777777" w:rsidR="00B434F8" w:rsidRDefault="00B434F8" w:rsidP="00B434F8">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bomba reserva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Pr>
                <w:rFonts w:asciiTheme="majorHAnsi" w:hAnsiTheme="majorHAnsi"/>
                <w:noProof/>
                <w:sz w:val="20"/>
                <w:szCs w:val="20"/>
              </w:rPr>
              <w:t>, com CN</w:t>
            </w:r>
            <w:r w:rsidRPr="00A61ECA">
              <w:rPr>
                <w:rFonts w:asciiTheme="majorHAnsi" w:hAnsiTheme="majorHAnsi"/>
                <w:noProof/>
                <w:sz w:val="20"/>
                <w:szCs w:val="20"/>
                <w:vertAlign w:val="superscript"/>
              </w:rPr>
              <w:t>1</w:t>
            </w:r>
            <w:r>
              <w:rPr>
                <w:rFonts w:asciiTheme="majorHAnsi" w:hAnsiTheme="majorHAnsi"/>
                <w:noProof/>
                <w:sz w:val="20"/>
                <w:szCs w:val="20"/>
              </w:rPr>
              <w:t xml:space="preserve"> de 100 m</w:t>
            </w:r>
            <w:r w:rsidRPr="00A61ECA">
              <w:rPr>
                <w:rFonts w:asciiTheme="majorHAnsi" w:hAnsiTheme="majorHAnsi"/>
                <w:noProof/>
                <w:sz w:val="20"/>
                <w:szCs w:val="20"/>
                <w:vertAlign w:val="superscript"/>
              </w:rPr>
              <w:t>3</w:t>
            </w:r>
            <w:r>
              <w:rPr>
                <w:rFonts w:asciiTheme="majorHAnsi" w:hAnsiTheme="majorHAnsi"/>
                <w:noProof/>
                <w:sz w:val="20"/>
                <w:szCs w:val="20"/>
              </w:rPr>
              <w:t xml:space="preserve">/h </w:t>
            </w:r>
          </w:p>
          <w:p w14:paraId="7E6CC66F" w14:textId="4F3BEE57" w:rsidR="00B17610" w:rsidRPr="008314DB" w:rsidRDefault="00B17610"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b/>
                <w:noProof/>
                <w:sz w:val="20"/>
                <w:szCs w:val="20"/>
              </w:rPr>
              <w:t>Tancagem</w:t>
            </w:r>
            <w:r w:rsidR="00B434F8">
              <w:rPr>
                <w:rFonts w:asciiTheme="majorHAnsi" w:hAnsiTheme="majorHAnsi"/>
                <w:noProof/>
                <w:sz w:val="20"/>
                <w:szCs w:val="20"/>
              </w:rPr>
              <w:t xml:space="preserve">: 750 m³ </w:t>
            </w:r>
          </w:p>
        </w:tc>
      </w:tr>
      <w:tr w:rsidR="003C7B91" w:rsidRPr="008314DB" w14:paraId="4AD7ADD8" w14:textId="77777777" w:rsidTr="003C7B91">
        <w:trPr>
          <w:cnfStyle w:val="000000100000" w:firstRow="0" w:lastRow="0" w:firstColumn="0" w:lastColumn="0" w:oddVBand="0" w:evenVBand="0" w:oddHBand="1" w:evenHBand="0" w:firstRowFirstColumn="0" w:firstRowLastColumn="0" w:lastRowFirstColumn="0" w:lastRowLastColumn="0"/>
          <w:cantSplit/>
          <w:trHeight w:val="680"/>
        </w:trPr>
        <w:tc>
          <w:tcPr>
            <w:tcW w:w="373" w:type="pct"/>
          </w:tcPr>
          <w:p w14:paraId="7740690C" w14:textId="2EC5A3D0" w:rsidR="00B434F8" w:rsidRPr="008314DB" w:rsidRDefault="00B434F8" w:rsidP="008314DB">
            <w:pPr>
              <w:tabs>
                <w:tab w:val="left" w:pos="5529"/>
              </w:tabs>
              <w:spacing w:before="0" w:line="240" w:lineRule="auto"/>
              <w:rPr>
                <w:rFonts w:asciiTheme="majorHAnsi" w:hAnsiTheme="majorHAnsi"/>
                <w:b/>
                <w:noProof/>
                <w:sz w:val="20"/>
                <w:szCs w:val="20"/>
              </w:rPr>
            </w:pPr>
            <w:r w:rsidRPr="008314DB">
              <w:rPr>
                <w:rFonts w:asciiTheme="majorHAnsi" w:hAnsiTheme="majorHAnsi"/>
                <w:b/>
                <w:noProof/>
                <w:sz w:val="20"/>
                <w:szCs w:val="20"/>
              </w:rPr>
              <w:t>PSV 02</w:t>
            </w:r>
          </w:p>
        </w:tc>
        <w:tc>
          <w:tcPr>
            <w:tcW w:w="633" w:type="pct"/>
          </w:tcPr>
          <w:p w14:paraId="7D0AEBDD" w14:textId="4233CEE7" w:rsidR="00B434F8" w:rsidRPr="008314DB" w:rsidRDefault="00B434F8" w:rsidP="00FA4BE7">
            <w:pPr>
              <w:keepNext/>
              <w:tabs>
                <w:tab w:val="left" w:pos="5529"/>
              </w:tabs>
              <w:spacing w:before="0" w:line="240" w:lineRule="auto"/>
              <w:jc w:val="center"/>
              <w:rPr>
                <w:rFonts w:asciiTheme="majorHAnsi" w:hAnsiTheme="majorHAnsi"/>
                <w:b/>
                <w:i/>
                <w:noProof/>
                <w:sz w:val="20"/>
                <w:szCs w:val="20"/>
              </w:rPr>
            </w:pPr>
            <w:r w:rsidRPr="008314DB">
              <w:rPr>
                <w:rFonts w:asciiTheme="majorHAnsi" w:hAnsiTheme="majorHAnsi"/>
                <w:i/>
                <w:noProof/>
                <w:sz w:val="20"/>
                <w:szCs w:val="20"/>
              </w:rPr>
              <w:t xml:space="preserve">Embarcação de recolhimento </w:t>
            </w:r>
            <w:r>
              <w:rPr>
                <w:rFonts w:asciiTheme="majorHAnsi" w:hAnsiTheme="majorHAnsi"/>
                <w:i/>
                <w:noProof/>
                <w:sz w:val="20"/>
                <w:szCs w:val="20"/>
              </w:rPr>
              <w:t>complementar</w:t>
            </w:r>
          </w:p>
        </w:tc>
        <w:tc>
          <w:tcPr>
            <w:tcW w:w="566" w:type="pct"/>
          </w:tcPr>
          <w:p w14:paraId="27077CE4" w14:textId="6FE97EC5" w:rsidR="00B434F8" w:rsidRPr="008314DB" w:rsidRDefault="00B434F8" w:rsidP="00FA4BE7">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Entre a locação e a base de apoio </w:t>
            </w:r>
            <w:r w:rsidRPr="008314DB">
              <w:rPr>
                <w:rFonts w:asciiTheme="majorHAnsi" w:hAnsiTheme="majorHAnsi"/>
                <w:i/>
                <w:noProof/>
                <w:sz w:val="20"/>
                <w:szCs w:val="20"/>
              </w:rPr>
              <w:t>logístico onshore</w:t>
            </w:r>
          </w:p>
        </w:tc>
        <w:tc>
          <w:tcPr>
            <w:tcW w:w="865" w:type="pct"/>
            <w:shd w:val="clear" w:color="auto" w:fill="92D050"/>
          </w:tcPr>
          <w:p w14:paraId="654EF731" w14:textId="0B3BDBC0" w:rsidR="00B434F8" w:rsidRPr="008314DB" w:rsidRDefault="00B434F8" w:rsidP="00FA4BE7">
            <w:pPr>
              <w:tabs>
                <w:tab w:val="left" w:pos="5529"/>
              </w:tabs>
              <w:spacing w:before="0" w:line="240" w:lineRule="auto"/>
              <w:jc w:val="center"/>
              <w:rPr>
                <w:rFonts w:asciiTheme="majorHAnsi" w:hAnsiTheme="majorHAnsi"/>
                <w:noProof/>
                <w:sz w:val="20"/>
                <w:szCs w:val="20"/>
              </w:rPr>
            </w:pPr>
            <w:r w:rsidRPr="008314DB">
              <w:rPr>
                <w:rFonts w:asciiTheme="majorHAnsi" w:hAnsiTheme="majorHAnsi"/>
                <w:noProof/>
                <w:sz w:val="20"/>
                <w:szCs w:val="20"/>
              </w:rPr>
              <w:t>60 h</w:t>
            </w:r>
          </w:p>
        </w:tc>
        <w:tc>
          <w:tcPr>
            <w:tcW w:w="2563" w:type="pct"/>
          </w:tcPr>
          <w:p w14:paraId="4C43368B" w14:textId="77777777" w:rsidR="00B434F8" w:rsidRPr="008314DB" w:rsidRDefault="00B434F8" w:rsidP="00D7095B">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Sistema de contenção e recolhimento</w:t>
            </w:r>
          </w:p>
          <w:p w14:paraId="499046B7" w14:textId="77777777" w:rsidR="00B434F8" w:rsidRPr="00B17610" w:rsidRDefault="00B434F8" w:rsidP="00D7095B">
            <w:pPr>
              <w:tabs>
                <w:tab w:val="left" w:pos="5529"/>
              </w:tabs>
              <w:spacing w:before="0" w:line="240" w:lineRule="auto"/>
              <w:jc w:val="left"/>
              <w:rPr>
                <w:rFonts w:asciiTheme="majorHAnsi" w:hAnsiTheme="majorHAnsi"/>
                <w:noProof/>
                <w:sz w:val="20"/>
                <w:szCs w:val="20"/>
              </w:rPr>
            </w:pPr>
            <w:r w:rsidRPr="008314DB">
              <w:rPr>
                <w:rFonts w:asciiTheme="majorHAnsi" w:hAnsiTheme="majorHAnsi"/>
                <w:noProof/>
                <w:sz w:val="20"/>
                <w:szCs w:val="20"/>
              </w:rPr>
              <w:t xml:space="preserve">01 </w:t>
            </w:r>
            <w:r w:rsidRPr="008314DB">
              <w:rPr>
                <w:rFonts w:asciiTheme="majorHAnsi" w:hAnsiTheme="majorHAnsi"/>
                <w:i/>
                <w:noProof/>
                <w:sz w:val="20"/>
                <w:szCs w:val="20"/>
              </w:rPr>
              <w:t xml:space="preserve">Sistema Current Buster 6 </w:t>
            </w:r>
            <w:r w:rsidRPr="00A61ECA">
              <w:rPr>
                <w:rFonts w:asciiTheme="majorHAnsi" w:hAnsiTheme="majorHAnsi"/>
                <w:i/>
                <w:noProof/>
                <w:sz w:val="20"/>
                <w:szCs w:val="20"/>
              </w:rPr>
              <w:t>[CB6]</w:t>
            </w:r>
            <w:r w:rsidRPr="008314DB">
              <w:rPr>
                <w:rFonts w:asciiTheme="majorHAnsi" w:hAnsiTheme="majorHAnsi"/>
                <w:i/>
                <w:noProof/>
                <w:sz w:val="20"/>
                <w:szCs w:val="20"/>
              </w:rPr>
              <w:t>,</w:t>
            </w:r>
            <w:r w:rsidRPr="008314DB">
              <w:rPr>
                <w:rFonts w:asciiTheme="majorHAnsi" w:hAnsiTheme="majorHAnsi"/>
                <w:noProof/>
                <w:sz w:val="20"/>
                <w:szCs w:val="20"/>
              </w:rPr>
              <w:t xml:space="preserve"> com bomba acoplada, CN</w:t>
            </w:r>
            <w:r>
              <w:rPr>
                <w:rFonts w:asciiTheme="majorHAnsi" w:hAnsiTheme="majorHAnsi"/>
                <w:noProof/>
                <w:sz w:val="20"/>
                <w:szCs w:val="20"/>
              </w:rPr>
              <w:t>¹</w:t>
            </w:r>
            <w:r w:rsidRPr="008314DB">
              <w:rPr>
                <w:rFonts w:asciiTheme="majorHAnsi" w:hAnsiTheme="majorHAnsi"/>
                <w:noProof/>
                <w:sz w:val="20"/>
                <w:szCs w:val="20"/>
              </w:rPr>
              <w:t xml:space="preserve"> </w:t>
            </w:r>
            <w:r>
              <w:rPr>
                <w:rFonts w:asciiTheme="majorHAnsi" w:hAnsiTheme="majorHAnsi"/>
                <w:noProof/>
                <w:sz w:val="20"/>
                <w:szCs w:val="20"/>
              </w:rPr>
              <w:t>de</w:t>
            </w:r>
            <w:r w:rsidRPr="008314DB">
              <w:rPr>
                <w:rFonts w:asciiTheme="majorHAnsi" w:hAnsiTheme="majorHAnsi"/>
                <w:noProof/>
                <w:sz w:val="20"/>
                <w:szCs w:val="20"/>
              </w:rPr>
              <w:t xml:space="preserve"> 100</w:t>
            </w:r>
            <w:r>
              <w:rPr>
                <w:rFonts w:asciiTheme="majorHAnsi" w:hAnsiTheme="majorHAnsi"/>
                <w:noProof/>
                <w:sz w:val="20"/>
                <w:szCs w:val="20"/>
              </w:rPr>
              <w:t> </w:t>
            </w:r>
            <w:r w:rsidRPr="008314DB">
              <w:rPr>
                <w:rFonts w:asciiTheme="majorHAnsi" w:hAnsiTheme="majorHAnsi"/>
                <w:noProof/>
                <w:sz w:val="20"/>
                <w:szCs w:val="20"/>
              </w:rPr>
              <w:t xml:space="preserve">m³/h &amp; </w:t>
            </w:r>
            <w:r w:rsidRPr="008314DB">
              <w:rPr>
                <w:rFonts w:asciiTheme="majorHAnsi" w:hAnsiTheme="majorHAnsi"/>
                <w:i/>
                <w:noProof/>
                <w:sz w:val="20"/>
                <w:szCs w:val="20"/>
              </w:rPr>
              <w:t>BoomVane</w:t>
            </w:r>
          </w:p>
          <w:p w14:paraId="3EF5BA9D" w14:textId="77777777" w:rsidR="00B434F8" w:rsidRDefault="00B434F8" w:rsidP="00D7095B">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barreira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sidRPr="00A61ECA">
              <w:rPr>
                <w:rFonts w:asciiTheme="majorHAnsi" w:hAnsiTheme="majorHAnsi"/>
                <w:noProof/>
                <w:sz w:val="20"/>
                <w:szCs w:val="20"/>
              </w:rPr>
              <w:t xml:space="preserve"> </w:t>
            </w:r>
            <w:r w:rsidRPr="006B5044">
              <w:rPr>
                <w:rFonts w:asciiTheme="majorHAnsi" w:hAnsiTheme="majorHAnsi"/>
                <w:noProof/>
                <w:sz w:val="20"/>
                <w:szCs w:val="20"/>
              </w:rPr>
              <w:t>(</w:t>
            </w:r>
            <w:r>
              <w:rPr>
                <w:rFonts w:asciiTheme="majorHAnsi" w:hAnsiTheme="majorHAnsi"/>
                <w:noProof/>
                <w:sz w:val="20"/>
                <w:szCs w:val="20"/>
              </w:rPr>
              <w:t>considerada redundância da primeira)</w:t>
            </w:r>
          </w:p>
          <w:p w14:paraId="7404F498" w14:textId="77777777" w:rsidR="00B434F8" w:rsidRDefault="00B434F8" w:rsidP="00D7095B">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 xml:space="preserve">01 bomba reserva do </w:t>
            </w:r>
            <w:r w:rsidRPr="00A61ECA">
              <w:rPr>
                <w:rFonts w:asciiTheme="majorHAnsi" w:hAnsiTheme="majorHAnsi"/>
                <w:i/>
                <w:noProof/>
                <w:sz w:val="20"/>
                <w:szCs w:val="20"/>
              </w:rPr>
              <w:t>Sistema Current Buster 6</w:t>
            </w:r>
            <w:r>
              <w:rPr>
                <w:rFonts w:asciiTheme="majorHAnsi" w:hAnsiTheme="majorHAnsi"/>
                <w:noProof/>
                <w:sz w:val="20"/>
                <w:szCs w:val="20"/>
              </w:rPr>
              <w:t xml:space="preserve"> </w:t>
            </w:r>
            <w:r w:rsidRPr="00A61ECA">
              <w:rPr>
                <w:rFonts w:asciiTheme="majorHAnsi" w:hAnsiTheme="majorHAnsi"/>
                <w:i/>
                <w:noProof/>
                <w:sz w:val="20"/>
                <w:szCs w:val="20"/>
              </w:rPr>
              <w:t>[CB6]</w:t>
            </w:r>
            <w:r>
              <w:rPr>
                <w:rFonts w:asciiTheme="majorHAnsi" w:hAnsiTheme="majorHAnsi"/>
                <w:noProof/>
                <w:sz w:val="20"/>
                <w:szCs w:val="20"/>
              </w:rPr>
              <w:t>, com CN</w:t>
            </w:r>
            <w:r w:rsidRPr="00A61ECA">
              <w:rPr>
                <w:rFonts w:asciiTheme="majorHAnsi" w:hAnsiTheme="majorHAnsi"/>
                <w:noProof/>
                <w:sz w:val="20"/>
                <w:szCs w:val="20"/>
                <w:vertAlign w:val="superscript"/>
              </w:rPr>
              <w:t>1</w:t>
            </w:r>
            <w:r>
              <w:rPr>
                <w:rFonts w:asciiTheme="majorHAnsi" w:hAnsiTheme="majorHAnsi"/>
                <w:noProof/>
                <w:sz w:val="20"/>
                <w:szCs w:val="20"/>
              </w:rPr>
              <w:t xml:space="preserve"> de 100 m</w:t>
            </w:r>
            <w:r w:rsidRPr="00A61ECA">
              <w:rPr>
                <w:rFonts w:asciiTheme="majorHAnsi" w:hAnsiTheme="majorHAnsi"/>
                <w:noProof/>
                <w:sz w:val="20"/>
                <w:szCs w:val="20"/>
                <w:vertAlign w:val="superscript"/>
              </w:rPr>
              <w:t>3</w:t>
            </w:r>
            <w:r>
              <w:rPr>
                <w:rFonts w:asciiTheme="majorHAnsi" w:hAnsiTheme="majorHAnsi"/>
                <w:noProof/>
                <w:sz w:val="20"/>
                <w:szCs w:val="20"/>
              </w:rPr>
              <w:t xml:space="preserve">/h </w:t>
            </w:r>
          </w:p>
          <w:p w14:paraId="7554A1FF" w14:textId="7D286A12" w:rsidR="00B434F8" w:rsidRPr="008314DB" w:rsidRDefault="00B434F8" w:rsidP="00FA4BE7">
            <w:pPr>
              <w:tabs>
                <w:tab w:val="left" w:pos="5529"/>
              </w:tabs>
              <w:spacing w:before="0" w:line="240" w:lineRule="auto"/>
              <w:jc w:val="left"/>
              <w:rPr>
                <w:rFonts w:asciiTheme="majorHAnsi" w:hAnsiTheme="majorHAnsi"/>
                <w:b/>
                <w:noProof/>
                <w:sz w:val="20"/>
                <w:szCs w:val="20"/>
              </w:rPr>
            </w:pPr>
            <w:r w:rsidRPr="008314DB">
              <w:rPr>
                <w:rFonts w:asciiTheme="majorHAnsi" w:hAnsiTheme="majorHAnsi"/>
                <w:b/>
                <w:noProof/>
                <w:sz w:val="20"/>
                <w:szCs w:val="20"/>
              </w:rPr>
              <w:t>Tancagem</w:t>
            </w:r>
            <w:r>
              <w:rPr>
                <w:rFonts w:asciiTheme="majorHAnsi" w:hAnsiTheme="majorHAnsi"/>
                <w:noProof/>
                <w:sz w:val="20"/>
                <w:szCs w:val="20"/>
              </w:rPr>
              <w:t xml:space="preserve">: 750 m³ </w:t>
            </w:r>
          </w:p>
        </w:tc>
      </w:tr>
    </w:tbl>
    <w:p w14:paraId="68D3C8ED" w14:textId="77777777" w:rsidR="008F3BDF" w:rsidRDefault="002652AA" w:rsidP="008F3BDF">
      <w:pPr>
        <w:spacing w:before="0" w:line="240" w:lineRule="auto"/>
        <w:jc w:val="left"/>
        <w:rPr>
          <w:rFonts w:asciiTheme="majorHAnsi" w:hAnsiTheme="majorHAnsi"/>
          <w:sz w:val="20"/>
          <w:szCs w:val="20"/>
        </w:rPr>
      </w:pPr>
      <w:r w:rsidRPr="002652AA">
        <w:rPr>
          <w:rFonts w:asciiTheme="majorHAnsi" w:hAnsiTheme="majorHAnsi"/>
          <w:b/>
          <w:sz w:val="20"/>
          <w:szCs w:val="20"/>
        </w:rPr>
        <w:t>Legenda:</w:t>
      </w:r>
      <w:r w:rsidRPr="002652AA">
        <w:rPr>
          <w:rFonts w:asciiTheme="majorHAnsi" w:hAnsiTheme="majorHAnsi"/>
          <w:sz w:val="20"/>
          <w:szCs w:val="20"/>
        </w:rPr>
        <w:t xml:space="preserve"> ¹ Capacidade Nominal.</w:t>
      </w:r>
      <w:r w:rsidR="008F3BDF">
        <w:rPr>
          <w:rFonts w:asciiTheme="majorHAnsi" w:hAnsiTheme="majorHAnsi"/>
          <w:sz w:val="20"/>
          <w:szCs w:val="20"/>
        </w:rPr>
        <w:t xml:space="preserve"> </w:t>
      </w:r>
    </w:p>
    <w:p w14:paraId="019CC12E" w14:textId="77777777" w:rsidR="007E0169" w:rsidRDefault="007E0169" w:rsidP="00B97508">
      <w:pPr>
        <w:sectPr w:rsidR="007E0169" w:rsidSect="00B434F8">
          <w:headerReference w:type="default" r:id="rId61"/>
          <w:footerReference w:type="default" r:id="rId62"/>
          <w:pgSz w:w="16839" w:h="11907" w:orient="landscape" w:code="9"/>
          <w:pgMar w:top="1418" w:right="1418" w:bottom="1418" w:left="1418" w:header="170" w:footer="0" w:gutter="0"/>
          <w:cols w:space="708"/>
          <w:docGrid w:linePitch="360"/>
        </w:sectPr>
      </w:pPr>
    </w:p>
    <w:p w14:paraId="75ABB389" w14:textId="77777777" w:rsidR="00CF77CE" w:rsidRPr="009D01BE" w:rsidRDefault="00CF77CE" w:rsidP="006F18B8">
      <w:pPr>
        <w:pStyle w:val="Heading3"/>
        <w:ind w:left="1224"/>
      </w:pPr>
      <w:bookmarkStart w:id="195" w:name="_Ref414548967"/>
      <w:bookmarkStart w:id="196" w:name="_Toc523833905"/>
      <w:r w:rsidRPr="009D01BE">
        <w:lastRenderedPageBreak/>
        <w:t>Decantação</w:t>
      </w:r>
      <w:bookmarkEnd w:id="195"/>
      <w:bookmarkEnd w:id="196"/>
    </w:p>
    <w:p w14:paraId="3BFA7523" w14:textId="76469ABE" w:rsidR="00E929D1" w:rsidRPr="003C7B91" w:rsidRDefault="00E929D1" w:rsidP="00E929D1">
      <w:pPr>
        <w:pStyle w:val="tier1Itext"/>
      </w:pPr>
      <w:r>
        <w:t xml:space="preserve">Apesar de não regulamentada pela legislação brasileira quanto à sua utilização em procedimentos de resposta a vazamentos de óleo, a decantação já é empregada em diversos países e regiões petrolíferas, bem como Diretrizes e Boas Praticas já são amplamente divulgadas por Associações e Organizações de renome internacional na prevenção e combate </w:t>
      </w:r>
      <w:r w:rsidR="008F39BC">
        <w:t>a</w:t>
      </w:r>
      <w:r>
        <w:t xml:space="preserve"> emergências com vazamento de </w:t>
      </w:r>
      <w:r w:rsidRPr="003C7B91">
        <w:t>óleo, tais como a ISCO – International Spill Control Organization</w:t>
      </w:r>
      <w:r w:rsidR="008F39BC">
        <w:t>,</w:t>
      </w:r>
      <w:r w:rsidRPr="003C7B91">
        <w:t xml:space="preserve"> e </w:t>
      </w:r>
      <w:r w:rsidR="008F39BC">
        <w:t xml:space="preserve">a </w:t>
      </w:r>
      <w:r w:rsidRPr="003C7B91">
        <w:t>IPIECA – International Association of Oil &amp; Gas Producers.</w:t>
      </w:r>
    </w:p>
    <w:p w14:paraId="126CA698" w14:textId="0293F4F6" w:rsidR="00E929D1" w:rsidRDefault="00E929D1" w:rsidP="00E929D1">
      <w:pPr>
        <w:pStyle w:val="tier1Itext"/>
      </w:pPr>
      <w:r>
        <w:t>Com base nas recomendações internacionais, reitera-se que a decantação somente deverá ser considerada no conjunto de técnicas de combate a um potencial incidente nas operações no Bloco FZA-M-59</w:t>
      </w:r>
      <w:r w:rsidR="008F39BC">
        <w:t>,</w:t>
      </w:r>
      <w:r>
        <w:t xml:space="preserve"> naqueles </w:t>
      </w:r>
      <w:r w:rsidR="008F39BC">
        <w:t xml:space="preserve">casos </w:t>
      </w:r>
      <w:r>
        <w:t>de grandes proporções, onde as capacidades de armazenamento temporário das embarcações disponíveis, ou o transporte de água oleosa para unidades de tratamento atinjam seus limites de capacidade antes de completado o recolhimento de todo óleo vazado.</w:t>
      </w:r>
    </w:p>
    <w:p w14:paraId="5893000B" w14:textId="01293778" w:rsidR="00373E6C" w:rsidRDefault="00373E6C" w:rsidP="00373E6C">
      <w:pPr>
        <w:pStyle w:val="tier1Itext"/>
      </w:pPr>
      <w:r w:rsidRPr="00EE0E12">
        <w:t xml:space="preserve">Quando da consideração da técnica pelos especialistas envolvidos na resposta, o Líder da Unidade de RC&amp;E ou o LIO-Gov entrará em contato com o órgão ambiental de forma comunicá-lo da intenção e buscar um acordo quanto ao seu uso. As operações serão feitas sob a orientação dos Coordenadores de Resposta embarcados de acordo com os ICS 204 preparados pela Seção de Operações ou da Divisão de Resposta </w:t>
      </w:r>
      <w:r w:rsidRPr="00EE0E12">
        <w:rPr>
          <w:i/>
        </w:rPr>
        <w:t>Offshore</w:t>
      </w:r>
      <w:r>
        <w:t>, que provavelmente deverá estar implementada.</w:t>
      </w:r>
    </w:p>
    <w:p w14:paraId="250CFAC0" w14:textId="15B675FE" w:rsidR="00373E6C" w:rsidRDefault="008F39BC" w:rsidP="00E929D1">
      <w:pPr>
        <w:pStyle w:val="tier1Itext"/>
      </w:pPr>
      <w:r>
        <w:t>Contextualização</w:t>
      </w:r>
    </w:p>
    <w:p w14:paraId="48FF1302" w14:textId="06C2129A" w:rsidR="00373E6C" w:rsidRDefault="00373E6C" w:rsidP="00373E6C">
      <w:pPr>
        <w:pStyle w:val="tier1Itext"/>
      </w:pPr>
      <w:r w:rsidRPr="00373E6C">
        <w:t>Este procedimento</w:t>
      </w:r>
      <w:r w:rsidRPr="00EE0E12">
        <w:t xml:space="preserve"> contribui significativamente com o prolongamento e otimização da utilização dos tanques de armazenamento de água oleosa nas embarcações participantes da resposta, trocando um quantitativo de água com baixo teor de óleo (segregado pelo processo de separação gravitacional nos tanques) por nova água oleosa recolhida que poderá ser mais concentrada. Para que isto se consubstancie, a capacidade dos tanques já deverá estar próxima de seu limite e melhores condições de contenção e recolhimento devem estar presentes, garantindo a m</w:t>
      </w:r>
      <w:r w:rsidR="008F39BC">
        <w:t xml:space="preserve">aior </w:t>
      </w:r>
      <w:r w:rsidRPr="00EE0E12">
        <w:t xml:space="preserve">concentração do </w:t>
      </w:r>
      <w:r w:rsidR="008F39BC">
        <w:t xml:space="preserve">novo </w:t>
      </w:r>
      <w:r w:rsidRPr="00EE0E12">
        <w:t xml:space="preserve">efluente </w:t>
      </w:r>
      <w:r w:rsidR="008F39BC">
        <w:t xml:space="preserve">a ser </w:t>
      </w:r>
      <w:r w:rsidRPr="00EE0E12">
        <w:t>recolhido.</w:t>
      </w:r>
    </w:p>
    <w:p w14:paraId="0789992A" w14:textId="3B2703EB" w:rsidR="00373E6C" w:rsidRDefault="00373E6C" w:rsidP="00373E6C">
      <w:pPr>
        <w:pStyle w:val="tier1Itext"/>
      </w:pPr>
      <w:r>
        <w:lastRenderedPageBreak/>
        <w:t>C</w:t>
      </w:r>
      <w:r>
        <w:rPr>
          <w:rFonts w:hint="eastAsia"/>
        </w:rPr>
        <w:t>onsiderando que a base logística de Belém está há cerca de 48‐5</w:t>
      </w:r>
      <w:r>
        <w:t>2</w:t>
      </w:r>
      <w:r>
        <w:rPr>
          <w:rFonts w:hint="eastAsia"/>
        </w:rPr>
        <w:t xml:space="preserve"> horas de navegação da locação do bloco e que </w:t>
      </w:r>
      <w:r>
        <w:t>o deslocamento d</w:t>
      </w:r>
      <w:r w:rsidR="008F39BC">
        <w:t>e um</w:t>
      </w:r>
      <w:r>
        <w:t xml:space="preserve"> sistema para alívio, o desmobilizará da resposta por cerca de </w:t>
      </w:r>
      <w:r w:rsidR="008F39BC">
        <w:t>5 a 7 dias</w:t>
      </w:r>
      <w:r>
        <w:t xml:space="preserve"> (somando-se os tempos de viagem, descontaminação e reabastecimento), esta interrupção nas operações de contenção e recolhimento de óleo por todo esse tempo, certamente acarretará um maior dano ambiental quando comparado ao lançamento no mar de água decantada, o que torna </w:t>
      </w:r>
      <w:r w:rsidR="008F39BC">
        <w:t>à</w:t>
      </w:r>
      <w:r>
        <w:t xml:space="preserve"> aplicação d</w:t>
      </w:r>
      <w:r w:rsidR="008F39BC">
        <w:t>o</w:t>
      </w:r>
      <w:r>
        <w:t xml:space="preserve"> NEBA (Net Environmental Benefit Analysis) </w:t>
      </w:r>
      <w:r w:rsidR="008F39BC">
        <w:t xml:space="preserve">aspecto </w:t>
      </w:r>
      <w:r>
        <w:t>fundamental para validar a utilização dessa estratégia de resposta junto ao Órgão Ambiental Competente ou a Autoridade Nacional</w:t>
      </w:r>
      <w:r w:rsidR="008F39BC">
        <w:t>,</w:t>
      </w:r>
      <w:r>
        <w:t xml:space="preserve"> caso o PNC seja ativado.</w:t>
      </w:r>
    </w:p>
    <w:p w14:paraId="17D10D2A" w14:textId="17EC65FF" w:rsidR="007E0169" w:rsidRPr="00EE0E12" w:rsidRDefault="00373E6C" w:rsidP="00662900">
      <w:pPr>
        <w:pStyle w:val="tier1Itext"/>
      </w:pPr>
      <w:r>
        <w:t>Para a efe</w:t>
      </w:r>
      <w:r w:rsidR="008F39BC">
        <w:t>ti</w:t>
      </w:r>
      <w:r>
        <w:t xml:space="preserve">vação do </w:t>
      </w:r>
      <w:r w:rsidR="007E0169" w:rsidRPr="00EE0E12">
        <w:t xml:space="preserve">processo de decantação também </w:t>
      </w:r>
      <w:r>
        <w:t xml:space="preserve">é </w:t>
      </w:r>
      <w:r w:rsidR="007E0169" w:rsidRPr="00EE0E12">
        <w:t>considera</w:t>
      </w:r>
      <w:r>
        <w:t>do</w:t>
      </w:r>
      <w:r w:rsidR="007E0169" w:rsidRPr="00EE0E12">
        <w:t xml:space="preserve"> haver a bordo das embarcações, equipamentos próprios para a retirada da água de fundo dos tanques (mangueiras de pequeno diâmetro e bombas de sucção de baixa vazão). A água descartada tem, por operação de decantação, seu volume total registrado e coletadas duas amostras (no início e no final da operação) para posterior análise da concentração</w:t>
      </w:r>
      <w:r w:rsidR="00F9135C" w:rsidRPr="00EE0E12">
        <w:t xml:space="preserve"> </w:t>
      </w:r>
      <w:r w:rsidR="007E0169" w:rsidRPr="00EE0E12">
        <w:t>de óleo residual em laboratório. O efluente será descartado dentro da formação de contenção, de forma a proporcionar uma chance à concentração do óleo residual nela contida ser novamente coletada.</w:t>
      </w:r>
    </w:p>
    <w:p w14:paraId="0DE89DFB" w14:textId="77777777" w:rsidR="003C7B91" w:rsidRDefault="003C7B91" w:rsidP="003C7B91">
      <w:pPr>
        <w:pStyle w:val="tier1Itext"/>
      </w:pPr>
      <w:r>
        <w:t>Tempo ótimo de decantação</w:t>
      </w:r>
    </w:p>
    <w:p w14:paraId="7619D67D" w14:textId="194EA88D" w:rsidR="003C7B91" w:rsidRDefault="003C7B91" w:rsidP="003C7B91">
      <w:pPr>
        <w:pStyle w:val="tier1Itext"/>
      </w:pPr>
      <w:r>
        <w:t xml:space="preserve">A separação óleo/água é um processo físico onde os dois principais fatores dominantes são a espessura da camada oleosa e a viscosidade do óleo. As experiências em laboratório conduzida com vários tipos de óleo demonstraram que o tempo médio ótimo para se obter uma boa separação </w:t>
      </w:r>
      <w:r w:rsidR="008F39BC">
        <w:t>é de</w:t>
      </w:r>
      <w:r>
        <w:t xml:space="preserve"> 30 minutos. Considerando a espessura da camada e a viscosidade do óleo, para camadas mais finas </w:t>
      </w:r>
      <w:r>
        <w:rPr>
          <w:rFonts w:hint="eastAsia"/>
        </w:rPr>
        <w:t xml:space="preserve">de hidrocarbonetos menos viscosos, o tempo de decantação ótimo </w:t>
      </w:r>
      <w:r w:rsidR="008F39BC">
        <w:t>situa-se</w:t>
      </w:r>
      <w:r>
        <w:rPr>
          <w:rFonts w:hint="eastAsia"/>
        </w:rPr>
        <w:t xml:space="preserve"> na faixa de 15‐30 minutos</w:t>
      </w:r>
      <w:r w:rsidR="008F39BC">
        <w:t>;</w:t>
      </w:r>
      <w:r>
        <w:rPr>
          <w:rFonts w:hint="eastAsia"/>
        </w:rPr>
        <w:t xml:space="preserve"> enquanto que para filmes mais espessos de óleos mais viscosos</w:t>
      </w:r>
      <w:r w:rsidR="008F39BC">
        <w:t>,</w:t>
      </w:r>
      <w:r>
        <w:rPr>
          <w:rFonts w:hint="eastAsia"/>
        </w:rPr>
        <w:t xml:space="preserve"> o tempo de decantação ótimo </w:t>
      </w:r>
      <w:r w:rsidR="008F39BC">
        <w:t>fica</w:t>
      </w:r>
      <w:r>
        <w:t xml:space="preserve"> em torno de 60 minutos.</w:t>
      </w:r>
    </w:p>
    <w:p w14:paraId="1F645F66" w14:textId="77777777" w:rsidR="003C7B91" w:rsidRDefault="003C7B91" w:rsidP="003C7B91">
      <w:pPr>
        <w:pStyle w:val="tier1Itext"/>
      </w:pPr>
      <w:r>
        <w:t>Aspecto Regulatório Internacional</w:t>
      </w:r>
    </w:p>
    <w:p w14:paraId="6C8A4CC6" w14:textId="307B1BFF" w:rsidR="003C7B91" w:rsidRDefault="003C7B91" w:rsidP="003C7B91">
      <w:pPr>
        <w:pStyle w:val="tier1Itext"/>
      </w:pPr>
      <w:r>
        <w:t xml:space="preserve">A regulação internacional para descarga de óleo de embarcações é definida no Anexo I da Convenção da MARPOL, a qual proíbe a descarga de água oleosa no mar com teor de óleo acima de 15 ppm (partes por milhão). Entretanto, a </w:t>
      </w:r>
      <w:r w:rsidR="00B71CD4">
        <w:t xml:space="preserve">própria convenção permite que, em caso específico de </w:t>
      </w:r>
      <w:r>
        <w:t>combate de incidentes de poluição ambiental, com o objetivo de minimizar os danos da poluição</w:t>
      </w:r>
      <w:r w:rsidR="00B71CD4">
        <w:t>, este descarte seja autorizado</w:t>
      </w:r>
      <w:r>
        <w:t>. Para esses casos</w:t>
      </w:r>
      <w:r w:rsidR="00B71CD4">
        <w:t>,</w:t>
      </w:r>
      <w:r>
        <w:t xml:space="preserve"> a descarga de efluente oleoso no mar deverá ser aprovada por entidade governamental do país onde a descarga ocorrer.</w:t>
      </w:r>
    </w:p>
    <w:p w14:paraId="562AEDC1" w14:textId="2B18C1A7" w:rsidR="003C7B91" w:rsidRDefault="003C7B91" w:rsidP="003C7B91">
      <w:pPr>
        <w:pStyle w:val="tier1Itext"/>
      </w:pPr>
      <w:r>
        <w:lastRenderedPageBreak/>
        <w:t>A decisão dos órgãos governamentais autorizando a pr</w:t>
      </w:r>
      <w:r w:rsidR="00B71CD4">
        <w:t>á</w:t>
      </w:r>
      <w:r>
        <w:t xml:space="preserve">tica da decantação deverá estar fundamentada na necessidade </w:t>
      </w:r>
      <w:r w:rsidR="00B71CD4">
        <w:t>de</w:t>
      </w:r>
      <w:r>
        <w:t xml:space="preserve"> minimizar os danos ambientais, </w:t>
      </w:r>
      <w:r w:rsidR="00B71CD4">
        <w:t>quando contribuir significativamente</w:t>
      </w:r>
      <w:r>
        <w:t xml:space="preserve"> para a continuidade da operação de recolhimento de óleo. Nessas situações</w:t>
      </w:r>
      <w:r w:rsidR="00B71CD4">
        <w:t>,</w:t>
      </w:r>
      <w:r>
        <w:t xml:space="preserve"> o teor de óleo na </w:t>
      </w:r>
      <w:r w:rsidR="00B71CD4">
        <w:t xml:space="preserve">porção </w:t>
      </w:r>
      <w:r>
        <w:t xml:space="preserve">decantada </w:t>
      </w:r>
      <w:r w:rsidR="00B71CD4">
        <w:t>fatalmente</w:t>
      </w:r>
      <w:r>
        <w:t xml:space="preserve"> estará acima dos padrões normais.</w:t>
      </w:r>
    </w:p>
    <w:p w14:paraId="5AD58AF4" w14:textId="77777777" w:rsidR="003C7B91" w:rsidRDefault="003C7B91" w:rsidP="003C7B91">
      <w:pPr>
        <w:pStyle w:val="tier1Itext"/>
      </w:pPr>
      <w:r>
        <w:t>Boas Práticas Operacionais</w:t>
      </w:r>
    </w:p>
    <w:p w14:paraId="76FC78A9" w14:textId="298F8BCF" w:rsidR="003C7B91" w:rsidRDefault="003C7B91" w:rsidP="003C7B91">
      <w:pPr>
        <w:pStyle w:val="tier1Itext"/>
      </w:pPr>
      <w:r>
        <w:t>A decantação deverá ser autorizada com a intenção de maximizar a capacidade de recolhimento de óleo e agilizar a limpeza. Se existirem disponibilidade para armazenamento (temporário, intermediário ou final), capacidade de tratamento local ou de transporte para a unidade de tratamento, e essas provisões não irão comprometer a continuidade das operações de recolhimento, a agua oleosa recuperada não deverá ser decantada.</w:t>
      </w:r>
    </w:p>
    <w:p w14:paraId="77BC5C84" w14:textId="6FC9DE1C" w:rsidR="00E929D1" w:rsidRDefault="003C7B91" w:rsidP="003C7B91">
      <w:pPr>
        <w:pStyle w:val="tier1Itext"/>
      </w:pPr>
      <w:r>
        <w:rPr>
          <w:rFonts w:hint="eastAsia"/>
        </w:rPr>
        <w:t>Deve‐se ressaltar que essa pr</w:t>
      </w:r>
      <w:r w:rsidR="00B71CD4">
        <w:t>á</w:t>
      </w:r>
      <w:r>
        <w:rPr>
          <w:rFonts w:hint="eastAsia"/>
        </w:rPr>
        <w:t>atica está em total concordância quando aplicamos as diretrizes estabelecidas pelo NEBA, uma vez que o lançamento de água oleosa decantada no mar (dentro do</w:t>
      </w:r>
      <w:r>
        <w:t xml:space="preserve"> cerco de contenção) terá um menor Impacto ambiental se comparado a paralização da operação de recolhimento de óleo cru, devido à falta de capacidade d</w:t>
      </w:r>
      <w:r w:rsidR="00E929D1">
        <w:t xml:space="preserve">e armazenamento temporário. </w:t>
      </w:r>
      <w:r>
        <w:t xml:space="preserve"> </w:t>
      </w:r>
    </w:p>
    <w:p w14:paraId="277E09E1" w14:textId="103624B9" w:rsidR="003C7B91" w:rsidRDefault="003C7B91" w:rsidP="003C7B91">
      <w:pPr>
        <w:pStyle w:val="tier1Itext"/>
      </w:pPr>
      <w:r>
        <w:t>A operação de decantação deve reunir as seguintes condições:</w:t>
      </w:r>
    </w:p>
    <w:p w14:paraId="24B01CAE" w14:textId="60761DDE" w:rsidR="003C7B91" w:rsidRDefault="003C7B91" w:rsidP="008F39BC">
      <w:pPr>
        <w:pStyle w:val="tier1Itext"/>
        <w:numPr>
          <w:ilvl w:val="1"/>
          <w:numId w:val="34"/>
        </w:numPr>
      </w:pPr>
      <w:r>
        <w:t>A água decantada deve ter uma menor concentração de óleo/contaminantes, determinado visualmente, em relação à mistura de água oleosa que está sendo recolhida na emergência;</w:t>
      </w:r>
    </w:p>
    <w:p w14:paraId="1349068C" w14:textId="6173835E" w:rsidR="003C7B91" w:rsidRDefault="003C7B91" w:rsidP="008F39BC">
      <w:pPr>
        <w:pStyle w:val="tier1Itext"/>
        <w:numPr>
          <w:ilvl w:val="1"/>
          <w:numId w:val="34"/>
        </w:numPr>
      </w:pPr>
      <w:r>
        <w:t>Deverá ser respeitado o tempo para decantação mínimo estabelecido, de acordo com a característica do óleo e espessura da camada de óleo;</w:t>
      </w:r>
    </w:p>
    <w:p w14:paraId="738CD956" w14:textId="2783959A" w:rsidR="003C7B91" w:rsidRDefault="003C7B91" w:rsidP="008F39BC">
      <w:pPr>
        <w:pStyle w:val="tier1Itext"/>
        <w:numPr>
          <w:ilvl w:val="1"/>
          <w:numId w:val="34"/>
        </w:numPr>
      </w:pPr>
      <w:r>
        <w:t>A água decantada deverá ser lançada na área de contenção do navio aliviador ou dentro do cerco de contenção e recolhimento das embarcações, a menos que seja aprovado de outra forma;</w:t>
      </w:r>
    </w:p>
    <w:p w14:paraId="65427EC5" w14:textId="7E0EF05C" w:rsidR="003C7B91" w:rsidRDefault="003C7B91" w:rsidP="008F39BC">
      <w:pPr>
        <w:pStyle w:val="tier1Itext"/>
        <w:numPr>
          <w:ilvl w:val="1"/>
          <w:numId w:val="34"/>
        </w:numPr>
      </w:pPr>
      <w:r>
        <w:t>Embarcações não equipadas com separador água/óleo deverão deverão aguardar um tempo de decantação mínimo de 60 minutos antes de iniciar a descarga da água decantada. A água</w:t>
      </w:r>
      <w:r w:rsidR="00E929D1">
        <w:t xml:space="preserve"> </w:t>
      </w:r>
      <w:r>
        <w:t>decantada deverá ser retirada a no mínimo 30 cm abaixo da interface óleo/água, independente do tamanho ou tipo de tanque de armazenamento temporário;</w:t>
      </w:r>
    </w:p>
    <w:p w14:paraId="5F9C0405" w14:textId="1E27FB33" w:rsidR="003C7B91" w:rsidRDefault="003C7B91" w:rsidP="008F39BC">
      <w:pPr>
        <w:pStyle w:val="tier1Itext"/>
        <w:numPr>
          <w:ilvl w:val="1"/>
          <w:numId w:val="34"/>
        </w:numPr>
      </w:pPr>
      <w:r>
        <w:lastRenderedPageBreak/>
        <w:t>Monitoramento e controle permanentes do aspecto da água decantada descarregada deverá ser efetuado pelo pessoal de operação (através de visores de fluxo instalados na tubulação de</w:t>
      </w:r>
      <w:r w:rsidR="00E929D1">
        <w:t xml:space="preserve"> </w:t>
      </w:r>
      <w:r>
        <w:t>descarga) para prevenir descarga de óleo concentrado;</w:t>
      </w:r>
    </w:p>
    <w:p w14:paraId="3056B6AB" w14:textId="7EDC9E14" w:rsidR="003C7B91" w:rsidRDefault="003C7B91" w:rsidP="008F39BC">
      <w:pPr>
        <w:pStyle w:val="tier1Itext"/>
        <w:numPr>
          <w:ilvl w:val="1"/>
          <w:numId w:val="34"/>
        </w:numPr>
      </w:pPr>
      <w:r>
        <w:t>Todas as informações sobre a operações deverão ser registradas, incluindo localização do lançamento, tempo de decantação, horário de início e final do lançamento, taxas de</w:t>
      </w:r>
      <w:r w:rsidR="00E929D1">
        <w:t xml:space="preserve"> </w:t>
      </w:r>
      <w:r>
        <w:t>bombeamento e volume aproximado;</w:t>
      </w:r>
    </w:p>
    <w:p w14:paraId="43343375" w14:textId="70A95B33" w:rsidR="003C7B91" w:rsidRDefault="003C7B91" w:rsidP="008F39BC">
      <w:pPr>
        <w:pStyle w:val="tier1Itext"/>
        <w:numPr>
          <w:ilvl w:val="1"/>
          <w:numId w:val="34"/>
        </w:numPr>
      </w:pPr>
      <w:r>
        <w:t>O coordenador de reposta a emergência deverá ter acesso às operações para avaliar a efetividade da mesma e para coletar amostras da água decantada ao longo do lançamento para análises</w:t>
      </w:r>
      <w:r w:rsidR="00E929D1">
        <w:t xml:space="preserve"> </w:t>
      </w:r>
      <w:r>
        <w:t>posteriores.</w:t>
      </w:r>
    </w:p>
    <w:p w14:paraId="53B156DD" w14:textId="77777777" w:rsidR="003C7B91" w:rsidRPr="00EE0E12" w:rsidRDefault="003C7B91" w:rsidP="00662900">
      <w:pPr>
        <w:pStyle w:val="tier1Itext"/>
      </w:pPr>
    </w:p>
    <w:p w14:paraId="002071BB" w14:textId="77777777" w:rsidR="00290F16" w:rsidRPr="009D01BE" w:rsidRDefault="00290F16" w:rsidP="009D01BE">
      <w:pPr>
        <w:pStyle w:val="Heading2"/>
      </w:pPr>
      <w:bookmarkStart w:id="197" w:name="_Ref414612635"/>
      <w:bookmarkStart w:id="198" w:name="_Ref414612919"/>
      <w:bookmarkStart w:id="199" w:name="_Toc523833906"/>
      <w:r w:rsidRPr="009D01BE">
        <w:t>Procedimentos para Dispersão Mecânica</w:t>
      </w:r>
      <w:bookmarkEnd w:id="197"/>
      <w:bookmarkEnd w:id="198"/>
      <w:bookmarkEnd w:id="199"/>
    </w:p>
    <w:p w14:paraId="77B7C55B" w14:textId="77777777" w:rsidR="007E0169" w:rsidRPr="00EE0E12" w:rsidRDefault="007E0169" w:rsidP="00662900">
      <w:pPr>
        <w:pStyle w:val="tier1Itext"/>
      </w:pPr>
      <w:r w:rsidRPr="00EE0E12">
        <w:t>A dispersão mecânica poderá ser utilizada de forma a complementar ou em substituição à estratégia de contenção e recolhimento, quando houver restrições para a implementação desta, em função das características do óleo e/ou de situação específica do cenário acidental.</w:t>
      </w:r>
    </w:p>
    <w:p w14:paraId="601B3DA0" w14:textId="77777777" w:rsidR="007E0169" w:rsidRPr="00EE0E12" w:rsidRDefault="007E0169" w:rsidP="00662900">
      <w:pPr>
        <w:pStyle w:val="tier1Itext"/>
      </w:pPr>
      <w:r w:rsidRPr="00EE0E12">
        <w:t>Esta técnica tem como objetivo acelerar o processo natural de degradação do óleo, a partir da ruptura física do filme formado na superfície da água, permitindo sua melhor dispersão no ambiente marinho (superfície e coluna d’água). Tal ruptura pode ser provocada pela navegação repetidas vezes</w:t>
      </w:r>
      <w:r w:rsidRPr="00EE0E12" w:rsidDel="003A12A6">
        <w:t xml:space="preserve"> </w:t>
      </w:r>
      <w:r w:rsidRPr="00EE0E12">
        <w:t xml:space="preserve">sobre a mancha, e/ou pelo direcionamento de jatos d’agua de alta pressão, a partir de canhões do sistema de combate a incêndio instalado nas embarcações que atuarão na resposta (sistema </w:t>
      </w:r>
      <w:r w:rsidRPr="00EE0E12">
        <w:rPr>
          <w:i/>
        </w:rPr>
        <w:t xml:space="preserve">fire-fighting </w:t>
      </w:r>
      <w:r w:rsidRPr="00EE0E12">
        <w:t>[Fi-Fi]).</w:t>
      </w:r>
    </w:p>
    <w:p w14:paraId="10181E3C" w14:textId="77777777" w:rsidR="007E0169" w:rsidRPr="00EE0E12" w:rsidRDefault="007E0169" w:rsidP="00662900">
      <w:pPr>
        <w:pStyle w:val="tier1Itext"/>
      </w:pPr>
      <w:r w:rsidRPr="00EE0E12">
        <w:t>A dispersão mecânica apresenta maior eficiência quando aplicada sobre óleos mais leves, cuja baixa viscosidade aumenta a taxa de formação de gotículas. Por esta razão, para um eventual vazamento de óleo cru</w:t>
      </w:r>
      <w:r w:rsidR="00AF610C">
        <w:t>,</w:t>
      </w:r>
      <w:r w:rsidRPr="00EE0E12">
        <w:t xml:space="preserve"> a dispersão mecânica deverá ser realizada preferencialmente nas áreas periféricas da mancha, onde houver maior predominância de óleo com aparência “brilhosa”, “arco-íris” ou “metálica” (</w:t>
      </w:r>
      <w:r w:rsidRPr="00EE0E12">
        <w:rPr>
          <w:b/>
        </w:rPr>
        <w:fldChar w:fldCharType="begin"/>
      </w:r>
      <w:r w:rsidRPr="00EE0E12">
        <w:rPr>
          <w:b/>
        </w:rPr>
        <w:instrText xml:space="preserve"> REF _Ref411453105 \h  \* MERGEFORMAT </w:instrText>
      </w:r>
      <w:r w:rsidRPr="00EE0E12">
        <w:rPr>
          <w:b/>
        </w:rPr>
      </w:r>
      <w:r w:rsidRPr="00EE0E12">
        <w:rPr>
          <w:b/>
        </w:rPr>
        <w:fldChar w:fldCharType="separate"/>
      </w:r>
      <w:r w:rsidR="00B71CD4" w:rsidRPr="00B71CD4">
        <w:rPr>
          <w:b/>
        </w:rPr>
        <w:t xml:space="preserve">Figura </w:t>
      </w:r>
      <w:r w:rsidR="00B71CD4" w:rsidRPr="00B71CD4">
        <w:rPr>
          <w:b/>
          <w:noProof/>
        </w:rPr>
        <w:t>16</w:t>
      </w:r>
      <w:r w:rsidRPr="00EE0E12">
        <w:rPr>
          <w:b/>
        </w:rPr>
        <w:fldChar w:fldCharType="end"/>
      </w:r>
      <w:r w:rsidRPr="00EE0E12">
        <w:t xml:space="preserve">), indicativas de menor viscosidade e espessura da camada de óleo, conforme descrito no </w:t>
      </w:r>
      <w:r w:rsidRPr="00E26CE0">
        <w:t xml:space="preserve">item </w:t>
      </w:r>
      <w:r w:rsidR="009E26EE" w:rsidRPr="00E26CE0">
        <w:fldChar w:fldCharType="begin"/>
      </w:r>
      <w:r w:rsidR="009E26EE" w:rsidRPr="00E26CE0">
        <w:instrText xml:space="preserve"> REF _Ref414544194 \r \h  \* MERGEFORMAT </w:instrText>
      </w:r>
      <w:r w:rsidR="009E26EE" w:rsidRPr="00E26CE0">
        <w:fldChar w:fldCharType="separate"/>
      </w:r>
      <w:r w:rsidR="00897470">
        <w:t>8.3</w:t>
      </w:r>
      <w:r w:rsidR="009E26EE" w:rsidRPr="00E26CE0">
        <w:fldChar w:fldCharType="end"/>
      </w:r>
      <w:r w:rsidRPr="00EE0E12">
        <w:t>.</w:t>
      </w:r>
    </w:p>
    <w:p w14:paraId="084CA7FC" w14:textId="77777777" w:rsidR="007E0169" w:rsidRPr="00662900" w:rsidRDefault="007E0169" w:rsidP="00662900">
      <w:pPr>
        <w:keepNext/>
        <w:tabs>
          <w:tab w:val="left" w:pos="0"/>
        </w:tabs>
        <w:spacing w:before="0" w:line="240" w:lineRule="auto"/>
        <w:jc w:val="center"/>
        <w:rPr>
          <w:rStyle w:val="tier1ItextChar"/>
          <w:rFonts w:eastAsiaTheme="minorEastAsia"/>
        </w:rPr>
      </w:pPr>
      <w:r w:rsidRPr="00EE0E12">
        <w:rPr>
          <w:rFonts w:asciiTheme="majorHAnsi" w:hAnsiTheme="majorHAnsi"/>
          <w:noProof/>
          <w:lang w:val="en-US" w:eastAsia="en-US"/>
        </w:rPr>
        <w:lastRenderedPageBreak/>
        <w:drawing>
          <wp:inline distT="0" distB="0" distL="0" distR="0" wp14:anchorId="5CB2E79F" wp14:editId="566CB4C6">
            <wp:extent cx="4899804" cy="3092961"/>
            <wp:effectExtent l="0" t="0" r="0" b="0"/>
            <wp:docPr id="289" name="Image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902783" cy="3094841"/>
                    </a:xfrm>
                    <a:prstGeom prst="rect">
                      <a:avLst/>
                    </a:prstGeom>
                    <a:noFill/>
                    <a:ln>
                      <a:noFill/>
                    </a:ln>
                  </pic:spPr>
                </pic:pic>
              </a:graphicData>
            </a:graphic>
          </wp:inline>
        </w:drawing>
      </w:r>
    </w:p>
    <w:p w14:paraId="7FD52D42" w14:textId="77777777" w:rsidR="007E0169" w:rsidRPr="00EE0E12" w:rsidRDefault="007E0169" w:rsidP="00662900">
      <w:pPr>
        <w:pStyle w:val="Caption"/>
        <w:spacing w:before="0" w:after="0" w:line="240" w:lineRule="auto"/>
      </w:pPr>
      <w:bookmarkStart w:id="200" w:name="_Ref411453105"/>
      <w:bookmarkStart w:id="201" w:name="_Toc412812297"/>
      <w:bookmarkStart w:id="202" w:name="_Toc523833981"/>
      <w:r w:rsidRPr="00EE0E12">
        <w:t xml:space="preserve">Figura </w:t>
      </w:r>
      <w:fldSimple w:instr=" SEQ Figura \* ARABIC ">
        <w:r w:rsidR="00B71CD4">
          <w:rPr>
            <w:noProof/>
          </w:rPr>
          <w:t>16</w:t>
        </w:r>
      </w:fldSimple>
      <w:bookmarkEnd w:id="200"/>
      <w:r w:rsidRPr="00EE0E12">
        <w:t xml:space="preserve">: Regiões da mancha onde a dispersão mecânica pode apresentar maior eficiência – áreas com aparência </w:t>
      </w:r>
      <w:r w:rsidRPr="00EE0E12">
        <w:rPr>
          <w:i/>
        </w:rPr>
        <w:t>rainbow</w:t>
      </w:r>
      <w:r w:rsidRPr="00EE0E12">
        <w:t xml:space="preserve"> (arco-íris) e </w:t>
      </w:r>
      <w:r w:rsidRPr="00EE0E12">
        <w:rPr>
          <w:i/>
        </w:rPr>
        <w:t xml:space="preserve">sheen </w:t>
      </w:r>
      <w:r w:rsidRPr="00EE0E12">
        <w:t>(brilhosa) (Fonte: Adaptado de BAOAC PHOTO ATLAS, 2011).</w:t>
      </w:r>
      <w:bookmarkEnd w:id="201"/>
      <w:bookmarkEnd w:id="202"/>
    </w:p>
    <w:p w14:paraId="30363E74" w14:textId="77777777" w:rsidR="007E0169" w:rsidRPr="00EE0E12" w:rsidRDefault="007E0169" w:rsidP="009E26EE">
      <w:pPr>
        <w:pStyle w:val="tier1Itext"/>
        <w:spacing w:before="360"/>
      </w:pPr>
      <w:r w:rsidRPr="00EE0E12">
        <w:t xml:space="preserve">Adicionalmente, a dispersão mecânica deve ser evitada em manchas em avançado estado de emulsificação, uma vez que as emulsões óleo-água (aparência de </w:t>
      </w:r>
      <w:r w:rsidRPr="00EE0E12">
        <w:rPr>
          <w:i/>
          <w:szCs w:val="20"/>
        </w:rPr>
        <w:t>mousse de chocolate</w:t>
      </w:r>
      <w:r w:rsidRPr="00EE0E12">
        <w:t>)</w:t>
      </w:r>
      <w:r w:rsidR="009E26EE">
        <w:t xml:space="preserve"> tendem a resistir à dispersão.</w:t>
      </w:r>
    </w:p>
    <w:p w14:paraId="2C06BD30" w14:textId="77777777" w:rsidR="00290F16" w:rsidRPr="009D01BE" w:rsidRDefault="00290F16" w:rsidP="009D01BE">
      <w:pPr>
        <w:pStyle w:val="Heading2"/>
      </w:pPr>
      <w:bookmarkStart w:id="203" w:name="_Ref414612643"/>
      <w:bookmarkStart w:id="204" w:name="_Ref414612927"/>
      <w:bookmarkStart w:id="205" w:name="_Toc523833907"/>
      <w:r w:rsidRPr="009D01BE">
        <w:t>Procedimentos para Dispersão Química</w:t>
      </w:r>
      <w:bookmarkEnd w:id="203"/>
      <w:bookmarkEnd w:id="204"/>
      <w:bookmarkEnd w:id="205"/>
    </w:p>
    <w:p w14:paraId="19949423" w14:textId="77777777" w:rsidR="007E0169" w:rsidRPr="00EE0E12" w:rsidRDefault="007E0169" w:rsidP="009E26EE">
      <w:pPr>
        <w:pStyle w:val="tier1Itext"/>
      </w:pPr>
      <w:r w:rsidRPr="00EE0E12">
        <w:t>A dispersão de óleo por aplicação de produto químico representa uma maneira eficiente para remover grandes manchas de óleo da superfície da água rapidamente, favorecendo o processo de biodegradação deste óleo e evitando que ele possa atingir e causar danos ambientais significativos a outras áreas mais sensíveis. Conforme visto nesta descrição e de acordo com a filosofia do NEBA, a técnica é uma alternativa analisada no momento da resposta considerando as especificidades da situação (como, mas não restritas às</w:t>
      </w:r>
      <w:r w:rsidR="00AF610C">
        <w:t>,</w:t>
      </w:r>
      <w:r w:rsidRPr="00EE0E12">
        <w:t xml:space="preserve"> condições meteooceanográficas e condições de intemperismo do óleo) e frente à iminência de impactos mais significativos que a sua </w:t>
      </w:r>
      <w:r w:rsidR="00AF610C">
        <w:t>‘</w:t>
      </w:r>
      <w:r w:rsidRPr="00EE0E12">
        <w:t>não utilização</w:t>
      </w:r>
      <w:r w:rsidR="00AF610C">
        <w:t>’</w:t>
      </w:r>
      <w:r w:rsidRPr="00EE0E12">
        <w:t xml:space="preserve">. Um aspecto positivo de sua aplicação é não gerar a necessidade de armazenar, transferir ou dispor o óleo recuperado </w:t>
      </w:r>
      <w:r w:rsidR="00AF610C">
        <w:t>em</w:t>
      </w:r>
      <w:r w:rsidR="00AF610C" w:rsidRPr="00EE0E12">
        <w:t xml:space="preserve"> </w:t>
      </w:r>
      <w:r w:rsidRPr="00EE0E12">
        <w:t>terra.</w:t>
      </w:r>
    </w:p>
    <w:p w14:paraId="7403B0F1" w14:textId="2BCFBF44" w:rsidR="007E0169" w:rsidRPr="00EE0E12" w:rsidRDefault="007E0169" w:rsidP="009E26EE">
      <w:pPr>
        <w:pStyle w:val="tier1Itext"/>
      </w:pPr>
      <w:r w:rsidRPr="00EE0E12">
        <w:lastRenderedPageBreak/>
        <w:t xml:space="preserve">A utilização de dispersantes químicos no Brasil está condicionada ao atendimento das diretrizes estabelecidas pela Resolução CONAMA n° </w:t>
      </w:r>
      <w:r w:rsidR="00B71CD4">
        <w:t>472/15</w:t>
      </w:r>
      <w:r w:rsidRPr="00EE0E12">
        <w:t>. Segundo essa normativa, critérios e restrições para o uso de dispersantes deverão ser considerados a fim de assegurar a eficiência e segurança das operações, além de evitar danos ambientais adicionais. Desse modo, o planejamento para a implementação dessa técnica de resposta, no caso de um incidente de poluição por óleo no mar durante as atividades da BP Energy na Bacia da Foz do Amazonas, deverá considerar uma constante interação entre as equipes de gerenciamento e de resposta tática, e consid</w:t>
      </w:r>
      <w:r w:rsidR="009E26EE">
        <w:t>erar vários fatores, tais como:</w:t>
      </w:r>
    </w:p>
    <w:p w14:paraId="4CA81086"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Tipo e volume de óleo a ser disperso;</w:t>
      </w:r>
    </w:p>
    <w:p w14:paraId="668ED1FF"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Grau da intemperização do derrame de óleo no momento da aplicação;</w:t>
      </w:r>
    </w:p>
    <w:p w14:paraId="101B245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Aspectos oceanográficos e meteorológicos (estado do mar Beaufort 3 fornece melhores condições para a eficácia do dispersante; em situações de mar calmo, a agitação mecânica deve ser realizada após a aplicação de dispersante para a dispersão adequada do óleo na água);</w:t>
      </w:r>
    </w:p>
    <w:p w14:paraId="7C4EDFDE" w14:textId="77777777" w:rsidR="007E0169" w:rsidRPr="00EE0E12" w:rsidRDefault="007E0169" w:rsidP="00E9093F">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Tipo de dispersante a ser usado (</w:t>
      </w:r>
      <w:r w:rsidRPr="00EE0E12">
        <w:rPr>
          <w:rStyle w:val="hps"/>
          <w:rFonts w:asciiTheme="majorHAnsi" w:eastAsiaTheme="minorHAnsi" w:hAnsiTheme="majorHAnsi" w:cstheme="majorHAnsi"/>
        </w:rPr>
        <w:t>COREXIT 9500</w:t>
      </w:r>
      <w:r w:rsidRPr="00EE0E12">
        <w:rPr>
          <w:rStyle w:val="FootnoteReference"/>
          <w:rFonts w:asciiTheme="majorHAnsi" w:hAnsiTheme="majorHAnsi" w:cstheme="majorHAnsi"/>
        </w:rPr>
        <w:footnoteReference w:id="39"/>
      </w:r>
      <w:r w:rsidRPr="00EE0E12">
        <w:rPr>
          <w:rStyle w:val="hps"/>
          <w:rFonts w:asciiTheme="majorHAnsi" w:eastAsiaTheme="minorHAnsi" w:hAnsiTheme="majorHAnsi" w:cstheme="majorHAnsi"/>
        </w:rPr>
        <w:t xml:space="preserve"> é um dispersante de óleo de alto desempenho que é eficaz em uma ampla gama de óleos, incluindo alguns óleos intemperizados e emulsificados. Tal como acontece com todos os agentes de dispersão, a aplicação em tempo hábil garante o maior grau de sucesso. O produto químico pode ser aplicado puro ou diluído com água do mar, de acordo</w:t>
      </w:r>
      <w:r w:rsidR="00ED188C">
        <w:rPr>
          <w:rStyle w:val="hps"/>
          <w:rFonts w:asciiTheme="majorHAnsi" w:eastAsiaTheme="minorHAnsi" w:hAnsiTheme="majorHAnsi" w:cstheme="majorHAnsi"/>
        </w:rPr>
        <w:t xml:space="preserve"> com o sistema de aplicação); e</w:t>
      </w:r>
    </w:p>
    <w:p w14:paraId="78EF50E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Equipamento disponível para a aplicação.</w:t>
      </w:r>
    </w:p>
    <w:p w14:paraId="545737CD" w14:textId="084A1B84" w:rsidR="007E0169" w:rsidRPr="00EE0E12" w:rsidRDefault="00B71CD4" w:rsidP="00266EC7">
      <w:pPr>
        <w:pStyle w:val="tier1Itext"/>
        <w:spacing w:before="360"/>
      </w:pPr>
      <w:r w:rsidRPr="00F20A0B">
        <w:rPr>
          <w:rStyle w:val="hps"/>
          <w:rFonts w:eastAsiaTheme="minorHAnsi" w:cstheme="majorHAnsi"/>
          <w:color w:val="000000"/>
          <w:szCs w:val="22"/>
          <w:u w:color="000000"/>
          <w:bdr w:val="nil"/>
          <w:lang w:val="pt-PT" w:eastAsia="zh-CN"/>
        </w:rPr>
        <w:t xml:space="preserve">Para consideração desta técnica deverá ser analisada sua viabilidade, a partir da </w:t>
      </w:r>
      <w:r w:rsidR="007E0169" w:rsidRPr="00F20A0B">
        <w:rPr>
          <w:rStyle w:val="hps"/>
          <w:rFonts w:eastAsiaTheme="minorHAnsi" w:cstheme="majorHAnsi"/>
          <w:color w:val="000000"/>
          <w:szCs w:val="22"/>
          <w:u w:color="000000"/>
          <w:bdr w:val="nil"/>
          <w:lang w:val="pt-PT" w:eastAsia="zh-CN"/>
        </w:rPr>
        <w:t xml:space="preserve">árvore de tomada de decisão </w:t>
      </w:r>
      <w:r w:rsidRPr="00F20A0B">
        <w:rPr>
          <w:rStyle w:val="hps"/>
          <w:rFonts w:eastAsiaTheme="minorHAnsi" w:cstheme="majorHAnsi"/>
          <w:color w:val="000000"/>
          <w:szCs w:val="22"/>
          <w:u w:color="000000"/>
          <w:bdr w:val="nil"/>
          <w:lang w:val="pt-PT" w:eastAsia="zh-CN"/>
        </w:rPr>
        <w:t xml:space="preserve">constante na norma citada. Também deverão ser observadas as restrições ao uso nas áreas </w:t>
      </w:r>
      <w:r w:rsidR="00F20A0B">
        <w:rPr>
          <w:rStyle w:val="hps"/>
          <w:rFonts w:eastAsiaTheme="minorHAnsi" w:cstheme="majorHAnsi"/>
          <w:color w:val="000000"/>
          <w:szCs w:val="22"/>
          <w:u w:color="000000"/>
          <w:bdr w:val="nil"/>
          <w:lang w:val="pt-PT" w:eastAsia="zh-CN"/>
        </w:rPr>
        <w:t xml:space="preserve">onde sua aplicação é proibida. </w:t>
      </w:r>
      <w:r w:rsidR="007E0169" w:rsidRPr="00EE0E12">
        <w:t>Ressalta-se que o uso de dispersantes químicos é proibido nas operações de descontaminação de instalações portuárias, de qualquer tipo de embarcação e de equipamentos utilizados na operação de resposta, bem como em situações nas quais se deseja apenas manter a estética do corpo hídrico, mas sem que tal fato seja preponderante nas situações em que o uso de dispersantes apresente maior eficiência e vantagem para a minimização do impacto global de um derrame.</w:t>
      </w:r>
    </w:p>
    <w:p w14:paraId="31049029" w14:textId="3465D7DB" w:rsidR="007E0169" w:rsidRPr="00EE0E12" w:rsidRDefault="007E0169" w:rsidP="00621779">
      <w:pPr>
        <w:pStyle w:val="tier1Itext"/>
      </w:pPr>
      <w:r w:rsidRPr="00EE0E12">
        <w:lastRenderedPageBreak/>
        <w:t xml:space="preserve">A </w:t>
      </w:r>
      <w:r w:rsidRPr="00EE0E12">
        <w:rPr>
          <w:b/>
        </w:rPr>
        <w:fldChar w:fldCharType="begin"/>
      </w:r>
      <w:r w:rsidRPr="00EE0E12">
        <w:rPr>
          <w:b/>
        </w:rPr>
        <w:instrText xml:space="preserve"> REF _Ref411453107 \h  \* MERGEFORMAT </w:instrText>
      </w:r>
      <w:r w:rsidRPr="00EE0E12">
        <w:rPr>
          <w:b/>
        </w:rPr>
      </w:r>
      <w:r w:rsidRPr="00EE0E12">
        <w:rPr>
          <w:b/>
        </w:rPr>
        <w:fldChar w:fldCharType="separate"/>
      </w:r>
      <w:r w:rsidR="00F20A0B" w:rsidRPr="00F20A0B">
        <w:rPr>
          <w:b/>
        </w:rPr>
        <w:t xml:space="preserve">Figura </w:t>
      </w:r>
      <w:r w:rsidR="00F20A0B" w:rsidRPr="00F20A0B">
        <w:rPr>
          <w:b/>
          <w:noProof/>
        </w:rPr>
        <w:t>17</w:t>
      </w:r>
      <w:r w:rsidRPr="00EE0E12">
        <w:rPr>
          <w:b/>
        </w:rPr>
        <w:fldChar w:fldCharType="end"/>
      </w:r>
      <w:r w:rsidRPr="00EE0E12">
        <w:t xml:space="preserve"> apresenta a área </w:t>
      </w:r>
      <w:r w:rsidR="007E36E1">
        <w:t xml:space="preserve">da região norte </w:t>
      </w:r>
      <w:r w:rsidRPr="00EE0E12">
        <w:t>de águas jurisdicionais brasileiras</w:t>
      </w:r>
      <w:r w:rsidRPr="00EE0E12">
        <w:rPr>
          <w:b/>
        </w:rPr>
        <w:t xml:space="preserve"> </w:t>
      </w:r>
      <w:r w:rsidRPr="00EE0E12">
        <w:t>com restrição ao uso de dispersantes químicos</w:t>
      </w:r>
      <w:r w:rsidR="00326933">
        <w:t xml:space="preserve"> conforme </w:t>
      </w:r>
      <w:r w:rsidR="00326933" w:rsidRPr="0072314D">
        <w:rPr>
          <w:highlight w:val="lightGray"/>
        </w:rPr>
        <w:t>definições do Artigo 8º da Resolução CONAMA 472/15 (</w:t>
      </w:r>
      <w:r w:rsidRPr="0072314D">
        <w:rPr>
          <w:highlight w:val="lightGray"/>
        </w:rPr>
        <w:t>devido aos critérios de batimetria</w:t>
      </w:r>
      <w:r w:rsidRPr="0072314D">
        <w:rPr>
          <w:rStyle w:val="FootnoteReference"/>
          <w:highlight w:val="lightGray"/>
        </w:rPr>
        <w:footnoteReference w:id="40"/>
      </w:r>
      <w:r w:rsidRPr="0072314D">
        <w:rPr>
          <w:highlight w:val="lightGray"/>
        </w:rPr>
        <w:t>, unidades de conservação e distância da costa</w:t>
      </w:r>
      <w:r w:rsidR="00326933" w:rsidRPr="0072314D">
        <w:rPr>
          <w:highlight w:val="lightGray"/>
        </w:rPr>
        <w:t>), incluindo aquelas em atendimento específico ao item III deste mesmo artigo, determinadas pelo órgão ambiental em PAR 02022.000055/2017-43 UAL/IBAMA</w:t>
      </w:r>
      <w:r w:rsidRPr="0072314D">
        <w:rPr>
          <w:highlight w:val="lightGray"/>
        </w:rPr>
        <w:t>.</w:t>
      </w:r>
      <w:r w:rsidRPr="0072314D">
        <w:t xml:space="preserve"> </w:t>
      </w:r>
      <w:r w:rsidRPr="00EE0E12">
        <w:t>Os demais aspectos socioambientais deverão ser avaliados no momento das ações de resposta e em consonância com o diagn</w:t>
      </w:r>
      <w:r w:rsidR="00326933">
        <w:t>ó</w:t>
      </w:r>
      <w:r w:rsidRPr="00EE0E12">
        <w:t xml:space="preserve">stico ambiental do Estudo de Impacto Ambiental (EIA) elaborado para as atividades da BP Energy na Bacia da Foz do Amazonas e a análise de vulnerabilidade apresentada no item </w:t>
      </w:r>
      <w:r w:rsidR="00621779">
        <w:fldChar w:fldCharType="begin"/>
      </w:r>
      <w:r w:rsidR="00621779">
        <w:instrText xml:space="preserve"> REF _Ref414544801 \r \h </w:instrText>
      </w:r>
      <w:r w:rsidR="00621779">
        <w:fldChar w:fldCharType="separate"/>
      </w:r>
      <w:r w:rsidR="00897470">
        <w:t>4</w:t>
      </w:r>
      <w:r w:rsidR="00621779">
        <w:fldChar w:fldCharType="end"/>
      </w:r>
      <w:r w:rsidRPr="00EE0E12">
        <w:t xml:space="preserve"> deste </w:t>
      </w:r>
      <w:r w:rsidR="00621779">
        <w:t>P</w:t>
      </w:r>
      <w:r w:rsidRPr="00EE0E12">
        <w:t>lano.</w:t>
      </w:r>
    </w:p>
    <w:p w14:paraId="171B42D3" w14:textId="62469007" w:rsidR="007E0169" w:rsidRDefault="00D437E0" w:rsidP="00621779">
      <w:pPr>
        <w:pStyle w:val="tier1Itext"/>
        <w:tabs>
          <w:tab w:val="clear" w:pos="5529"/>
          <w:tab w:val="left" w:pos="0"/>
        </w:tabs>
        <w:spacing w:before="0" w:after="0" w:line="240" w:lineRule="auto"/>
        <w:jc w:val="center"/>
      </w:pPr>
      <w:r>
        <w:rPr>
          <w:noProof/>
        </w:rPr>
        <w:drawing>
          <wp:inline distT="0" distB="0" distL="0" distR="0" wp14:anchorId="6452CDF7" wp14:editId="2C538783">
            <wp:extent cx="3548130" cy="5048518"/>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Areas Restritas RC 472-15 Alt BP.jpg"/>
                    <pic:cNvPicPr preferRelativeResize="0"/>
                  </pic:nvPicPr>
                  <pic:blipFill>
                    <a:blip r:embed="rId64"/>
                    <a:stretch>
                      <a:fillRect/>
                    </a:stretch>
                  </pic:blipFill>
                  <pic:spPr>
                    <a:xfrm>
                      <a:off x="0" y="0"/>
                      <a:ext cx="3569757" cy="5079291"/>
                    </a:xfrm>
                    <a:prstGeom prst="rect">
                      <a:avLst/>
                    </a:prstGeom>
                  </pic:spPr>
                </pic:pic>
              </a:graphicData>
            </a:graphic>
          </wp:inline>
        </w:drawing>
      </w:r>
      <w:r w:rsidR="009A6D77">
        <w:t>8.</w:t>
      </w:r>
    </w:p>
    <w:p w14:paraId="0BDF4889" w14:textId="1BC6FAC9" w:rsidR="007E0169" w:rsidRPr="00EE0E12" w:rsidRDefault="007E0169" w:rsidP="00621779">
      <w:pPr>
        <w:pStyle w:val="Caption"/>
        <w:keepNext w:val="0"/>
        <w:spacing w:before="0" w:after="0" w:line="240" w:lineRule="auto"/>
      </w:pPr>
      <w:bookmarkStart w:id="206" w:name="_Ref411453107"/>
      <w:bookmarkStart w:id="207" w:name="_Toc412812299"/>
      <w:bookmarkStart w:id="208" w:name="_Toc523833982"/>
      <w:r w:rsidRPr="00EE0E12">
        <w:t xml:space="preserve">Figura </w:t>
      </w:r>
      <w:fldSimple w:instr=" SEQ Figura \* ARABIC ">
        <w:r w:rsidR="00F20A0B">
          <w:rPr>
            <w:noProof/>
          </w:rPr>
          <w:t>17</w:t>
        </w:r>
      </w:fldSimple>
      <w:bookmarkEnd w:id="206"/>
      <w:r w:rsidRPr="00EE0E12">
        <w:t xml:space="preserve">: </w:t>
      </w:r>
      <w:r w:rsidR="000B5B2B" w:rsidRPr="00565670">
        <w:t>Área</w:t>
      </w:r>
      <w:r w:rsidR="000B5B2B">
        <w:t xml:space="preserve"> com restrição ao uso de dispersantes químicos</w:t>
      </w:r>
      <w:r w:rsidR="000B5B2B" w:rsidRPr="00565670">
        <w:t xml:space="preserve">, considerando os critérios </w:t>
      </w:r>
      <w:r w:rsidR="00D437E0" w:rsidRPr="0072314D">
        <w:rPr>
          <w:highlight w:val="lightGray"/>
        </w:rPr>
        <w:t>da Resolução Conama 472/15 – Art 8º</w:t>
      </w:r>
      <w:r w:rsidR="000B5B2B" w:rsidRPr="00565670">
        <w:t>. (</w:t>
      </w:r>
      <w:r w:rsidR="000B5B2B">
        <w:t xml:space="preserve">Fonte: </w:t>
      </w:r>
      <w:r w:rsidR="00D437E0" w:rsidRPr="0072314D">
        <w:rPr>
          <w:highlight w:val="lightGray"/>
        </w:rPr>
        <w:t>Alterado a partir de</w:t>
      </w:r>
      <w:r w:rsidR="00D437E0" w:rsidRPr="0072314D">
        <w:t xml:space="preserve"> </w:t>
      </w:r>
      <w:r w:rsidR="000B5B2B">
        <w:t>Witt|O’Brien’s</w:t>
      </w:r>
      <w:r w:rsidR="000B5B2B" w:rsidRPr="00565670">
        <w:t>)</w:t>
      </w:r>
      <w:r w:rsidRPr="00EE0E12">
        <w:t>.</w:t>
      </w:r>
      <w:bookmarkEnd w:id="207"/>
      <w:bookmarkEnd w:id="208"/>
    </w:p>
    <w:p w14:paraId="0FEE65DF" w14:textId="77777777" w:rsidR="007E0169" w:rsidRPr="00EE0E12" w:rsidRDefault="007E0169" w:rsidP="003A12B7">
      <w:pPr>
        <w:pStyle w:val="tier1Itext"/>
      </w:pPr>
      <w:r w:rsidRPr="00EE0E12">
        <w:lastRenderedPageBreak/>
        <w:t>A taxa de aplicação dispersantes químicos varia de acordo com a espessura do óleo bem como com as condições oceanográficas no momento da aplicação. O controle desta taxa pode ser conseguido através de 02 (duas) variáveis: o fluxo do sistema de bomba e a velocidade da plataforma (embarcação/aeronave) envolvida na aplicação.</w:t>
      </w:r>
    </w:p>
    <w:p w14:paraId="47C6D508" w14:textId="77777777" w:rsidR="007E0169" w:rsidRPr="00EE0E12" w:rsidRDefault="007E0169" w:rsidP="00EE0E12">
      <w:pPr>
        <w:spacing w:after="240"/>
        <w:rPr>
          <w:rFonts w:asciiTheme="majorHAnsi" w:hAnsiTheme="majorHAnsi" w:cstheme="majorHAnsi"/>
          <w:b/>
        </w:rPr>
      </w:pPr>
      <w:r w:rsidRPr="00EE0E12">
        <w:rPr>
          <w:rFonts w:asciiTheme="majorHAnsi" w:hAnsiTheme="majorHAnsi" w:cstheme="majorHAnsi"/>
          <w:b/>
        </w:rPr>
        <w:t>Eficácia da aplicação</w:t>
      </w:r>
    </w:p>
    <w:p w14:paraId="31E77683" w14:textId="19FECA92" w:rsidR="007E0169" w:rsidRPr="00EE0E12" w:rsidRDefault="007E0169" w:rsidP="003A12B7">
      <w:pPr>
        <w:pStyle w:val="tier1Itext"/>
      </w:pPr>
      <w:r w:rsidRPr="00EE0E12">
        <w:t xml:space="preserve">Conforme estabelecido pela Resolução CONAMA nº </w:t>
      </w:r>
      <w:r w:rsidR="00F20A0B">
        <w:t>472</w:t>
      </w:r>
      <w:r w:rsidRPr="00EE0E12">
        <w:t>/</w:t>
      </w:r>
      <w:r w:rsidR="00F20A0B">
        <w:t>15</w:t>
      </w:r>
      <w:r w:rsidRPr="00EE0E12">
        <w:t>, quando os dispersantes são usados durante uma resposta ao vazamento, sua eficácia deve ser avaliada.</w:t>
      </w:r>
    </w:p>
    <w:p w14:paraId="17BA5AEE" w14:textId="77777777" w:rsidR="007E0169" w:rsidRPr="00EE0E12" w:rsidRDefault="007E0169" w:rsidP="003A12B7">
      <w:pPr>
        <w:pStyle w:val="tier1Itext"/>
      </w:pPr>
      <w:r w:rsidRPr="00EE0E12">
        <w:t>A eficácia do processo de aplicação do dispersante é principalmente controlada por observação visual. No campo é muito difícil atestar a eficácia do processo pois inexistem métodos de medição da concentração do óleo na coluna de água em grandes áreas e durante períodos frequentes. Também é difícil determinar a quantidade de óleo que permanece na superfície da água, já que não há métodos disponíveis para medir com precisão a espessura de uma mancha de óleo e a quantidade de óleo em subsuperfície, que muitas vezes se comporta de forma diferente do que o óleo na superfície. Deste modo, as avaliações qualitativas, com indicadores visuais</w:t>
      </w:r>
      <w:r w:rsidR="007E36E1">
        <w:t>,</w:t>
      </w:r>
      <w:r w:rsidRPr="00EE0E12">
        <w:t xml:space="preserve"> representam o tipo de monitoramento mais comum realizado.</w:t>
      </w:r>
    </w:p>
    <w:p w14:paraId="633F200B" w14:textId="77777777" w:rsidR="007E0169" w:rsidRPr="00EE0E12" w:rsidRDefault="007E0169" w:rsidP="00EE0E12">
      <w:pPr>
        <w:spacing w:after="240"/>
        <w:rPr>
          <w:rFonts w:asciiTheme="majorHAnsi" w:hAnsiTheme="majorHAnsi" w:cstheme="majorHAnsi"/>
          <w:b/>
        </w:rPr>
      </w:pPr>
      <w:r w:rsidRPr="00EE0E12">
        <w:rPr>
          <w:rFonts w:asciiTheme="majorHAnsi" w:hAnsiTheme="majorHAnsi" w:cstheme="majorHAnsi"/>
          <w:b/>
        </w:rPr>
        <w:t>Observação Visual</w:t>
      </w:r>
    </w:p>
    <w:p w14:paraId="07BD400F" w14:textId="6477333B" w:rsidR="007E0169" w:rsidRPr="00EE0E12" w:rsidRDefault="007E0169" w:rsidP="003A12B7">
      <w:pPr>
        <w:pStyle w:val="tier1Itext"/>
      </w:pPr>
      <w:r w:rsidRPr="00EE0E12">
        <w:t>Um observador (em aeronave ou embarcação) deve estar presente durante uma campanha de aplicação de dispersantes químicos para avaliar visualmente a eficácia da aplicação. Para esta função, o observador deve ser capacitado através de treinamento específico. Os procedimentos aéreos ou de monitoramento por embarcações estão descritos na Seç</w:t>
      </w:r>
      <w:r w:rsidR="00F20A0B">
        <w:t xml:space="preserve">ão  8.3.2  </w:t>
      </w:r>
      <w:r w:rsidRPr="00EE0E12">
        <w:t>deste Plano.</w:t>
      </w:r>
    </w:p>
    <w:p w14:paraId="024F2ECF" w14:textId="77777777" w:rsidR="007E0169" w:rsidRPr="00EE0E12" w:rsidRDefault="007E0169" w:rsidP="003A12B7">
      <w:pPr>
        <w:pStyle w:val="tier1Itext"/>
      </w:pPr>
      <w:r w:rsidRPr="00EE0E12">
        <w:t xml:space="preserve">Os observadores podem identificar as alterações de cor em emulsões devido ao teor de água reduzido e à viscosidade, assim como as alterações na forma da mancha devido à ação desemulsificadora do dispersante. Às vezes, outras ocorrências tais como sólidos em suspensão ou proliferação de algas, podem ser semelhantes ao óleo disperso. Observadores diferentes no mesmo local podem chegar a conclusões diferentes sobre a quantidade de mancha que foi dispersa. Isso destaca a importância dos critérios de relatórios padronizados e o treinamento com um conjunto comum de diretrizes. </w:t>
      </w:r>
    </w:p>
    <w:p w14:paraId="32C366E2" w14:textId="77777777" w:rsidR="007E0169" w:rsidRPr="00EE0E12" w:rsidRDefault="007E0169" w:rsidP="004F4B14">
      <w:pPr>
        <w:pStyle w:val="tier1Itext"/>
        <w:rPr>
          <w:rFonts w:cstheme="majorHAnsi"/>
        </w:rPr>
      </w:pPr>
      <w:r w:rsidRPr="00EE0E12">
        <w:t xml:space="preserve">A </w:t>
      </w:r>
      <w:r w:rsidRPr="00EE0E12">
        <w:rPr>
          <w:b/>
        </w:rPr>
        <w:fldChar w:fldCharType="begin"/>
      </w:r>
      <w:r w:rsidRPr="00EE0E12">
        <w:instrText xml:space="preserve"> REF _Ref412760893 \h </w:instrText>
      </w:r>
      <w:r w:rsidR="00F9135C">
        <w:rPr>
          <w:b/>
        </w:rPr>
        <w:instrText xml:space="preserve"> \* MERGEFORMAT </w:instrText>
      </w:r>
      <w:r w:rsidRPr="00EE0E12">
        <w:rPr>
          <w:b/>
        </w:rPr>
      </w:r>
      <w:r w:rsidRPr="00EE0E12">
        <w:rPr>
          <w:b/>
        </w:rPr>
        <w:fldChar w:fldCharType="separate"/>
      </w:r>
      <w:r w:rsidR="0008757F" w:rsidRPr="0008757F">
        <w:rPr>
          <w:b/>
        </w:rPr>
        <w:t xml:space="preserve">Figura </w:t>
      </w:r>
      <w:r w:rsidR="0008757F" w:rsidRPr="0008757F">
        <w:rPr>
          <w:b/>
          <w:noProof/>
        </w:rPr>
        <w:t>18</w:t>
      </w:r>
      <w:r w:rsidRPr="00EE0E12">
        <w:rPr>
          <w:b/>
        </w:rPr>
        <w:fldChar w:fldCharType="end"/>
      </w:r>
      <w:r w:rsidR="004F4B14">
        <w:t xml:space="preserve">, a </w:t>
      </w:r>
      <w:r w:rsidR="004F4B14" w:rsidRPr="004F4B14">
        <w:rPr>
          <w:szCs w:val="22"/>
        </w:rPr>
        <w:fldChar w:fldCharType="begin"/>
      </w:r>
      <w:r w:rsidR="004F4B14" w:rsidRPr="004F4B14">
        <w:rPr>
          <w:szCs w:val="22"/>
        </w:rPr>
        <w:instrText xml:space="preserve"> REF _Ref412760894 \h </w:instrText>
      </w:r>
      <w:r w:rsidR="004F4B14">
        <w:rPr>
          <w:szCs w:val="22"/>
        </w:rPr>
        <w:instrText xml:space="preserve"> \* MERGEFORMAT </w:instrText>
      </w:r>
      <w:r w:rsidR="004F4B14" w:rsidRPr="004F4B14">
        <w:rPr>
          <w:szCs w:val="22"/>
        </w:rPr>
      </w:r>
      <w:r w:rsidR="004F4B14" w:rsidRPr="004F4B14">
        <w:rPr>
          <w:szCs w:val="22"/>
        </w:rPr>
        <w:fldChar w:fldCharType="separate"/>
      </w:r>
      <w:r w:rsidR="0008757F" w:rsidRPr="0008757F">
        <w:rPr>
          <w:b/>
          <w:szCs w:val="22"/>
        </w:rPr>
        <w:t xml:space="preserve">Figura </w:t>
      </w:r>
      <w:r w:rsidR="0008757F" w:rsidRPr="0008757F">
        <w:rPr>
          <w:b/>
          <w:noProof/>
          <w:szCs w:val="22"/>
        </w:rPr>
        <w:t>19</w:t>
      </w:r>
      <w:r w:rsidR="004F4B14" w:rsidRPr="004F4B14">
        <w:rPr>
          <w:szCs w:val="22"/>
        </w:rPr>
        <w:fldChar w:fldCharType="end"/>
      </w:r>
      <w:r w:rsidRPr="00EE0E12">
        <w:t xml:space="preserve"> </w:t>
      </w:r>
      <w:r w:rsidR="004F4B14">
        <w:t xml:space="preserve">e </w:t>
      </w:r>
      <w:r w:rsidRPr="00EE0E12">
        <w:t xml:space="preserve">a </w:t>
      </w:r>
      <w:r w:rsidRPr="00EE0E12">
        <w:rPr>
          <w:b/>
        </w:rPr>
        <w:fldChar w:fldCharType="begin"/>
      </w:r>
      <w:r w:rsidRPr="00EE0E12">
        <w:rPr>
          <w:b/>
        </w:rPr>
        <w:instrText xml:space="preserve"> REF _Ref412808805 \h  \* MERGEFORMAT </w:instrText>
      </w:r>
      <w:r w:rsidRPr="00EE0E12">
        <w:rPr>
          <w:b/>
        </w:rPr>
      </w:r>
      <w:r w:rsidRPr="00EE0E12">
        <w:rPr>
          <w:b/>
        </w:rPr>
        <w:fldChar w:fldCharType="separate"/>
      </w:r>
      <w:r w:rsidR="0008757F" w:rsidRPr="0008757F">
        <w:rPr>
          <w:b/>
        </w:rPr>
        <w:t xml:space="preserve">Figura </w:t>
      </w:r>
      <w:r w:rsidR="0008757F" w:rsidRPr="0008757F">
        <w:rPr>
          <w:b/>
          <w:noProof/>
        </w:rPr>
        <w:t>20</w:t>
      </w:r>
      <w:r w:rsidRPr="00EE0E12">
        <w:rPr>
          <w:b/>
        </w:rPr>
        <w:fldChar w:fldCharType="end"/>
      </w:r>
      <w:r w:rsidRPr="00EE0E12">
        <w:t xml:space="preserve"> mostram três situações características que podem ocorrer durante a aplicação de dispersantes químicos: (i) dosagem inferior à requerida; (ii) dosagem ideal; e (iii) dosagem superior à requerida.</w:t>
      </w:r>
    </w:p>
    <w:tbl>
      <w:tblPr>
        <w:tblpPr w:leftFromText="180" w:rightFromText="180" w:vertAnchor="text" w:tblpY="1"/>
        <w:tblOverlap w:val="never"/>
        <w:tblW w:w="0" w:type="auto"/>
        <w:tblLayout w:type="fixed"/>
        <w:tblLook w:val="00A0" w:firstRow="1" w:lastRow="0" w:firstColumn="1" w:lastColumn="0" w:noHBand="0" w:noVBand="0"/>
      </w:tblPr>
      <w:tblGrid>
        <w:gridCol w:w="5359"/>
        <w:gridCol w:w="3680"/>
      </w:tblGrid>
      <w:tr w:rsidR="007E0169" w:rsidRPr="00EE0E12" w14:paraId="131F7726" w14:textId="77777777" w:rsidTr="004F4B14">
        <w:tc>
          <w:tcPr>
            <w:tcW w:w="5359" w:type="dxa"/>
          </w:tcPr>
          <w:p w14:paraId="0D4EC1FA"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lastRenderedPageBreak/>
              <w:drawing>
                <wp:inline distT="0" distB="0" distL="0" distR="0" wp14:anchorId="48D49865" wp14:editId="1EE74983">
                  <wp:extent cx="3281516" cy="2498400"/>
                  <wp:effectExtent l="19050" t="19050" r="14605" b="16510"/>
                  <wp:docPr id="302" name="Pictur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281516" cy="2498400"/>
                          </a:xfrm>
                          <a:prstGeom prst="rect">
                            <a:avLst/>
                          </a:prstGeom>
                          <a:noFill/>
                          <a:ln w="12700" cmpd="sng">
                            <a:solidFill>
                              <a:srgbClr val="007833"/>
                            </a:solidFill>
                            <a:miter lim="800000"/>
                            <a:headEnd/>
                            <a:tailEnd/>
                          </a:ln>
                          <a:effectLst/>
                        </pic:spPr>
                      </pic:pic>
                    </a:graphicData>
                  </a:graphic>
                </wp:inline>
              </w:drawing>
            </w:r>
          </w:p>
        </w:tc>
        <w:tc>
          <w:tcPr>
            <w:tcW w:w="3680" w:type="dxa"/>
          </w:tcPr>
          <w:p w14:paraId="21743E15" w14:textId="77777777" w:rsidR="007E0169" w:rsidRPr="004F4B14" w:rsidRDefault="007E0169" w:rsidP="004F4B14">
            <w:pPr>
              <w:pStyle w:val="Default"/>
              <w:rPr>
                <w:rStyle w:val="A17"/>
                <w:rFonts w:asciiTheme="majorHAnsi" w:hAnsiTheme="majorHAnsi" w:cstheme="majorHAnsi"/>
                <w:b/>
                <w:sz w:val="20"/>
                <w:szCs w:val="20"/>
              </w:rPr>
            </w:pPr>
            <w:bookmarkStart w:id="209" w:name="_Ref412760893"/>
            <w:bookmarkStart w:id="210" w:name="_Toc412812300"/>
            <w:bookmarkStart w:id="211" w:name="_Toc523833983"/>
            <w:r w:rsidRPr="004F4B14">
              <w:rPr>
                <w:rFonts w:asciiTheme="majorHAnsi" w:hAnsiTheme="majorHAnsi"/>
                <w:b/>
                <w:sz w:val="20"/>
                <w:szCs w:val="20"/>
              </w:rPr>
              <w:t xml:space="preserve">Figura </w:t>
            </w:r>
            <w:r w:rsidRPr="004F4B14">
              <w:rPr>
                <w:rFonts w:asciiTheme="majorHAnsi" w:hAnsiTheme="majorHAnsi"/>
                <w:b/>
                <w:sz w:val="20"/>
                <w:szCs w:val="20"/>
              </w:rPr>
              <w:fldChar w:fldCharType="begin"/>
            </w:r>
            <w:r w:rsidRPr="004F4B14">
              <w:rPr>
                <w:rFonts w:asciiTheme="majorHAnsi" w:hAnsiTheme="majorHAnsi"/>
                <w:b/>
                <w:sz w:val="20"/>
                <w:szCs w:val="20"/>
              </w:rPr>
              <w:instrText xml:space="preserve"> SEQ Figura \* ARABIC </w:instrText>
            </w:r>
            <w:r w:rsidRPr="004F4B14">
              <w:rPr>
                <w:rFonts w:asciiTheme="majorHAnsi" w:hAnsiTheme="majorHAnsi"/>
                <w:b/>
                <w:sz w:val="20"/>
                <w:szCs w:val="20"/>
              </w:rPr>
              <w:fldChar w:fldCharType="separate"/>
            </w:r>
            <w:r w:rsidR="0008757F">
              <w:rPr>
                <w:rFonts w:asciiTheme="majorHAnsi" w:hAnsiTheme="majorHAnsi"/>
                <w:b/>
                <w:noProof/>
                <w:sz w:val="20"/>
                <w:szCs w:val="20"/>
              </w:rPr>
              <w:t>18</w:t>
            </w:r>
            <w:r w:rsidRPr="004F4B14">
              <w:rPr>
                <w:rFonts w:asciiTheme="majorHAnsi" w:hAnsiTheme="majorHAnsi"/>
                <w:b/>
                <w:sz w:val="20"/>
                <w:szCs w:val="20"/>
              </w:rPr>
              <w:fldChar w:fldCharType="end"/>
            </w:r>
            <w:bookmarkEnd w:id="209"/>
            <w:r w:rsidRPr="004F4B14">
              <w:rPr>
                <w:rFonts w:asciiTheme="majorHAnsi" w:hAnsiTheme="majorHAnsi"/>
                <w:b/>
                <w:sz w:val="20"/>
                <w:szCs w:val="20"/>
              </w:rPr>
              <w:t xml:space="preserve">: </w:t>
            </w:r>
            <w:r w:rsidRPr="004F4B14">
              <w:rPr>
                <w:rFonts w:asciiTheme="majorHAnsi" w:hAnsiTheme="majorHAnsi" w:cstheme="majorHAnsi"/>
                <w:b/>
                <w:i/>
                <w:sz w:val="20"/>
                <w:szCs w:val="20"/>
              </w:rPr>
              <w:t>Sub-dosagem</w:t>
            </w:r>
            <w:r w:rsidRPr="004F4B14">
              <w:rPr>
                <w:rFonts w:asciiTheme="majorHAnsi" w:hAnsiTheme="majorHAnsi" w:cstheme="majorHAnsi"/>
                <w:b/>
                <w:sz w:val="20"/>
                <w:szCs w:val="20"/>
              </w:rPr>
              <w:t xml:space="preserve"> – aplicação de menos dispersante que o requerido</w:t>
            </w:r>
            <w:r w:rsidR="004F4B14" w:rsidRPr="004F4B14">
              <w:rPr>
                <w:rFonts w:asciiTheme="majorHAnsi" w:hAnsiTheme="majorHAnsi" w:cstheme="majorHAnsi"/>
                <w:b/>
                <w:sz w:val="20"/>
                <w:szCs w:val="20"/>
              </w:rPr>
              <w:t>,</w:t>
            </w:r>
            <w:r w:rsidRPr="004F4B14">
              <w:rPr>
                <w:rFonts w:asciiTheme="majorHAnsi" w:hAnsiTheme="majorHAnsi" w:cstheme="majorHAnsi"/>
                <w:b/>
                <w:sz w:val="20"/>
                <w:szCs w:val="20"/>
              </w:rPr>
              <w:t xml:space="preserve"> significa que a pulverização foi ineficaz.</w:t>
            </w:r>
            <w:r w:rsidRPr="004F4B14">
              <w:rPr>
                <w:rStyle w:val="A17"/>
                <w:rFonts w:asciiTheme="majorHAnsi" w:hAnsiTheme="majorHAnsi" w:cstheme="majorHAnsi"/>
                <w:b/>
                <w:sz w:val="20"/>
                <w:szCs w:val="20"/>
              </w:rPr>
              <w:t xml:space="preserve"> O óleo permanecerá na superfície no seu estado normal</w:t>
            </w:r>
            <w:r w:rsidR="004F4B14" w:rsidRPr="004F4B14">
              <w:rPr>
                <w:rStyle w:val="A17"/>
                <w:rFonts w:asciiTheme="majorHAnsi" w:hAnsiTheme="majorHAnsi" w:cstheme="majorHAnsi"/>
                <w:b/>
                <w:sz w:val="20"/>
                <w:szCs w:val="20"/>
              </w:rPr>
              <w:t xml:space="preserve"> </w:t>
            </w:r>
            <w:r w:rsidR="004F4B14" w:rsidRPr="004F4B14">
              <w:rPr>
                <w:rFonts w:asciiTheme="majorHAnsi" w:hAnsiTheme="majorHAnsi" w:cstheme="majorHAnsi"/>
                <w:b/>
                <w:sz w:val="20"/>
              </w:rPr>
              <w:t>(Fonte: OSRL</w:t>
            </w:r>
            <w:r w:rsidR="004F4B14" w:rsidRPr="004F4B14">
              <w:rPr>
                <w:rFonts w:asciiTheme="majorHAnsi" w:hAnsiTheme="majorHAnsi" w:cstheme="majorHAnsi"/>
                <w:b/>
                <w:sz w:val="20"/>
                <w:szCs w:val="20"/>
              </w:rPr>
              <w:t>, 2011)</w:t>
            </w:r>
            <w:r w:rsidRPr="004F4B14">
              <w:rPr>
                <w:rStyle w:val="A17"/>
                <w:rFonts w:asciiTheme="majorHAnsi" w:hAnsiTheme="majorHAnsi" w:cstheme="majorHAnsi"/>
                <w:b/>
                <w:sz w:val="20"/>
                <w:szCs w:val="20"/>
              </w:rPr>
              <w:t>.</w:t>
            </w:r>
            <w:bookmarkEnd w:id="210"/>
            <w:bookmarkEnd w:id="211"/>
          </w:p>
          <w:p w14:paraId="037E7031" w14:textId="77777777" w:rsidR="007E0169" w:rsidRPr="004F4B14" w:rsidRDefault="007E0169" w:rsidP="004F4B14">
            <w:pPr>
              <w:pStyle w:val="Default"/>
              <w:rPr>
                <w:rStyle w:val="A17"/>
                <w:rFonts w:asciiTheme="majorHAnsi" w:hAnsiTheme="majorHAnsi" w:cstheme="majorHAnsi"/>
                <w:sz w:val="20"/>
                <w:szCs w:val="20"/>
              </w:rPr>
            </w:pPr>
          </w:p>
          <w:p w14:paraId="24A2C2FF" w14:textId="77777777" w:rsidR="007E0169" w:rsidRPr="004F4B14" w:rsidRDefault="007E0169" w:rsidP="004F4B14">
            <w:pPr>
              <w:pStyle w:val="Default"/>
              <w:rPr>
                <w:rFonts w:asciiTheme="majorHAnsi" w:hAnsiTheme="majorHAnsi" w:cstheme="majorHAnsi"/>
                <w:sz w:val="20"/>
                <w:szCs w:val="20"/>
              </w:rPr>
            </w:pPr>
            <w:r w:rsidRPr="004F4B14">
              <w:rPr>
                <w:rStyle w:val="A17"/>
                <w:rFonts w:asciiTheme="majorHAnsi" w:hAnsiTheme="majorHAnsi" w:cstheme="majorHAnsi"/>
                <w:i/>
                <w:sz w:val="20"/>
                <w:szCs w:val="20"/>
              </w:rPr>
              <w:t>Ações associadas</w:t>
            </w:r>
            <w:r w:rsidRPr="004F4B14">
              <w:rPr>
                <w:rStyle w:val="A17"/>
                <w:rFonts w:asciiTheme="majorHAnsi" w:hAnsiTheme="majorHAnsi" w:cstheme="majorHAnsi"/>
                <w:sz w:val="20"/>
                <w:szCs w:val="20"/>
              </w:rPr>
              <w:t>. Reduzir a velocidade da plataforma de aplicação e revisar a vazão do bombeamento.</w:t>
            </w:r>
          </w:p>
        </w:tc>
      </w:tr>
      <w:tr w:rsidR="007E0169" w:rsidRPr="00EE0E12" w14:paraId="5D1D5216" w14:textId="77777777" w:rsidTr="004F4B14">
        <w:tc>
          <w:tcPr>
            <w:tcW w:w="5359" w:type="dxa"/>
          </w:tcPr>
          <w:p w14:paraId="392A9D5C"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drawing>
                <wp:inline distT="0" distB="0" distL="0" distR="0" wp14:anchorId="29FBF2DE" wp14:editId="41A1050A">
                  <wp:extent cx="3279600" cy="2498400"/>
                  <wp:effectExtent l="19050" t="19050" r="16510" b="16510"/>
                  <wp:docPr id="301" name="Pictur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79600" cy="2498400"/>
                          </a:xfrm>
                          <a:prstGeom prst="rect">
                            <a:avLst/>
                          </a:prstGeom>
                          <a:noFill/>
                          <a:ln w="12700" cmpd="sng">
                            <a:solidFill>
                              <a:srgbClr val="007833"/>
                            </a:solidFill>
                            <a:miter lim="800000"/>
                            <a:headEnd/>
                            <a:tailEnd/>
                          </a:ln>
                          <a:effectLst/>
                        </pic:spPr>
                      </pic:pic>
                    </a:graphicData>
                  </a:graphic>
                </wp:inline>
              </w:drawing>
            </w:r>
          </w:p>
        </w:tc>
        <w:tc>
          <w:tcPr>
            <w:tcW w:w="3680" w:type="dxa"/>
          </w:tcPr>
          <w:p w14:paraId="32E3A0DF" w14:textId="77777777" w:rsidR="007E0169" w:rsidRPr="004F4B14" w:rsidRDefault="007E0169" w:rsidP="004F4B14">
            <w:pPr>
              <w:pStyle w:val="Default"/>
              <w:rPr>
                <w:rStyle w:val="A17"/>
                <w:rFonts w:asciiTheme="majorHAnsi" w:hAnsiTheme="majorHAnsi" w:cstheme="majorHAnsi"/>
                <w:b/>
                <w:sz w:val="20"/>
                <w:szCs w:val="20"/>
              </w:rPr>
            </w:pPr>
            <w:bookmarkStart w:id="212" w:name="_Ref412760894"/>
            <w:bookmarkStart w:id="213" w:name="_Toc412812301"/>
            <w:bookmarkStart w:id="214" w:name="_Toc523833984"/>
            <w:r w:rsidRPr="004F4B14">
              <w:rPr>
                <w:rFonts w:asciiTheme="majorHAnsi" w:hAnsiTheme="majorHAnsi"/>
                <w:b/>
                <w:sz w:val="20"/>
                <w:szCs w:val="20"/>
              </w:rPr>
              <w:t xml:space="preserve">Figura </w:t>
            </w:r>
            <w:r w:rsidRPr="004F4B14">
              <w:rPr>
                <w:rFonts w:asciiTheme="majorHAnsi" w:hAnsiTheme="majorHAnsi"/>
                <w:b/>
                <w:sz w:val="20"/>
                <w:szCs w:val="20"/>
              </w:rPr>
              <w:fldChar w:fldCharType="begin"/>
            </w:r>
            <w:r w:rsidRPr="004F4B14">
              <w:rPr>
                <w:rFonts w:asciiTheme="majorHAnsi" w:hAnsiTheme="majorHAnsi"/>
                <w:b/>
                <w:sz w:val="20"/>
                <w:szCs w:val="20"/>
              </w:rPr>
              <w:instrText xml:space="preserve"> SEQ Figura \* ARABIC </w:instrText>
            </w:r>
            <w:r w:rsidRPr="004F4B14">
              <w:rPr>
                <w:rFonts w:asciiTheme="majorHAnsi" w:hAnsiTheme="majorHAnsi"/>
                <w:b/>
                <w:sz w:val="20"/>
                <w:szCs w:val="20"/>
              </w:rPr>
              <w:fldChar w:fldCharType="separate"/>
            </w:r>
            <w:r w:rsidR="0008757F">
              <w:rPr>
                <w:rFonts w:asciiTheme="majorHAnsi" w:hAnsiTheme="majorHAnsi"/>
                <w:b/>
                <w:noProof/>
                <w:sz w:val="20"/>
                <w:szCs w:val="20"/>
              </w:rPr>
              <w:t>19</w:t>
            </w:r>
            <w:r w:rsidRPr="004F4B14">
              <w:rPr>
                <w:rFonts w:asciiTheme="majorHAnsi" w:hAnsiTheme="majorHAnsi"/>
                <w:b/>
                <w:sz w:val="20"/>
                <w:szCs w:val="20"/>
              </w:rPr>
              <w:fldChar w:fldCharType="end"/>
            </w:r>
            <w:bookmarkEnd w:id="212"/>
            <w:r w:rsidRPr="004F4B14">
              <w:rPr>
                <w:rFonts w:asciiTheme="majorHAnsi" w:hAnsiTheme="majorHAnsi"/>
                <w:b/>
                <w:sz w:val="20"/>
                <w:szCs w:val="20"/>
              </w:rPr>
              <w:t xml:space="preserve">: </w:t>
            </w:r>
            <w:r w:rsidRPr="004F4B14">
              <w:rPr>
                <w:rFonts w:asciiTheme="majorHAnsi" w:hAnsiTheme="majorHAnsi" w:cstheme="majorHAnsi"/>
                <w:b/>
                <w:i/>
                <w:sz w:val="20"/>
                <w:szCs w:val="20"/>
              </w:rPr>
              <w:t>Concentração efetiva</w:t>
            </w:r>
            <w:r w:rsidRPr="004F4B14">
              <w:rPr>
                <w:rFonts w:asciiTheme="majorHAnsi" w:hAnsiTheme="majorHAnsi" w:cstheme="majorHAnsi"/>
                <w:b/>
                <w:sz w:val="20"/>
                <w:szCs w:val="20"/>
              </w:rPr>
              <w:t xml:space="preserve"> – </w:t>
            </w:r>
            <w:r w:rsidR="004F4B14">
              <w:rPr>
                <w:rStyle w:val="A17"/>
                <w:rFonts w:asciiTheme="majorHAnsi" w:hAnsiTheme="majorHAnsi" w:cstheme="majorHAnsi"/>
                <w:b/>
                <w:sz w:val="20"/>
                <w:szCs w:val="20"/>
              </w:rPr>
              <w:t>q</w:t>
            </w:r>
            <w:r w:rsidRPr="004F4B14">
              <w:rPr>
                <w:rStyle w:val="A17"/>
                <w:rFonts w:asciiTheme="majorHAnsi" w:hAnsiTheme="majorHAnsi" w:cstheme="majorHAnsi"/>
                <w:b/>
                <w:sz w:val="20"/>
                <w:szCs w:val="20"/>
              </w:rPr>
              <w:t>uando o dispersante é eficientemente aplicado, uma pluma colorida na cor cinza ou café será visível na água. Também pode haver um movimento perceptível de óleo na superfície</w:t>
            </w:r>
            <w:r w:rsidR="004F4B14" w:rsidRPr="004F4B14">
              <w:rPr>
                <w:rStyle w:val="A17"/>
                <w:rFonts w:asciiTheme="majorHAnsi" w:hAnsiTheme="majorHAnsi" w:cstheme="majorHAnsi"/>
                <w:b/>
                <w:sz w:val="20"/>
                <w:szCs w:val="20"/>
              </w:rPr>
              <w:t xml:space="preserve"> </w:t>
            </w:r>
            <w:r w:rsidR="004F4B14" w:rsidRPr="004F4B14">
              <w:rPr>
                <w:rFonts w:asciiTheme="majorHAnsi" w:hAnsiTheme="majorHAnsi" w:cstheme="majorHAnsi"/>
                <w:b/>
                <w:sz w:val="20"/>
              </w:rPr>
              <w:t>(</w:t>
            </w:r>
            <w:r w:rsidR="00A8331C" w:rsidRPr="004F4B14">
              <w:rPr>
                <w:rFonts w:asciiTheme="majorHAnsi" w:hAnsiTheme="majorHAnsi" w:cstheme="majorHAnsi"/>
                <w:b/>
                <w:sz w:val="20"/>
              </w:rPr>
              <w:t>Fonte: OSRL</w:t>
            </w:r>
            <w:r w:rsidR="00A8331C" w:rsidRPr="004F4B14">
              <w:rPr>
                <w:rFonts w:asciiTheme="majorHAnsi" w:hAnsiTheme="majorHAnsi" w:cstheme="majorHAnsi"/>
                <w:b/>
                <w:sz w:val="20"/>
                <w:szCs w:val="20"/>
              </w:rPr>
              <w:t>, 2011</w:t>
            </w:r>
            <w:r w:rsidR="004F4B14" w:rsidRPr="004F4B14">
              <w:rPr>
                <w:rFonts w:asciiTheme="majorHAnsi" w:hAnsiTheme="majorHAnsi" w:cstheme="majorHAnsi"/>
                <w:b/>
                <w:sz w:val="20"/>
                <w:szCs w:val="20"/>
              </w:rPr>
              <w:t>)</w:t>
            </w:r>
            <w:r w:rsidRPr="004F4B14">
              <w:rPr>
                <w:rStyle w:val="A17"/>
                <w:rFonts w:asciiTheme="majorHAnsi" w:hAnsiTheme="majorHAnsi" w:cstheme="majorHAnsi"/>
                <w:b/>
                <w:sz w:val="20"/>
                <w:szCs w:val="20"/>
              </w:rPr>
              <w:t>.</w:t>
            </w:r>
            <w:bookmarkEnd w:id="213"/>
            <w:bookmarkEnd w:id="214"/>
          </w:p>
          <w:p w14:paraId="619F6BAB" w14:textId="77777777" w:rsidR="007E0169" w:rsidRPr="004F4B14" w:rsidRDefault="007E0169" w:rsidP="004F4B14">
            <w:pPr>
              <w:pStyle w:val="Default"/>
              <w:rPr>
                <w:rStyle w:val="A17"/>
                <w:rFonts w:asciiTheme="majorHAnsi" w:hAnsiTheme="majorHAnsi" w:cstheme="majorHAnsi"/>
                <w:sz w:val="20"/>
                <w:szCs w:val="20"/>
              </w:rPr>
            </w:pPr>
          </w:p>
          <w:p w14:paraId="3BF26519" w14:textId="77777777" w:rsidR="007E0169" w:rsidRPr="004F4B14" w:rsidRDefault="007E0169" w:rsidP="004F4B14">
            <w:pPr>
              <w:pStyle w:val="Default"/>
              <w:rPr>
                <w:rFonts w:asciiTheme="majorHAnsi" w:hAnsiTheme="majorHAnsi" w:cstheme="majorHAnsi"/>
                <w:sz w:val="20"/>
                <w:szCs w:val="20"/>
              </w:rPr>
            </w:pPr>
            <w:r w:rsidRPr="004F4B14">
              <w:rPr>
                <w:rStyle w:val="A17"/>
                <w:rFonts w:asciiTheme="majorHAnsi" w:hAnsiTheme="majorHAnsi" w:cstheme="majorHAnsi"/>
                <w:i/>
                <w:sz w:val="20"/>
                <w:szCs w:val="20"/>
              </w:rPr>
              <w:t>Ações associadas</w:t>
            </w:r>
            <w:r w:rsidRPr="004F4B14">
              <w:rPr>
                <w:rStyle w:val="A17"/>
                <w:rFonts w:asciiTheme="majorHAnsi" w:hAnsiTheme="majorHAnsi" w:cstheme="majorHAnsi"/>
                <w:sz w:val="20"/>
                <w:szCs w:val="20"/>
              </w:rPr>
              <w:t xml:space="preserve">. Pode ser necessário modificar a velocidade </w:t>
            </w:r>
            <w:r w:rsidR="007E36E1">
              <w:rPr>
                <w:rStyle w:val="A17"/>
                <w:rFonts w:asciiTheme="majorHAnsi" w:hAnsiTheme="majorHAnsi" w:cstheme="majorHAnsi"/>
                <w:sz w:val="20"/>
                <w:szCs w:val="20"/>
              </w:rPr>
              <w:t xml:space="preserve">da plataforma de aplicação </w:t>
            </w:r>
            <w:r w:rsidRPr="004F4B14">
              <w:rPr>
                <w:rStyle w:val="A17"/>
                <w:rFonts w:asciiTheme="majorHAnsi" w:hAnsiTheme="majorHAnsi" w:cstheme="majorHAnsi"/>
                <w:sz w:val="20"/>
                <w:szCs w:val="20"/>
              </w:rPr>
              <w:t>ou a taxa de bombeamento para manter esta eficácia (frente à diminuição</w:t>
            </w:r>
            <w:r w:rsidR="004F4B14">
              <w:rPr>
                <w:rStyle w:val="A17"/>
                <w:rFonts w:asciiTheme="majorHAnsi" w:hAnsiTheme="majorHAnsi" w:cstheme="majorHAnsi"/>
                <w:sz w:val="20"/>
                <w:szCs w:val="20"/>
              </w:rPr>
              <w:t xml:space="preserve"> </w:t>
            </w:r>
            <w:r w:rsidRPr="004F4B14">
              <w:rPr>
                <w:rStyle w:val="A17"/>
                <w:rFonts w:asciiTheme="majorHAnsi" w:hAnsiTheme="majorHAnsi" w:cstheme="majorHAnsi"/>
                <w:sz w:val="20"/>
                <w:szCs w:val="20"/>
              </w:rPr>
              <w:t>da quantidade de óleo).</w:t>
            </w:r>
          </w:p>
        </w:tc>
      </w:tr>
      <w:tr w:rsidR="007E0169" w:rsidRPr="00EE0E12" w14:paraId="11B5314B" w14:textId="77777777" w:rsidTr="004F4B14">
        <w:tc>
          <w:tcPr>
            <w:tcW w:w="5359" w:type="dxa"/>
          </w:tcPr>
          <w:p w14:paraId="48E3064F" w14:textId="77777777" w:rsidR="007E0169" w:rsidRPr="00EE0E12" w:rsidRDefault="007E0169" w:rsidP="007E0169">
            <w:pPr>
              <w:pStyle w:val="Default"/>
              <w:spacing w:line="280" w:lineRule="auto"/>
              <w:rPr>
                <w:rFonts w:asciiTheme="majorHAnsi" w:hAnsiTheme="majorHAnsi" w:cstheme="majorHAnsi"/>
                <w:sz w:val="22"/>
                <w:szCs w:val="22"/>
              </w:rPr>
            </w:pPr>
            <w:r w:rsidRPr="00EE0E12">
              <w:rPr>
                <w:rFonts w:asciiTheme="majorHAnsi" w:hAnsiTheme="majorHAnsi" w:cstheme="majorHAnsi"/>
                <w:noProof/>
                <w:sz w:val="22"/>
                <w:szCs w:val="22"/>
                <w:lang w:val="en-US" w:eastAsia="en-US"/>
              </w:rPr>
              <w:drawing>
                <wp:inline distT="0" distB="0" distL="0" distR="0" wp14:anchorId="594B3B08" wp14:editId="3624790C">
                  <wp:extent cx="3281516" cy="2497605"/>
                  <wp:effectExtent l="19050" t="19050" r="14605" b="17145"/>
                  <wp:docPr id="300" name="Pictur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296708" cy="2509168"/>
                          </a:xfrm>
                          <a:prstGeom prst="rect">
                            <a:avLst/>
                          </a:prstGeom>
                          <a:noFill/>
                          <a:ln w="12700" cmpd="sng">
                            <a:solidFill>
                              <a:srgbClr val="007833"/>
                            </a:solidFill>
                            <a:miter lim="800000"/>
                            <a:headEnd/>
                            <a:tailEnd/>
                          </a:ln>
                          <a:effectLst/>
                        </pic:spPr>
                      </pic:pic>
                    </a:graphicData>
                  </a:graphic>
                </wp:inline>
              </w:drawing>
            </w:r>
          </w:p>
        </w:tc>
        <w:tc>
          <w:tcPr>
            <w:tcW w:w="3680" w:type="dxa"/>
          </w:tcPr>
          <w:p w14:paraId="4875E941" w14:textId="77777777" w:rsidR="007E0169" w:rsidRPr="004F4B14" w:rsidRDefault="007E0169" w:rsidP="004F4B14">
            <w:pPr>
              <w:pStyle w:val="Caption"/>
              <w:spacing w:before="0" w:after="0" w:line="240" w:lineRule="auto"/>
              <w:jc w:val="left"/>
              <w:rPr>
                <w:szCs w:val="20"/>
              </w:rPr>
            </w:pPr>
            <w:bookmarkStart w:id="215" w:name="_Ref412808805"/>
            <w:bookmarkStart w:id="216" w:name="_Toc412812302"/>
            <w:bookmarkStart w:id="217" w:name="_Toc523833985"/>
            <w:r w:rsidRPr="004F4B14">
              <w:rPr>
                <w:szCs w:val="20"/>
              </w:rPr>
              <w:t xml:space="preserve">Figura </w:t>
            </w:r>
            <w:r w:rsidR="0036087F" w:rsidRPr="004F4B14">
              <w:rPr>
                <w:szCs w:val="20"/>
              </w:rPr>
              <w:fldChar w:fldCharType="begin"/>
            </w:r>
            <w:r w:rsidR="0036087F" w:rsidRPr="004F4B14">
              <w:rPr>
                <w:szCs w:val="20"/>
              </w:rPr>
              <w:instrText xml:space="preserve"> SEQ Figura \* ARABIC </w:instrText>
            </w:r>
            <w:r w:rsidR="0036087F" w:rsidRPr="004F4B14">
              <w:rPr>
                <w:szCs w:val="20"/>
              </w:rPr>
              <w:fldChar w:fldCharType="separate"/>
            </w:r>
            <w:r w:rsidR="0008757F">
              <w:rPr>
                <w:noProof/>
                <w:szCs w:val="20"/>
              </w:rPr>
              <w:t>20</w:t>
            </w:r>
            <w:r w:rsidR="0036087F" w:rsidRPr="004F4B14">
              <w:rPr>
                <w:noProof/>
                <w:szCs w:val="20"/>
              </w:rPr>
              <w:fldChar w:fldCharType="end"/>
            </w:r>
            <w:bookmarkEnd w:id="215"/>
            <w:r w:rsidRPr="004F4B14">
              <w:rPr>
                <w:szCs w:val="20"/>
              </w:rPr>
              <w:t xml:space="preserve">: </w:t>
            </w:r>
            <w:r w:rsidRPr="004F4B14">
              <w:rPr>
                <w:i/>
                <w:szCs w:val="20"/>
              </w:rPr>
              <w:t>Sobredosagem</w:t>
            </w:r>
            <w:r w:rsidRPr="004F4B14">
              <w:rPr>
                <w:szCs w:val="20"/>
              </w:rPr>
              <w:t xml:space="preserve"> – a aplicação em excesso de dispersante em águas claras irá resultar em uma pluma branca nebulosa aparecendo na água</w:t>
            </w:r>
            <w:r w:rsidR="004F4B14">
              <w:rPr>
                <w:szCs w:val="20"/>
              </w:rPr>
              <w:t xml:space="preserve"> </w:t>
            </w:r>
            <w:r w:rsidR="004F4B14" w:rsidRPr="00EE0E12">
              <w:rPr>
                <w:rFonts w:cstheme="majorHAnsi"/>
              </w:rPr>
              <w:t>(</w:t>
            </w:r>
            <w:r w:rsidR="00A8331C" w:rsidRPr="00A8331C">
              <w:rPr>
                <w:szCs w:val="20"/>
              </w:rPr>
              <w:t>Fonte: OSRL, 2011</w:t>
            </w:r>
            <w:r w:rsidR="004F4B14" w:rsidRPr="00A8331C">
              <w:rPr>
                <w:szCs w:val="20"/>
              </w:rPr>
              <w:t>)</w:t>
            </w:r>
            <w:r w:rsidRPr="004F4B14">
              <w:rPr>
                <w:szCs w:val="20"/>
              </w:rPr>
              <w:t>.</w:t>
            </w:r>
            <w:bookmarkEnd w:id="216"/>
            <w:bookmarkEnd w:id="217"/>
          </w:p>
          <w:p w14:paraId="6E82334F" w14:textId="77777777" w:rsidR="007E0169" w:rsidRPr="004F4B14" w:rsidRDefault="007E0169" w:rsidP="004F4B14">
            <w:pPr>
              <w:pStyle w:val="Default"/>
              <w:rPr>
                <w:rFonts w:asciiTheme="majorHAnsi" w:hAnsiTheme="majorHAnsi" w:cstheme="majorHAnsi"/>
                <w:noProof/>
                <w:sz w:val="20"/>
                <w:szCs w:val="20"/>
              </w:rPr>
            </w:pPr>
          </w:p>
          <w:p w14:paraId="13F74F98" w14:textId="370757BA" w:rsidR="007E0169" w:rsidRPr="004F4B14" w:rsidRDefault="007E0169" w:rsidP="004F4B14">
            <w:pPr>
              <w:pStyle w:val="Default"/>
              <w:rPr>
                <w:rFonts w:asciiTheme="majorHAnsi" w:hAnsiTheme="majorHAnsi" w:cstheme="majorHAnsi"/>
                <w:sz w:val="20"/>
                <w:szCs w:val="20"/>
              </w:rPr>
            </w:pPr>
            <w:r w:rsidRPr="004F4B14">
              <w:rPr>
                <w:rFonts w:asciiTheme="majorHAnsi" w:hAnsiTheme="majorHAnsi" w:cstheme="majorHAnsi"/>
                <w:i/>
                <w:sz w:val="20"/>
                <w:szCs w:val="20"/>
              </w:rPr>
              <w:t>Ações associadas</w:t>
            </w:r>
            <w:r w:rsidR="00656D39">
              <w:rPr>
                <w:rFonts w:asciiTheme="majorHAnsi" w:hAnsiTheme="majorHAnsi" w:cstheme="majorHAnsi"/>
                <w:i/>
                <w:sz w:val="20"/>
                <w:szCs w:val="20"/>
              </w:rPr>
              <w:t>.</w:t>
            </w:r>
            <w:r w:rsidRPr="004F4B14">
              <w:rPr>
                <w:rStyle w:val="A17"/>
                <w:rFonts w:asciiTheme="majorHAnsi" w:hAnsiTheme="majorHAnsi" w:cstheme="majorHAnsi"/>
                <w:sz w:val="20"/>
                <w:szCs w:val="20"/>
              </w:rPr>
              <w:t>Aumentar a velocidade da plataforma de aplicação ou reduzir a vazão de bombeamento, para evitar o excesso de dosagem.</w:t>
            </w:r>
          </w:p>
        </w:tc>
      </w:tr>
    </w:tbl>
    <w:p w14:paraId="6F30D120" w14:textId="77777777" w:rsidR="004F4B14" w:rsidRDefault="004F4B14" w:rsidP="004F4B14">
      <w:pPr>
        <w:keepNext/>
        <w:keepLines/>
        <w:spacing w:after="240"/>
        <w:rPr>
          <w:rFonts w:asciiTheme="majorHAnsi" w:hAnsiTheme="majorHAnsi" w:cstheme="majorHAnsi"/>
          <w:b/>
        </w:rPr>
      </w:pPr>
      <w:r>
        <w:rPr>
          <w:rFonts w:asciiTheme="majorHAnsi" w:hAnsiTheme="majorHAnsi" w:cstheme="majorHAnsi"/>
          <w:b/>
        </w:rPr>
        <w:br w:type="page"/>
      </w:r>
    </w:p>
    <w:p w14:paraId="3ED3B262" w14:textId="77777777" w:rsidR="007E0169" w:rsidRPr="004F4B14" w:rsidRDefault="007E0169" w:rsidP="004F4B14">
      <w:pPr>
        <w:keepNext/>
        <w:keepLines/>
        <w:spacing w:after="240"/>
        <w:rPr>
          <w:rFonts w:asciiTheme="majorHAnsi" w:hAnsiTheme="majorHAnsi" w:cstheme="majorHAnsi"/>
          <w:b/>
        </w:rPr>
      </w:pPr>
      <w:r w:rsidRPr="004F4B14">
        <w:rPr>
          <w:rFonts w:asciiTheme="majorHAnsi" w:hAnsiTheme="majorHAnsi" w:cstheme="majorHAnsi"/>
          <w:b/>
        </w:rPr>
        <w:lastRenderedPageBreak/>
        <w:t>Monitoramento</w:t>
      </w:r>
    </w:p>
    <w:p w14:paraId="5A6F39E2" w14:textId="50C38EC3" w:rsidR="007E0169" w:rsidRPr="00EE0E12" w:rsidRDefault="007E0169" w:rsidP="004F4B14">
      <w:pPr>
        <w:pStyle w:val="tier1Itext"/>
      </w:pPr>
      <w:r w:rsidRPr="00EE0E12">
        <w:t xml:space="preserve">Além da observação visual, para efeitos de controle, deve ser implementado um protocolo de controle específico para avaliar a eficácia da operação de aplicação de dispersante em relação à redução de gotículas de óleo e </w:t>
      </w:r>
      <w:r w:rsidR="00853CF8">
        <w:t>a</w:t>
      </w:r>
      <w:r w:rsidRPr="00EE0E12">
        <w:t xml:space="preserve">o tamanho e </w:t>
      </w:r>
      <w:r w:rsidR="00853CF8">
        <w:t>à</w:t>
      </w:r>
      <w:r w:rsidRPr="00EE0E12">
        <w:t xml:space="preserve"> concentração restante do produto no ambiente. Nessas situações, um programa específico será desenvolvido de acordo com as características do evento e </w:t>
      </w:r>
      <w:r w:rsidR="00853CF8">
        <w:t>a</w:t>
      </w:r>
      <w:r w:rsidRPr="00EE0E12">
        <w:t>o funcionamento da resposta</w:t>
      </w:r>
      <w:r w:rsidR="00F20A0B">
        <w:t xml:space="preserve">, </w:t>
      </w:r>
      <w:r w:rsidR="00853CF8">
        <w:t>em ac</w:t>
      </w:r>
      <w:r w:rsidR="00F20A0B">
        <w:t>ordo com procedimentos e considerando parâmetros definidos na IN mencionada no Artigo 14 da resolução 472/15.</w:t>
      </w:r>
      <w:r w:rsidRPr="00EE0E12">
        <w:t xml:space="preserve"> </w:t>
      </w:r>
    </w:p>
    <w:p w14:paraId="780C7C99" w14:textId="55B47207" w:rsidR="007E0169" w:rsidRPr="00EE0E12" w:rsidRDefault="007E0169" w:rsidP="004F4B14">
      <w:pPr>
        <w:pStyle w:val="tier1Itext"/>
      </w:pPr>
      <w:r w:rsidRPr="00EE0E12">
        <w:t xml:space="preserve">Toda vez que ocorrer um derrame de óleo, em que seja considerada a aplicação da técnica de dispersão química, a IMT deverá providenciar a comunicação inicial de intenção e o posterior envio de relatórios sobre a aplicação de dispersantes, conforme estabelecido na Resolução CONAMA n° </w:t>
      </w:r>
      <w:r w:rsidR="00F20A0B">
        <w:t>472</w:t>
      </w:r>
      <w:r w:rsidRPr="00EE0E12">
        <w:t>/</w:t>
      </w:r>
      <w:r w:rsidR="00F20A0B">
        <w:t>15</w:t>
      </w:r>
      <w:r w:rsidRPr="00EE0E12">
        <w:t>.</w:t>
      </w:r>
      <w:r w:rsidRPr="00EE0E12" w:rsidDel="00C139A4">
        <w:t xml:space="preserve"> </w:t>
      </w:r>
      <w:r w:rsidRPr="00EE0E12">
        <w:t xml:space="preserve">A </w:t>
      </w:r>
      <w:r w:rsidRPr="00EE0E12">
        <w:fldChar w:fldCharType="begin"/>
      </w:r>
      <w:r w:rsidRPr="00EE0E12">
        <w:instrText xml:space="preserve"> REF _Ref411454738 \h </w:instrText>
      </w:r>
      <w:r w:rsidR="00F9135C">
        <w:instrText xml:space="preserve"> \* MERGEFORMAT </w:instrText>
      </w:r>
      <w:r w:rsidRPr="00EE0E12">
        <w:fldChar w:fldCharType="separate"/>
      </w:r>
      <w:r w:rsidR="00853CF8" w:rsidRPr="00853CF8">
        <w:rPr>
          <w:b/>
        </w:rPr>
        <w:t xml:space="preserve">Tabela </w:t>
      </w:r>
      <w:r w:rsidR="00853CF8" w:rsidRPr="00853CF8">
        <w:rPr>
          <w:b/>
          <w:noProof/>
        </w:rPr>
        <w:t>15</w:t>
      </w:r>
      <w:r w:rsidRPr="00EE0E12">
        <w:fldChar w:fldCharType="end"/>
      </w:r>
      <w:r w:rsidRPr="00EE0E12">
        <w:t xml:space="preserve"> apresenta os requerimentos legais para comunicação e envio de relatório sobre a aplicação de dispersantes ao Órgão Estadual de Meio Ambiente (OEMA) e à representação do Instituto Brasileiro do Meio Ambiente e dos Recursos Naturais Renováveis – IBAMA.</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343"/>
        <w:gridCol w:w="1560"/>
        <w:gridCol w:w="1368"/>
        <w:gridCol w:w="1330"/>
        <w:gridCol w:w="1083"/>
        <w:gridCol w:w="1356"/>
      </w:tblGrid>
      <w:tr w:rsidR="007E0169" w:rsidRPr="004F4B14" w14:paraId="484F7652" w14:textId="77777777" w:rsidTr="004F4B14">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6"/>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FFFF" w:themeFill="background1"/>
            <w:vAlign w:val="bottom"/>
          </w:tcPr>
          <w:p w14:paraId="1214F032" w14:textId="77777777" w:rsidR="007E0169" w:rsidRPr="004F4B14" w:rsidRDefault="007E0169" w:rsidP="00087854">
            <w:pPr>
              <w:pStyle w:val="Caption"/>
              <w:keepNext w:val="0"/>
              <w:spacing w:before="0" w:after="0" w:line="240" w:lineRule="auto"/>
              <w:jc w:val="left"/>
              <w:rPr>
                <w:b/>
                <w:bCs/>
                <w:color w:val="auto"/>
                <w:szCs w:val="20"/>
              </w:rPr>
            </w:pPr>
            <w:bookmarkStart w:id="218" w:name="_Ref411454738"/>
            <w:bookmarkStart w:id="219" w:name="_Toc412812275"/>
            <w:bookmarkStart w:id="220" w:name="_Toc523834047"/>
            <w:r w:rsidRPr="004F4B14">
              <w:rPr>
                <w:b/>
                <w:color w:val="auto"/>
                <w:szCs w:val="20"/>
              </w:rPr>
              <w:t xml:space="preserve">Tabela </w:t>
            </w:r>
            <w:r w:rsidRPr="004F4B14">
              <w:rPr>
                <w:szCs w:val="20"/>
              </w:rPr>
              <w:fldChar w:fldCharType="begin"/>
            </w:r>
            <w:r w:rsidRPr="004F4B14">
              <w:rPr>
                <w:b/>
                <w:color w:val="auto"/>
                <w:szCs w:val="20"/>
              </w:rPr>
              <w:instrText xml:space="preserve"> SEQ Tabela \* ARABIC </w:instrText>
            </w:r>
            <w:r w:rsidRPr="004F4B14">
              <w:rPr>
                <w:szCs w:val="20"/>
              </w:rPr>
              <w:fldChar w:fldCharType="separate"/>
            </w:r>
            <w:r w:rsidR="00853CF8">
              <w:rPr>
                <w:b/>
                <w:noProof/>
                <w:color w:val="auto"/>
                <w:szCs w:val="20"/>
              </w:rPr>
              <w:t>15</w:t>
            </w:r>
            <w:r w:rsidRPr="004F4B14">
              <w:rPr>
                <w:szCs w:val="20"/>
              </w:rPr>
              <w:fldChar w:fldCharType="end"/>
            </w:r>
            <w:bookmarkEnd w:id="218"/>
            <w:r w:rsidRPr="004F4B14">
              <w:rPr>
                <w:b/>
                <w:color w:val="auto"/>
                <w:szCs w:val="20"/>
              </w:rPr>
              <w:t>: Formulários para comunicação e relatório sobre a aplicação de dispersantes.</w:t>
            </w:r>
            <w:bookmarkEnd w:id="219"/>
            <w:bookmarkEnd w:id="220"/>
          </w:p>
        </w:tc>
      </w:tr>
      <w:tr w:rsidR="007E0169" w:rsidRPr="004F4B14" w14:paraId="2A45EC16" w14:textId="77777777" w:rsidTr="004F4B14">
        <w:trPr>
          <w:cnfStyle w:val="100000000000" w:firstRow="1" w:lastRow="0" w:firstColumn="0" w:lastColumn="0" w:oddVBand="0" w:evenVBand="0" w:oddHBand="0" w:evenHBand="0" w:firstRowFirstColumn="0" w:firstRowLastColumn="0" w:lastRowFirstColumn="0" w:lastRowLastColumn="0"/>
          <w:trHeight w:val="399"/>
          <w:tblHeader/>
        </w:trPr>
        <w:tc>
          <w:tcPr>
            <w:tcW w:w="1344" w:type="pct"/>
            <w:vMerge w:val="restart"/>
            <w:shd w:val="clear" w:color="auto" w:fill="1F497D"/>
            <w:hideMark/>
          </w:tcPr>
          <w:p w14:paraId="2B7AFE8F" w14:textId="77777777" w:rsidR="007E0169" w:rsidRPr="004F4B14" w:rsidRDefault="007E0169" w:rsidP="00087854">
            <w:pPr>
              <w:tabs>
                <w:tab w:val="left" w:pos="5529"/>
              </w:tabs>
              <w:spacing w:before="0" w:line="240" w:lineRule="auto"/>
              <w:jc w:val="center"/>
              <w:rPr>
                <w:rFonts w:asciiTheme="majorHAnsi" w:hAnsiTheme="majorHAnsi"/>
                <w:b w:val="0"/>
                <w:bCs/>
                <w:sz w:val="20"/>
                <w:szCs w:val="20"/>
              </w:rPr>
            </w:pPr>
            <w:r w:rsidRPr="004F4B14">
              <w:rPr>
                <w:rFonts w:asciiTheme="majorHAnsi" w:hAnsiTheme="majorHAnsi"/>
                <w:bCs/>
                <w:sz w:val="20"/>
                <w:szCs w:val="20"/>
              </w:rPr>
              <w:t>Formulário</w:t>
            </w:r>
          </w:p>
        </w:tc>
        <w:tc>
          <w:tcPr>
            <w:tcW w:w="804" w:type="pct"/>
            <w:vMerge w:val="restart"/>
            <w:shd w:val="clear" w:color="auto" w:fill="1F497D"/>
          </w:tcPr>
          <w:p w14:paraId="2884747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Prazo</w:t>
            </w:r>
          </w:p>
        </w:tc>
        <w:tc>
          <w:tcPr>
            <w:tcW w:w="755" w:type="pct"/>
            <w:vMerge w:val="restart"/>
            <w:shd w:val="clear" w:color="auto" w:fill="1F497D"/>
          </w:tcPr>
          <w:p w14:paraId="7C74BBC3"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Propósito/ Destinatário</w:t>
            </w:r>
          </w:p>
        </w:tc>
        <w:tc>
          <w:tcPr>
            <w:tcW w:w="2097" w:type="pct"/>
            <w:gridSpan w:val="3"/>
            <w:shd w:val="clear" w:color="auto" w:fill="1F497D"/>
          </w:tcPr>
          <w:p w14:paraId="2554336F" w14:textId="77777777" w:rsidR="007E0169" w:rsidRPr="004F4B14" w:rsidRDefault="007E0169" w:rsidP="00087854">
            <w:pPr>
              <w:tabs>
                <w:tab w:val="left" w:pos="5529"/>
              </w:tabs>
              <w:spacing w:before="0" w:line="240" w:lineRule="auto"/>
              <w:jc w:val="center"/>
              <w:rPr>
                <w:rFonts w:asciiTheme="majorHAnsi" w:hAnsiTheme="majorHAnsi"/>
                <w:bCs/>
                <w:color w:val="auto"/>
                <w:sz w:val="20"/>
                <w:szCs w:val="20"/>
              </w:rPr>
            </w:pPr>
            <w:r w:rsidRPr="004F4B14">
              <w:rPr>
                <w:rFonts w:asciiTheme="majorHAnsi" w:hAnsiTheme="majorHAnsi"/>
                <w:bCs/>
                <w:sz w:val="20"/>
                <w:szCs w:val="20"/>
              </w:rPr>
              <w:t>Responsabilidade</w:t>
            </w:r>
          </w:p>
        </w:tc>
      </w:tr>
      <w:tr w:rsidR="007E0169" w:rsidRPr="004F4B14" w14:paraId="5B12C36D" w14:textId="77777777" w:rsidTr="004F4B14">
        <w:trPr>
          <w:cnfStyle w:val="100000000000" w:firstRow="1" w:lastRow="0" w:firstColumn="0" w:lastColumn="0" w:oddVBand="0" w:evenVBand="0" w:oddHBand="0" w:evenHBand="0" w:firstRowFirstColumn="0" w:firstRowLastColumn="0" w:lastRowFirstColumn="0" w:lastRowLastColumn="0"/>
          <w:trHeight w:val="423"/>
          <w:tblHeader/>
        </w:trPr>
        <w:tc>
          <w:tcPr>
            <w:tcW w:w="1344" w:type="pct"/>
            <w:vMerge/>
            <w:shd w:val="clear" w:color="auto" w:fill="1F497D"/>
            <w:hideMark/>
          </w:tcPr>
          <w:p w14:paraId="577EDBC3"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804" w:type="pct"/>
            <w:vMerge/>
            <w:shd w:val="clear" w:color="auto" w:fill="1F497D"/>
          </w:tcPr>
          <w:p w14:paraId="38C1A48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755" w:type="pct"/>
            <w:vMerge/>
            <w:shd w:val="clear" w:color="auto" w:fill="1F497D"/>
          </w:tcPr>
          <w:p w14:paraId="77D19CF7"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p>
        </w:tc>
        <w:tc>
          <w:tcPr>
            <w:tcW w:w="784" w:type="pct"/>
            <w:shd w:val="clear" w:color="auto" w:fill="1F497D"/>
            <w:hideMark/>
          </w:tcPr>
          <w:p w14:paraId="3F7FAC56"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Elaboração</w:t>
            </w:r>
          </w:p>
        </w:tc>
        <w:tc>
          <w:tcPr>
            <w:tcW w:w="605" w:type="pct"/>
            <w:shd w:val="clear" w:color="auto" w:fill="1F497D"/>
          </w:tcPr>
          <w:p w14:paraId="20033BC8"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Revisão</w:t>
            </w:r>
          </w:p>
        </w:tc>
        <w:tc>
          <w:tcPr>
            <w:tcW w:w="708" w:type="pct"/>
            <w:shd w:val="clear" w:color="auto" w:fill="1F497D"/>
          </w:tcPr>
          <w:p w14:paraId="371927A5" w14:textId="77777777" w:rsidR="007E0169" w:rsidRPr="004F4B14" w:rsidRDefault="007E0169" w:rsidP="00087854">
            <w:pPr>
              <w:tabs>
                <w:tab w:val="left" w:pos="5529"/>
              </w:tabs>
              <w:spacing w:before="0" w:line="240" w:lineRule="auto"/>
              <w:jc w:val="center"/>
              <w:rPr>
                <w:rFonts w:asciiTheme="majorHAnsi" w:hAnsiTheme="majorHAnsi"/>
                <w:bCs/>
                <w:sz w:val="20"/>
                <w:szCs w:val="20"/>
              </w:rPr>
            </w:pPr>
            <w:r w:rsidRPr="004F4B14">
              <w:rPr>
                <w:rFonts w:asciiTheme="majorHAnsi" w:hAnsiTheme="majorHAnsi"/>
                <w:bCs/>
                <w:sz w:val="20"/>
                <w:szCs w:val="20"/>
              </w:rPr>
              <w:t>Distribuição</w:t>
            </w:r>
          </w:p>
        </w:tc>
      </w:tr>
      <w:tr w:rsidR="007E0169" w:rsidRPr="004F4B14" w14:paraId="403B6A94" w14:textId="77777777" w:rsidTr="00087854">
        <w:trPr>
          <w:cnfStyle w:val="000000100000" w:firstRow="0" w:lastRow="0" w:firstColumn="0" w:lastColumn="0" w:oddVBand="0" w:evenVBand="0" w:oddHBand="1" w:evenHBand="0" w:firstRowFirstColumn="0" w:firstRowLastColumn="0" w:lastRowFirstColumn="0" w:lastRowLastColumn="0"/>
          <w:trHeight w:val="1543"/>
        </w:trPr>
        <w:tc>
          <w:tcPr>
            <w:tcW w:w="1344" w:type="pct"/>
          </w:tcPr>
          <w:p w14:paraId="79E0084F" w14:textId="77777777" w:rsidR="007E0169" w:rsidRPr="004F4B14" w:rsidRDefault="007E0169" w:rsidP="00087854">
            <w:pPr>
              <w:tabs>
                <w:tab w:val="left" w:pos="5529"/>
              </w:tabs>
              <w:spacing w:before="0" w:line="240" w:lineRule="auto"/>
              <w:jc w:val="left"/>
              <w:rPr>
                <w:rFonts w:asciiTheme="majorHAnsi" w:hAnsiTheme="majorHAnsi"/>
                <w:sz w:val="20"/>
                <w:szCs w:val="20"/>
              </w:rPr>
            </w:pPr>
            <w:r w:rsidRPr="004F4B14">
              <w:rPr>
                <w:rFonts w:asciiTheme="majorHAnsi" w:hAnsiTheme="majorHAnsi"/>
                <w:sz w:val="20"/>
                <w:szCs w:val="20"/>
              </w:rPr>
              <w:t>Comunicação formal prévia sobre a aplicação de dispersantes</w:t>
            </w:r>
          </w:p>
        </w:tc>
        <w:tc>
          <w:tcPr>
            <w:tcW w:w="804" w:type="pct"/>
          </w:tcPr>
          <w:p w14:paraId="22ABA521" w14:textId="77777777" w:rsidR="007E0169" w:rsidRPr="004F4B14" w:rsidRDefault="007E0169" w:rsidP="00087854">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Antes do início da aplicação de dispersantes</w:t>
            </w:r>
          </w:p>
        </w:tc>
        <w:tc>
          <w:tcPr>
            <w:tcW w:w="755" w:type="pct"/>
          </w:tcPr>
          <w:p w14:paraId="2DEAA227" w14:textId="77777777" w:rsidR="007E0169" w:rsidRPr="004F4B14" w:rsidRDefault="00087854" w:rsidP="00EA2A77">
            <w:pPr>
              <w:pStyle w:val="ListParagraph"/>
              <w:keepLines w:val="0"/>
              <w:numPr>
                <w:ilvl w:val="0"/>
                <w:numId w:val="9"/>
              </w:numPr>
              <w:spacing w:before="0" w:after="0" w:line="240" w:lineRule="auto"/>
              <w:rPr>
                <w:sz w:val="20"/>
                <w:szCs w:val="20"/>
              </w:rPr>
            </w:pPr>
            <w:r>
              <w:rPr>
                <w:sz w:val="20"/>
                <w:szCs w:val="20"/>
              </w:rPr>
              <w:t>IBAMA</w:t>
            </w:r>
          </w:p>
          <w:p w14:paraId="1D5B90BB" w14:textId="113B4546" w:rsidR="007E0169" w:rsidRPr="004F4B14" w:rsidRDefault="00853CF8" w:rsidP="00EA2A77">
            <w:pPr>
              <w:pStyle w:val="ListParagraph"/>
              <w:keepLines w:val="0"/>
              <w:numPr>
                <w:ilvl w:val="0"/>
                <w:numId w:val="9"/>
              </w:numPr>
              <w:spacing w:before="0" w:after="0" w:line="240" w:lineRule="auto"/>
              <w:rPr>
                <w:sz w:val="20"/>
                <w:szCs w:val="20"/>
              </w:rPr>
            </w:pPr>
            <w:r>
              <w:rPr>
                <w:sz w:val="20"/>
                <w:szCs w:val="20"/>
              </w:rPr>
              <w:t>O</w:t>
            </w:r>
            <w:r w:rsidR="007E0169" w:rsidRPr="004F4B14">
              <w:rPr>
                <w:sz w:val="20"/>
                <w:szCs w:val="20"/>
              </w:rPr>
              <w:t>EMA</w:t>
            </w:r>
          </w:p>
        </w:tc>
        <w:tc>
          <w:tcPr>
            <w:tcW w:w="784" w:type="pct"/>
          </w:tcPr>
          <w:p w14:paraId="5CCC1240"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Líder da Unidade de RC&amp;E ou pessoa designada</w:t>
            </w:r>
          </w:p>
        </w:tc>
        <w:tc>
          <w:tcPr>
            <w:tcW w:w="605" w:type="pct"/>
          </w:tcPr>
          <w:p w14:paraId="1BE5038F"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3BC6446A"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7C3765F7" w14:textId="77777777" w:rsidTr="00087854">
        <w:trPr>
          <w:cnfStyle w:val="000000010000" w:firstRow="0" w:lastRow="0" w:firstColumn="0" w:lastColumn="0" w:oddVBand="0" w:evenVBand="0" w:oddHBand="0" w:evenHBand="1" w:firstRowFirstColumn="0" w:firstRowLastColumn="0" w:lastRowFirstColumn="0" w:lastRowLastColumn="0"/>
          <w:trHeight w:val="1101"/>
        </w:trPr>
        <w:tc>
          <w:tcPr>
            <w:tcW w:w="1344" w:type="pct"/>
          </w:tcPr>
          <w:p w14:paraId="427481F6" w14:textId="025CDB0F" w:rsidR="007E0169" w:rsidRPr="004F4B14" w:rsidRDefault="007E0169" w:rsidP="00853CF8">
            <w:pPr>
              <w:tabs>
                <w:tab w:val="left" w:pos="5529"/>
              </w:tabs>
              <w:spacing w:before="0" w:line="240" w:lineRule="auto"/>
              <w:jc w:val="left"/>
              <w:rPr>
                <w:rFonts w:asciiTheme="majorHAnsi" w:hAnsiTheme="majorHAnsi"/>
                <w:sz w:val="20"/>
                <w:szCs w:val="20"/>
              </w:rPr>
            </w:pPr>
            <w:r w:rsidRPr="004F4B14">
              <w:rPr>
                <w:rFonts w:asciiTheme="majorHAnsi" w:hAnsiTheme="majorHAnsi"/>
                <w:sz w:val="20"/>
                <w:szCs w:val="20"/>
              </w:rPr>
              <w:t xml:space="preserve">Relatório </w:t>
            </w:r>
            <w:r w:rsidR="00853CF8">
              <w:rPr>
                <w:rFonts w:asciiTheme="majorHAnsi" w:hAnsiTheme="majorHAnsi"/>
                <w:sz w:val="20"/>
                <w:szCs w:val="20"/>
              </w:rPr>
              <w:t>de Aplicação do D</w:t>
            </w:r>
            <w:r w:rsidRPr="004F4B14">
              <w:rPr>
                <w:rFonts w:asciiTheme="majorHAnsi" w:hAnsiTheme="majorHAnsi"/>
                <w:sz w:val="20"/>
                <w:szCs w:val="20"/>
              </w:rPr>
              <w:t>ispersante</w:t>
            </w:r>
            <w:r w:rsidR="00853CF8">
              <w:rPr>
                <w:rFonts w:asciiTheme="majorHAnsi" w:hAnsiTheme="majorHAnsi"/>
                <w:sz w:val="20"/>
                <w:szCs w:val="20"/>
              </w:rPr>
              <w:t xml:space="preserve"> Químico (de acordo com o Anexo IV da Resolução)</w:t>
            </w:r>
          </w:p>
        </w:tc>
        <w:tc>
          <w:tcPr>
            <w:tcW w:w="804" w:type="pct"/>
          </w:tcPr>
          <w:p w14:paraId="0AAA9E2D" w14:textId="77777777" w:rsidR="007E0169" w:rsidRPr="004F4B14" w:rsidRDefault="007E0169" w:rsidP="00087854">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15 dias após encerramento das operações de aplicação de dispersantes</w:t>
            </w:r>
          </w:p>
        </w:tc>
        <w:tc>
          <w:tcPr>
            <w:tcW w:w="755" w:type="pct"/>
          </w:tcPr>
          <w:p w14:paraId="4E82D5BA" w14:textId="77777777" w:rsidR="007E0169" w:rsidRPr="004F4B14" w:rsidRDefault="007E0169" w:rsidP="00EA2A77">
            <w:pPr>
              <w:pStyle w:val="ListParagraph"/>
              <w:keepLines w:val="0"/>
              <w:numPr>
                <w:ilvl w:val="0"/>
                <w:numId w:val="9"/>
              </w:numPr>
              <w:spacing w:before="0" w:after="0" w:line="240" w:lineRule="auto"/>
              <w:rPr>
                <w:sz w:val="20"/>
                <w:szCs w:val="20"/>
              </w:rPr>
            </w:pPr>
            <w:r w:rsidRPr="004F4B14">
              <w:rPr>
                <w:sz w:val="20"/>
                <w:szCs w:val="20"/>
              </w:rPr>
              <w:t>IBAMA</w:t>
            </w:r>
          </w:p>
          <w:p w14:paraId="0C4E0EF3" w14:textId="29B48D42" w:rsidR="007E0169" w:rsidRPr="004F4B14" w:rsidRDefault="00853CF8" w:rsidP="00EA2A77">
            <w:pPr>
              <w:pStyle w:val="ListParagraph"/>
              <w:keepLines w:val="0"/>
              <w:numPr>
                <w:ilvl w:val="0"/>
                <w:numId w:val="9"/>
              </w:numPr>
              <w:spacing w:before="0" w:after="0" w:line="240" w:lineRule="auto"/>
              <w:rPr>
                <w:sz w:val="20"/>
                <w:szCs w:val="20"/>
              </w:rPr>
            </w:pPr>
            <w:r>
              <w:rPr>
                <w:sz w:val="20"/>
                <w:szCs w:val="20"/>
              </w:rPr>
              <w:t>O</w:t>
            </w:r>
            <w:r w:rsidR="007E0169" w:rsidRPr="004F4B14">
              <w:rPr>
                <w:sz w:val="20"/>
                <w:szCs w:val="20"/>
              </w:rPr>
              <w:t>EMA</w:t>
            </w:r>
          </w:p>
        </w:tc>
        <w:tc>
          <w:tcPr>
            <w:tcW w:w="784" w:type="pct"/>
          </w:tcPr>
          <w:p w14:paraId="29A0339B"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Membro da Unidade de RC&amp;E ou pessoa designada</w:t>
            </w:r>
          </w:p>
        </w:tc>
        <w:tc>
          <w:tcPr>
            <w:tcW w:w="605" w:type="pct"/>
          </w:tcPr>
          <w:p w14:paraId="01E8850C"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5044D8A1"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58E710E9" w14:textId="77777777" w:rsidTr="00087854">
        <w:trPr>
          <w:cnfStyle w:val="000000100000" w:firstRow="0" w:lastRow="0" w:firstColumn="0" w:lastColumn="0" w:oddVBand="0" w:evenVBand="0" w:oddHBand="1" w:evenHBand="0" w:firstRowFirstColumn="0" w:firstRowLastColumn="0" w:lastRowFirstColumn="0" w:lastRowLastColumn="0"/>
          <w:trHeight w:val="1429"/>
        </w:trPr>
        <w:tc>
          <w:tcPr>
            <w:tcW w:w="1344" w:type="pct"/>
          </w:tcPr>
          <w:p w14:paraId="744F9E87" w14:textId="33FD8F14" w:rsidR="007E0169" w:rsidRPr="004F4B14" w:rsidRDefault="00853CF8" w:rsidP="00087854">
            <w:pPr>
              <w:tabs>
                <w:tab w:val="left" w:pos="5529"/>
              </w:tabs>
              <w:spacing w:before="0" w:line="240" w:lineRule="auto"/>
              <w:jc w:val="left"/>
              <w:rPr>
                <w:rFonts w:asciiTheme="majorHAnsi" w:hAnsiTheme="majorHAnsi"/>
                <w:sz w:val="20"/>
                <w:szCs w:val="20"/>
              </w:rPr>
            </w:pPr>
            <w:r>
              <w:rPr>
                <w:rFonts w:asciiTheme="majorHAnsi" w:hAnsiTheme="majorHAnsi"/>
                <w:sz w:val="20"/>
                <w:szCs w:val="20"/>
              </w:rPr>
              <w:t>Relatório Final (nos moldes do Anexo IV da Resolução)</w:t>
            </w:r>
          </w:p>
        </w:tc>
        <w:tc>
          <w:tcPr>
            <w:tcW w:w="804" w:type="pct"/>
          </w:tcPr>
          <w:p w14:paraId="2D818D2A" w14:textId="77412CDE" w:rsidR="007E0169" w:rsidRPr="004F4B14" w:rsidRDefault="007E0169" w:rsidP="00853CF8">
            <w:pPr>
              <w:tabs>
                <w:tab w:val="left" w:pos="5529"/>
              </w:tabs>
              <w:spacing w:before="0" w:line="240" w:lineRule="auto"/>
              <w:jc w:val="center"/>
              <w:rPr>
                <w:rFonts w:asciiTheme="majorHAnsi" w:hAnsiTheme="majorHAnsi"/>
                <w:sz w:val="20"/>
                <w:szCs w:val="20"/>
              </w:rPr>
            </w:pPr>
            <w:r w:rsidRPr="004F4B14">
              <w:rPr>
                <w:rFonts w:asciiTheme="majorHAnsi" w:hAnsiTheme="majorHAnsi"/>
                <w:sz w:val="20"/>
                <w:szCs w:val="20"/>
              </w:rPr>
              <w:t xml:space="preserve">90 dias após encerramento </w:t>
            </w:r>
            <w:r w:rsidR="00853CF8">
              <w:rPr>
                <w:rFonts w:asciiTheme="majorHAnsi" w:hAnsiTheme="majorHAnsi"/>
                <w:sz w:val="20"/>
                <w:szCs w:val="20"/>
              </w:rPr>
              <w:t>do monitoramento</w:t>
            </w:r>
          </w:p>
        </w:tc>
        <w:tc>
          <w:tcPr>
            <w:tcW w:w="755" w:type="pct"/>
          </w:tcPr>
          <w:p w14:paraId="5E11624B" w14:textId="77777777" w:rsidR="007E0169" w:rsidRPr="004F4B14" w:rsidRDefault="007E0169" w:rsidP="00EA2A77">
            <w:pPr>
              <w:pStyle w:val="ListParagraph"/>
              <w:keepLines w:val="0"/>
              <w:numPr>
                <w:ilvl w:val="0"/>
                <w:numId w:val="9"/>
              </w:numPr>
              <w:spacing w:before="0" w:after="0" w:line="240" w:lineRule="auto"/>
              <w:rPr>
                <w:sz w:val="20"/>
                <w:szCs w:val="20"/>
              </w:rPr>
            </w:pPr>
            <w:r w:rsidRPr="004F4B14">
              <w:rPr>
                <w:sz w:val="20"/>
                <w:szCs w:val="20"/>
              </w:rPr>
              <w:t>IBAMA</w:t>
            </w:r>
          </w:p>
          <w:p w14:paraId="5BF4AF83" w14:textId="77777777" w:rsidR="007E0169" w:rsidRPr="004F4B14" w:rsidRDefault="007E0169" w:rsidP="00EA2A77">
            <w:pPr>
              <w:pStyle w:val="ListParagraph"/>
              <w:keepLines w:val="0"/>
              <w:numPr>
                <w:ilvl w:val="0"/>
                <w:numId w:val="9"/>
              </w:numPr>
              <w:spacing w:before="0" w:after="0" w:line="240" w:lineRule="auto"/>
              <w:rPr>
                <w:sz w:val="20"/>
                <w:szCs w:val="20"/>
              </w:rPr>
            </w:pPr>
            <w:r w:rsidRPr="004F4B14">
              <w:rPr>
                <w:sz w:val="20"/>
                <w:szCs w:val="20"/>
              </w:rPr>
              <w:t>OEMA</w:t>
            </w:r>
          </w:p>
        </w:tc>
        <w:tc>
          <w:tcPr>
            <w:tcW w:w="784" w:type="pct"/>
          </w:tcPr>
          <w:p w14:paraId="54FE0D61"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Membro da Unidade de RC&amp;E ou pessoa designada</w:t>
            </w:r>
          </w:p>
        </w:tc>
        <w:tc>
          <w:tcPr>
            <w:tcW w:w="605" w:type="pct"/>
          </w:tcPr>
          <w:p w14:paraId="31542572"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IC ou pessoa designada</w:t>
            </w:r>
          </w:p>
        </w:tc>
        <w:tc>
          <w:tcPr>
            <w:tcW w:w="708" w:type="pct"/>
          </w:tcPr>
          <w:p w14:paraId="042D4CC7" w14:textId="77777777" w:rsidR="007E0169" w:rsidRPr="004F4B14" w:rsidRDefault="007E0169" w:rsidP="00087854">
            <w:pPr>
              <w:tabs>
                <w:tab w:val="left" w:pos="5529"/>
              </w:tabs>
              <w:spacing w:before="0" w:line="240" w:lineRule="auto"/>
              <w:jc w:val="center"/>
              <w:rPr>
                <w:rFonts w:asciiTheme="majorHAnsi" w:hAnsiTheme="majorHAnsi"/>
                <w:color w:val="000000"/>
                <w:sz w:val="20"/>
                <w:szCs w:val="20"/>
              </w:rPr>
            </w:pPr>
            <w:r w:rsidRPr="004F4B14">
              <w:rPr>
                <w:rFonts w:asciiTheme="majorHAnsi" w:hAnsiTheme="majorHAnsi"/>
                <w:color w:val="000000"/>
                <w:sz w:val="20"/>
                <w:szCs w:val="20"/>
              </w:rPr>
              <w:t>LIO-Gov ou pessoa designada</w:t>
            </w:r>
          </w:p>
        </w:tc>
      </w:tr>
      <w:tr w:rsidR="007E0169" w:rsidRPr="004F4B14" w14:paraId="66547026" w14:textId="77777777" w:rsidTr="004F4B14">
        <w:trPr>
          <w:cnfStyle w:val="000000010000" w:firstRow="0" w:lastRow="0" w:firstColumn="0" w:lastColumn="0" w:oddVBand="0" w:evenVBand="0" w:oddHBand="0" w:evenHBand="1" w:firstRowFirstColumn="0" w:firstRowLastColumn="0" w:lastRowFirstColumn="0" w:lastRowLastColumn="0"/>
          <w:trHeight w:val="998"/>
        </w:trPr>
        <w:tc>
          <w:tcPr>
            <w:tcW w:w="4999" w:type="pct"/>
            <w:gridSpan w:val="6"/>
            <w:shd w:val="clear" w:color="auto" w:fill="FFFFFF" w:themeFill="background1"/>
            <w:vAlign w:val="top"/>
          </w:tcPr>
          <w:p w14:paraId="33809156" w14:textId="77777777" w:rsidR="007E0169" w:rsidRPr="004F4B14" w:rsidRDefault="007E0169" w:rsidP="00087854">
            <w:pPr>
              <w:tabs>
                <w:tab w:val="left" w:pos="5529"/>
              </w:tabs>
              <w:spacing w:before="0" w:line="240" w:lineRule="auto"/>
              <w:ind w:right="-109"/>
              <w:jc w:val="left"/>
              <w:rPr>
                <w:rFonts w:asciiTheme="majorHAnsi" w:eastAsia="Times New Roman" w:hAnsiTheme="majorHAnsi"/>
                <w:color w:val="000000"/>
                <w:sz w:val="20"/>
                <w:szCs w:val="20"/>
                <w:lang w:eastAsia="en-US"/>
              </w:rPr>
            </w:pPr>
            <w:r w:rsidRPr="004F4B14">
              <w:rPr>
                <w:rFonts w:asciiTheme="majorHAnsi" w:hAnsiTheme="majorHAnsi"/>
                <w:b/>
                <w:color w:val="000000"/>
                <w:sz w:val="20"/>
                <w:szCs w:val="20"/>
              </w:rPr>
              <w:t>Legenda:</w:t>
            </w:r>
            <w:r w:rsidRPr="004F4B14">
              <w:rPr>
                <w:rFonts w:asciiTheme="majorHAnsi" w:hAnsiTheme="majorHAnsi"/>
                <w:color w:val="000000"/>
                <w:sz w:val="20"/>
                <w:szCs w:val="20"/>
              </w:rPr>
              <w:t xml:space="preserve"> IBAMA – Instituto Brasileiro do Meio Ambiente e dos Recursos Naturais Renováveis; OEMA – Órgão Estadual de Meio Ambiente; RC&amp;E – Conformidade Regulatória &amp; Meio Ambiente; IC – Comandante do Incidente; LIO-Gov. – Oficial de Relações Governamentais.</w:t>
            </w:r>
          </w:p>
        </w:tc>
      </w:tr>
    </w:tbl>
    <w:p w14:paraId="505F4ED3" w14:textId="77777777" w:rsidR="00290F16" w:rsidRPr="009E316F" w:rsidRDefault="00290F16" w:rsidP="006F18B8">
      <w:pPr>
        <w:pStyle w:val="Heading3"/>
        <w:ind w:left="1224"/>
        <w:rPr>
          <w:lang w:val="pt-BR"/>
        </w:rPr>
      </w:pPr>
      <w:bookmarkStart w:id="221" w:name="_Toc523833908"/>
      <w:r w:rsidRPr="009E316F">
        <w:rPr>
          <w:lang w:val="pt-BR"/>
        </w:rPr>
        <w:lastRenderedPageBreak/>
        <w:t>Aplicação de Dispersantes por Via Marítima</w:t>
      </w:r>
      <w:bookmarkEnd w:id="221"/>
    </w:p>
    <w:p w14:paraId="735FD981" w14:textId="65DA3E7B" w:rsidR="007E0169" w:rsidRPr="00EE0E12" w:rsidRDefault="007E0169" w:rsidP="00831D48">
      <w:pPr>
        <w:pStyle w:val="tier1Itext"/>
      </w:pPr>
      <w:r w:rsidRPr="00EE0E12">
        <w:t xml:space="preserve">A aplicação por via marítima será realizada através de um sistema composto por “braços” montados entre a proa </w:t>
      </w:r>
      <w:r w:rsidR="007E36E1">
        <w:t>ou</w:t>
      </w:r>
      <w:r w:rsidR="007E36E1" w:rsidRPr="00EE0E12">
        <w:t xml:space="preserve"> </w:t>
      </w:r>
      <w:r w:rsidRPr="00EE0E12">
        <w:t>a meia nau da embarcação (</w:t>
      </w:r>
      <w:r w:rsidRPr="00EE0E12">
        <w:rPr>
          <w:rFonts w:cstheme="majorHAnsi"/>
          <w:szCs w:val="22"/>
        </w:rPr>
        <w:t>isso permite que o produto químico possa ser aplicado sobre o óleo pela onda de proa)</w:t>
      </w:r>
      <w:r w:rsidRPr="00EE0E12">
        <w:t xml:space="preserve"> e equipados com um conjunto de bicos aspersores, que lançarão o dispersante sobre a mancha de óleo, em áreas previamente indicadas pelas Seções de Operação e Planejamento, selecionadas através das operações de observação (aérea ou marítima) e informações de campo (TRT). Estes sistemas estarão instalados nas embarcações OSRV</w:t>
      </w:r>
      <w:r w:rsidR="00853CF8">
        <w:t xml:space="preserve"> e </w:t>
      </w:r>
      <w:r w:rsidRPr="00EE0E12">
        <w:t>PSV.</w:t>
      </w:r>
    </w:p>
    <w:p w14:paraId="3F28166F" w14:textId="009BEA8D" w:rsidR="007E0169" w:rsidRPr="00EE0E12" w:rsidRDefault="007E0169" w:rsidP="00831D48">
      <w:pPr>
        <w:pStyle w:val="tier1Itext"/>
      </w:pPr>
      <w:r w:rsidRPr="00EE0E12">
        <w:t xml:space="preserve">Os bicos de aspersão desse sistema deverão ser dimensionados de acordo com as características da bomba a ser utilizada (vazão e pressão), de modo a possibilitar uma aplicação uniforme de gotículas e </w:t>
      </w:r>
      <w:r w:rsidRPr="00EE0E12">
        <w:rPr>
          <w:i/>
        </w:rPr>
        <w:t>nunca</w:t>
      </w:r>
      <w:r w:rsidRPr="00EE0E12">
        <w:t xml:space="preserve"> na forma de névoa ou neblina</w:t>
      </w:r>
    </w:p>
    <w:p w14:paraId="7FF181CD" w14:textId="77777777" w:rsidR="007E0169" w:rsidRPr="00EE0E12" w:rsidRDefault="007E0169" w:rsidP="00831D48">
      <w:pPr>
        <w:pStyle w:val="tier1Itext"/>
      </w:pPr>
      <w:r w:rsidRPr="00EE0E12">
        <w:t>Caso as operações de aplicação de dispersantes se tornem mais frequentes, será considerada a criação de um Grupo, vinculada à Secão de Operação. Este grupo será responsável pela elaboração dos ICS 204 para estas atividades.</w:t>
      </w:r>
    </w:p>
    <w:p w14:paraId="6F0DA1BC" w14:textId="77777777" w:rsidR="007E0169" w:rsidRPr="00EE0E12" w:rsidRDefault="007E0169" w:rsidP="00831D48">
      <w:pPr>
        <w:pStyle w:val="tier1Itext"/>
      </w:pPr>
      <w:r w:rsidRPr="00EE0E12">
        <w:t>As operações serão assistidas por uma aeronave de observação, que é extremamente necessária para controlar as operações de pulverização maiores, ou aquelas nas quais o óleo de superfície está muito fragmentado, de modo a maximizar a utilização eficiente do dispersante. Seu uso também permitirá a identificação e mapeamento das manchas com óleo suficiente para ser aspersado e a verificação de que não há vida selvagem na área da pulverização. Ao concluir esta etapa, a aeronave de observação poderá direcionar as embarcações de pulverização para as manchas selecionadas e fornecer as instruções sobre quando começar e quando cessar a pulverização.</w:t>
      </w:r>
    </w:p>
    <w:p w14:paraId="7902AAB2" w14:textId="77777777" w:rsidR="007E0169" w:rsidRPr="00EE0E12" w:rsidRDefault="007E0169" w:rsidP="00831D48">
      <w:pPr>
        <w:pStyle w:val="tier1Itext"/>
      </w:pPr>
      <w:r w:rsidRPr="00EE0E12">
        <w:t>O método preferencial de aplicação a partir de uma embarcação é a utilização de um volume pequeno do produto, bombeado a baixa pressão, para que ele possa ser aplicado sem diluição. Sistemas de aplicação que aplicam dispersante concentrado são preferíveis. No entanto, se isso não for possível, sistemas diluídos a base de água que proporcionam uma concentração de 5-10% de agente dispersante devem ser usados.</w:t>
      </w:r>
    </w:p>
    <w:p w14:paraId="548D3E1B" w14:textId="77777777" w:rsidR="007E0169" w:rsidRPr="00EE0E12" w:rsidRDefault="007E0169" w:rsidP="00917409">
      <w:pPr>
        <w:pStyle w:val="tier1Itext"/>
        <w:spacing w:before="360"/>
      </w:pPr>
      <w:r w:rsidRPr="00EE0E12">
        <w:t>Alguns outros cuidados devem ser considerados durante a aplicação do dispersante a partir de embarcações, tais como:</w:t>
      </w:r>
    </w:p>
    <w:p w14:paraId="49946AAC"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lastRenderedPageBreak/>
        <w:t xml:space="preserve"> O tamanho da gota de dispersante </w:t>
      </w:r>
      <w:r w:rsidR="00917409">
        <w:rPr>
          <w:rFonts w:asciiTheme="majorHAnsi" w:hAnsiTheme="majorHAnsi" w:cstheme="majorHAnsi"/>
        </w:rPr>
        <w:t>–</w:t>
      </w:r>
      <w:r w:rsidRPr="00EE0E12">
        <w:rPr>
          <w:rFonts w:asciiTheme="majorHAnsi" w:hAnsiTheme="majorHAnsi" w:cstheme="majorHAnsi"/>
        </w:rPr>
        <w:t xml:space="preserve"> um </w:t>
      </w:r>
      <w:r w:rsidRPr="00C45C9A">
        <w:rPr>
          <w:rFonts w:asciiTheme="majorHAnsi" w:hAnsiTheme="majorHAnsi" w:cstheme="majorHAnsi"/>
          <w:i/>
        </w:rPr>
        <w:t>spray</w:t>
      </w:r>
      <w:r w:rsidRPr="00EE0E12">
        <w:rPr>
          <w:rFonts w:asciiTheme="majorHAnsi" w:hAnsiTheme="majorHAnsi" w:cstheme="majorHAnsi"/>
        </w:rPr>
        <w:t xml:space="preserve"> muito fino será ineficaz e pode ser pulverizado para fora do alvo; gotas de óleo muito grandes penetrarão rapidamente e irão se diluir, reduzindo a eficiência do dispersante;</w:t>
      </w:r>
    </w:p>
    <w:p w14:paraId="5DCD32A8"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 xml:space="preserve"> O plano deve ser sempre seletivo às áreas tratadas, com cuidado para não causar mais poluição pulverizando </w:t>
      </w:r>
      <w:r w:rsidR="00A5759B">
        <w:rPr>
          <w:rFonts w:asciiTheme="majorHAnsi" w:hAnsiTheme="majorHAnsi" w:cstheme="majorHAnsi"/>
        </w:rPr>
        <w:t>aquelas a</w:t>
      </w:r>
      <w:r w:rsidRPr="00EE0E12">
        <w:rPr>
          <w:rFonts w:asciiTheme="majorHAnsi" w:hAnsiTheme="majorHAnsi" w:cstheme="majorHAnsi"/>
        </w:rPr>
        <w:t>reas não afetadas pelo vazamento. Um percentual máximo de 20 por cento do dispersante (e consideravelmente menos, se possível) poderá ser pulverizado fora do alvo;</w:t>
      </w:r>
    </w:p>
    <w:p w14:paraId="241D3FA2"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A operação da aplicação se inicia na borda e prioriza a pulverização de manchas espessas de óleo, ao invés de camadas fin</w:t>
      </w:r>
      <w:r w:rsidR="00A5759B">
        <w:rPr>
          <w:rFonts w:asciiTheme="majorHAnsi" w:hAnsiTheme="majorHAnsi" w:cstheme="majorHAnsi"/>
        </w:rPr>
        <w:t>a</w:t>
      </w:r>
      <w:r w:rsidRPr="00EE0E12">
        <w:rPr>
          <w:rFonts w:asciiTheme="majorHAnsi" w:hAnsiTheme="majorHAnsi" w:cstheme="majorHAnsi"/>
        </w:rPr>
        <w:t>s ou brilhosas, que se dispersam mais facilmente através de dispersão natural e/ou mecânica; e</w:t>
      </w:r>
    </w:p>
    <w:p w14:paraId="111EF336" w14:textId="77777777" w:rsidR="007E0169" w:rsidRPr="00EE0E12" w:rsidRDefault="007E0169" w:rsidP="00EA2A77">
      <w:pPr>
        <w:numPr>
          <w:ilvl w:val="0"/>
          <w:numId w:val="21"/>
        </w:numPr>
        <w:tabs>
          <w:tab w:val="clear" w:pos="1080"/>
          <w:tab w:val="num" w:pos="644"/>
        </w:tabs>
        <w:spacing w:after="240"/>
        <w:ind w:left="788" w:hanging="215"/>
        <w:rPr>
          <w:rFonts w:asciiTheme="majorHAnsi" w:hAnsiTheme="majorHAnsi" w:cstheme="majorHAnsi"/>
        </w:rPr>
      </w:pPr>
      <w:r w:rsidRPr="00EE0E12">
        <w:rPr>
          <w:rFonts w:asciiTheme="majorHAnsi" w:hAnsiTheme="majorHAnsi" w:cstheme="majorHAnsi"/>
        </w:rPr>
        <w:t>Sempre que possível, e se a ação das ondas não for considerada suficientemente forte para auxiliar a dispersão química, use meios mecânicos (placas de superfície rebocadas ou dispersão mecânica, por exemplo) para aumentar a agitação da água.</w:t>
      </w:r>
    </w:p>
    <w:p w14:paraId="6B650B6C" w14:textId="68B43F9A" w:rsidR="007E0169" w:rsidRPr="00EE0E12" w:rsidRDefault="007E0169" w:rsidP="00917409">
      <w:pPr>
        <w:pStyle w:val="tier1Itext"/>
      </w:pPr>
      <w:r w:rsidRPr="00EE0E12">
        <w:t xml:space="preserve">A BP Energy </w:t>
      </w:r>
      <w:r w:rsidR="00853CF8">
        <w:t xml:space="preserve">irá disponibilizar um sistema </w:t>
      </w:r>
      <w:r w:rsidRPr="00EE0E12">
        <w:t>Elastec NeatSweep</w:t>
      </w:r>
      <w:r w:rsidRPr="00853CF8">
        <w:rPr>
          <w:vertAlign w:val="superscript"/>
        </w:rPr>
        <w:t>®</w:t>
      </w:r>
      <w:r w:rsidRPr="00EE0E12">
        <w:t xml:space="preserve"> </w:t>
      </w:r>
      <w:r w:rsidR="00853CF8">
        <w:t xml:space="preserve">na sua base em Belém, </w:t>
      </w:r>
      <w:r w:rsidRPr="00EE0E12">
        <w:t>que otimiza a aplicação do dispersante canalizando e concentrando o óleo antes da aplicação. O sistema inclui duas seções de contenção do óleo, uma unidade de bombeamento de dispersante computadorizado, uma unidade de aplicação de dispersante e um painel de mistura. Este sistema permite a aplicação de dispersante puro (sem diluição) diretamente no óleo, que entra na zona de aplicação com uma espessura uniforme, reduzindo as sobre e a sub dosagem (</w:t>
      </w:r>
      <w:r w:rsidR="00853CF8" w:rsidRPr="00853CF8">
        <w:rPr>
          <w:b/>
        </w:rPr>
        <w:t>Figuras</w:t>
      </w:r>
      <w:r w:rsidR="00853CF8">
        <w:t xml:space="preserve"> </w:t>
      </w:r>
      <w:r w:rsidR="00853CF8" w:rsidRPr="00853CF8">
        <w:rPr>
          <w:b/>
        </w:rPr>
        <w:t>21 a 25</w:t>
      </w:r>
      <w:r w:rsidRPr="00EE0E12">
        <w:rPr>
          <w:b/>
        </w:rPr>
        <w:t>)</w:t>
      </w:r>
      <w:r w:rsidR="00917409">
        <w:t>.</w:t>
      </w:r>
    </w:p>
    <w:p w14:paraId="1E741FE7" w14:textId="77777777" w:rsidR="007E0169" w:rsidRPr="00307575" w:rsidRDefault="007E0169" w:rsidP="00307575">
      <w:pPr>
        <w:spacing w:before="0" w:line="240" w:lineRule="auto"/>
        <w:jc w:val="center"/>
        <w:rPr>
          <w:rStyle w:val="tier1ItextChar"/>
          <w:rFonts w:eastAsiaTheme="minorEastAsia"/>
        </w:rPr>
      </w:pPr>
      <w:r w:rsidRPr="00EE0E12">
        <w:rPr>
          <w:rFonts w:asciiTheme="majorHAnsi" w:hAnsiTheme="majorHAnsi" w:cstheme="majorHAnsi"/>
          <w:noProof/>
          <w:lang w:val="en-US" w:eastAsia="en-US"/>
        </w:rPr>
        <w:lastRenderedPageBreak/>
        <w:drawing>
          <wp:inline distT="0" distB="0" distL="0" distR="0" wp14:anchorId="34736033" wp14:editId="493E4856">
            <wp:extent cx="3371299" cy="5537724"/>
            <wp:effectExtent l="19050" t="19050" r="19685" b="2540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385928" cy="5561753"/>
                    </a:xfrm>
                    <a:prstGeom prst="rect">
                      <a:avLst/>
                    </a:prstGeom>
                    <a:noFill/>
                    <a:ln w="12700" cmpd="sng">
                      <a:solidFill>
                        <a:srgbClr val="007833"/>
                      </a:solidFill>
                      <a:miter lim="800000"/>
                      <a:headEnd/>
                      <a:tailEnd/>
                    </a:ln>
                    <a:effectLst/>
                  </pic:spPr>
                </pic:pic>
              </a:graphicData>
            </a:graphic>
          </wp:inline>
        </w:drawing>
      </w:r>
    </w:p>
    <w:p w14:paraId="67F8A985" w14:textId="77777777" w:rsidR="007E0169" w:rsidRPr="00EE0E12" w:rsidRDefault="007E0169" w:rsidP="00307575">
      <w:pPr>
        <w:pStyle w:val="Caption"/>
        <w:keepNext w:val="0"/>
        <w:spacing w:before="0" w:after="0" w:line="240" w:lineRule="auto"/>
        <w:rPr>
          <w:rFonts w:cstheme="majorHAnsi"/>
        </w:rPr>
      </w:pPr>
      <w:bookmarkStart w:id="222" w:name="_Toc412812304"/>
      <w:bookmarkStart w:id="223" w:name="_Toc523833986"/>
      <w:r w:rsidRPr="00EE0E12">
        <w:t xml:space="preserve">Figura </w:t>
      </w:r>
      <w:fldSimple w:instr=" SEQ Figura \* ARABIC ">
        <w:r w:rsidR="00853CF8">
          <w:rPr>
            <w:noProof/>
          </w:rPr>
          <w:t>21</w:t>
        </w:r>
      </w:fldSimple>
      <w:r w:rsidRPr="00EE0E12">
        <w:t xml:space="preserve">: Esquema do sistema de pulverização </w:t>
      </w:r>
      <w:r w:rsidRPr="00A8331C">
        <w:t xml:space="preserve">NeatSweep (Fonte: </w:t>
      </w:r>
      <w:r w:rsidR="00A8331C" w:rsidRPr="00A8331C">
        <w:rPr>
          <w:rFonts w:cstheme="majorHAnsi"/>
        </w:rPr>
        <w:t>Elastec American Marine, 2012</w:t>
      </w:r>
      <w:r w:rsidRPr="00A8331C">
        <w:rPr>
          <w:rFonts w:cstheme="majorHAnsi"/>
        </w:rPr>
        <w:t>).</w:t>
      </w:r>
      <w:bookmarkEnd w:id="222"/>
      <w:bookmarkEnd w:id="223"/>
    </w:p>
    <w:tbl>
      <w:tblPr>
        <w:tblW w:w="0" w:type="auto"/>
        <w:jc w:val="center"/>
        <w:tblLayout w:type="fixed"/>
        <w:tblLook w:val="00A0" w:firstRow="1" w:lastRow="0" w:firstColumn="1" w:lastColumn="0" w:noHBand="0" w:noVBand="0"/>
      </w:tblPr>
      <w:tblGrid>
        <w:gridCol w:w="4410"/>
        <w:gridCol w:w="4411"/>
      </w:tblGrid>
      <w:tr w:rsidR="007E0169" w:rsidRPr="00EE0E12" w14:paraId="3F4662C1" w14:textId="77777777" w:rsidTr="00307575">
        <w:trPr>
          <w:jc w:val="center"/>
        </w:trPr>
        <w:tc>
          <w:tcPr>
            <w:tcW w:w="4410" w:type="dxa"/>
            <w:vAlign w:val="bottom"/>
          </w:tcPr>
          <w:p w14:paraId="498C53E5" w14:textId="77777777" w:rsidR="007E0169" w:rsidRPr="00EE0E12" w:rsidRDefault="00307575" w:rsidP="00307575">
            <w:pPr>
              <w:keepNext/>
              <w:spacing w:before="0" w:line="240" w:lineRule="auto"/>
              <w:jc w:val="center"/>
              <w:rPr>
                <w:rFonts w:asciiTheme="majorHAnsi" w:hAnsiTheme="majorHAnsi" w:cstheme="majorHAnsi"/>
              </w:rPr>
            </w:pPr>
            <w:r>
              <w:rPr>
                <w:rFonts w:asciiTheme="majorHAnsi" w:hAnsiTheme="majorHAnsi" w:cstheme="majorHAnsi"/>
                <w:noProof/>
                <w:lang w:val="en-US" w:eastAsia="en-US"/>
              </w:rPr>
              <w:lastRenderedPageBreak/>
              <w:drawing>
                <wp:inline distT="0" distB="0" distL="0" distR="0" wp14:anchorId="7569F3D7" wp14:editId="7CBC6ED2">
                  <wp:extent cx="2554605" cy="192659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54605" cy="1926590"/>
                          </a:xfrm>
                          <a:prstGeom prst="rect">
                            <a:avLst/>
                          </a:prstGeom>
                          <a:noFill/>
                        </pic:spPr>
                      </pic:pic>
                    </a:graphicData>
                  </a:graphic>
                </wp:inline>
              </w:drawing>
            </w:r>
          </w:p>
        </w:tc>
        <w:tc>
          <w:tcPr>
            <w:tcW w:w="4411" w:type="dxa"/>
            <w:vAlign w:val="bottom"/>
          </w:tcPr>
          <w:p w14:paraId="277B4658" w14:textId="77777777" w:rsidR="007E0169" w:rsidRPr="00EE0E12" w:rsidRDefault="00307575" w:rsidP="00307575">
            <w:pPr>
              <w:keepNext/>
              <w:spacing w:before="0" w:line="240" w:lineRule="auto"/>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63F467E5" wp14:editId="3242B4E7">
                  <wp:extent cx="2554605" cy="192659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554605" cy="1926590"/>
                          </a:xfrm>
                          <a:prstGeom prst="rect">
                            <a:avLst/>
                          </a:prstGeom>
                          <a:noFill/>
                        </pic:spPr>
                      </pic:pic>
                    </a:graphicData>
                  </a:graphic>
                </wp:inline>
              </w:drawing>
            </w:r>
          </w:p>
        </w:tc>
      </w:tr>
      <w:tr w:rsidR="007E0169" w:rsidRPr="00EE0E12" w14:paraId="750041AA" w14:textId="77777777" w:rsidTr="00307575">
        <w:trPr>
          <w:trHeight w:val="794"/>
          <w:jc w:val="center"/>
        </w:trPr>
        <w:tc>
          <w:tcPr>
            <w:tcW w:w="4410" w:type="dxa"/>
          </w:tcPr>
          <w:p w14:paraId="0A475637" w14:textId="77777777" w:rsidR="007E0169" w:rsidRPr="00EE0E12" w:rsidRDefault="007E0169" w:rsidP="00307575">
            <w:pPr>
              <w:pStyle w:val="Caption"/>
              <w:spacing w:before="0" w:after="0" w:line="240" w:lineRule="auto"/>
            </w:pPr>
            <w:bookmarkStart w:id="224" w:name="_Toc412812305"/>
            <w:bookmarkStart w:id="225" w:name="_Toc523833987"/>
            <w:r w:rsidRPr="00EE0E12">
              <w:t xml:space="preserve">Figura </w:t>
            </w:r>
            <w:fldSimple w:instr=" SEQ Figura \* ARABIC ">
              <w:r w:rsidR="00853CF8">
                <w:rPr>
                  <w:noProof/>
                </w:rPr>
                <w:t>22</w:t>
              </w:r>
            </w:fldSimple>
            <w:r w:rsidRPr="00EE0E12">
              <w:t>: Sistema NeatSweep – dispositivo de aplicação de dispersante</w:t>
            </w:r>
            <w:bookmarkEnd w:id="224"/>
            <w:r w:rsidR="00C600C2">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25"/>
          </w:p>
        </w:tc>
        <w:tc>
          <w:tcPr>
            <w:tcW w:w="4411" w:type="dxa"/>
          </w:tcPr>
          <w:p w14:paraId="6DC3361F" w14:textId="77777777" w:rsidR="007E0169" w:rsidRPr="00EE0E12" w:rsidRDefault="007E0169" w:rsidP="00307575">
            <w:pPr>
              <w:pStyle w:val="Caption"/>
              <w:spacing w:before="0" w:after="0" w:line="240" w:lineRule="auto"/>
              <w:rPr>
                <w:rFonts w:cstheme="majorHAnsi"/>
              </w:rPr>
            </w:pPr>
            <w:bookmarkStart w:id="226" w:name="_Toc412812306"/>
            <w:bookmarkStart w:id="227" w:name="_Toc523833988"/>
            <w:r w:rsidRPr="00EE0E12">
              <w:t xml:space="preserve">Figura </w:t>
            </w:r>
            <w:fldSimple w:instr=" SEQ Figura \* ARABIC ">
              <w:r w:rsidR="00853CF8">
                <w:rPr>
                  <w:noProof/>
                </w:rPr>
                <w:t>23</w:t>
              </w:r>
            </w:fldSimple>
            <w:r w:rsidRPr="00EE0E12">
              <w:t xml:space="preserve">: </w:t>
            </w:r>
            <w:r w:rsidRPr="00EE0E12">
              <w:rPr>
                <w:rFonts w:cstheme="majorHAnsi"/>
              </w:rPr>
              <w:t>Sistema NeatSweep montado</w:t>
            </w:r>
            <w:bookmarkEnd w:id="226"/>
            <w:r w:rsidR="00C600C2">
              <w:rPr>
                <w:rFonts w:cstheme="majorHAnsi"/>
              </w:rPr>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27"/>
          </w:p>
        </w:tc>
      </w:tr>
      <w:tr w:rsidR="007E0169" w:rsidRPr="00EE0E12" w14:paraId="221A49D2" w14:textId="77777777" w:rsidTr="00307575">
        <w:trPr>
          <w:jc w:val="center"/>
        </w:trPr>
        <w:tc>
          <w:tcPr>
            <w:tcW w:w="4410" w:type="dxa"/>
            <w:vAlign w:val="bottom"/>
          </w:tcPr>
          <w:p w14:paraId="25E40115" w14:textId="77777777" w:rsidR="007E0169" w:rsidRPr="00EE0E12" w:rsidRDefault="00307575" w:rsidP="00307575">
            <w:pPr>
              <w:spacing w:before="0" w:line="240" w:lineRule="auto"/>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4422CD4C" wp14:editId="062AAC1D">
                  <wp:extent cx="2554605" cy="1932305"/>
                  <wp:effectExtent l="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54605" cy="1932305"/>
                          </a:xfrm>
                          <a:prstGeom prst="rect">
                            <a:avLst/>
                          </a:prstGeom>
                          <a:noFill/>
                        </pic:spPr>
                      </pic:pic>
                    </a:graphicData>
                  </a:graphic>
                </wp:inline>
              </w:drawing>
            </w:r>
          </w:p>
        </w:tc>
        <w:tc>
          <w:tcPr>
            <w:tcW w:w="4411" w:type="dxa"/>
            <w:vAlign w:val="bottom"/>
          </w:tcPr>
          <w:p w14:paraId="370A52E1" w14:textId="77777777" w:rsidR="007E0169" w:rsidRPr="00EE0E12" w:rsidRDefault="00307575" w:rsidP="00307575">
            <w:pPr>
              <w:spacing w:before="0" w:line="240" w:lineRule="auto"/>
              <w:ind w:left="-106" w:right="-94"/>
              <w:jc w:val="center"/>
              <w:rPr>
                <w:rFonts w:asciiTheme="majorHAnsi" w:hAnsiTheme="majorHAnsi" w:cstheme="majorHAnsi"/>
              </w:rPr>
            </w:pPr>
            <w:r>
              <w:rPr>
                <w:rFonts w:asciiTheme="majorHAnsi" w:hAnsiTheme="majorHAnsi" w:cstheme="majorHAnsi"/>
                <w:noProof/>
                <w:lang w:val="en-US" w:eastAsia="en-US"/>
              </w:rPr>
              <w:drawing>
                <wp:inline distT="0" distB="0" distL="0" distR="0" wp14:anchorId="2E197D4C" wp14:editId="22E89F42">
                  <wp:extent cx="2554605" cy="1932305"/>
                  <wp:effectExtent l="0" t="0" r="0" b="0"/>
                  <wp:docPr id="1073742016" name="Imagem 107374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54605" cy="1932305"/>
                          </a:xfrm>
                          <a:prstGeom prst="rect">
                            <a:avLst/>
                          </a:prstGeom>
                          <a:noFill/>
                        </pic:spPr>
                      </pic:pic>
                    </a:graphicData>
                  </a:graphic>
                </wp:inline>
              </w:drawing>
            </w:r>
          </w:p>
        </w:tc>
      </w:tr>
      <w:tr w:rsidR="007E0169" w:rsidRPr="00EE0E12" w14:paraId="7592656F" w14:textId="77777777" w:rsidTr="00307575">
        <w:trPr>
          <w:jc w:val="center"/>
        </w:trPr>
        <w:tc>
          <w:tcPr>
            <w:tcW w:w="4410" w:type="dxa"/>
          </w:tcPr>
          <w:p w14:paraId="658ECD16" w14:textId="77777777" w:rsidR="007E0169" w:rsidRPr="00EE0E12" w:rsidRDefault="007E0169" w:rsidP="00307575">
            <w:pPr>
              <w:pStyle w:val="Caption"/>
              <w:spacing w:before="0" w:after="0" w:line="240" w:lineRule="auto"/>
              <w:rPr>
                <w:rFonts w:cstheme="majorHAnsi"/>
              </w:rPr>
            </w:pPr>
            <w:bookmarkStart w:id="228" w:name="_Toc412812307"/>
            <w:bookmarkStart w:id="229" w:name="_Toc523833989"/>
            <w:r w:rsidRPr="00EE0E12">
              <w:t xml:space="preserve">Figura </w:t>
            </w:r>
            <w:fldSimple w:instr=" SEQ Figura \* ARABIC ">
              <w:r w:rsidR="00853CF8">
                <w:rPr>
                  <w:noProof/>
                </w:rPr>
                <w:t>24</w:t>
              </w:r>
            </w:fldSimple>
            <w:r w:rsidRPr="00EE0E12">
              <w:t xml:space="preserve">: </w:t>
            </w:r>
            <w:r w:rsidRPr="00EE0E12">
              <w:rPr>
                <w:rFonts w:cstheme="majorHAnsi"/>
              </w:rPr>
              <w:t>Detalhe no aplicador e agitador</w:t>
            </w:r>
            <w:r w:rsidR="00C600C2">
              <w:rPr>
                <w:rFonts w:cstheme="majorHAnsi"/>
              </w:rPr>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28"/>
            <w:bookmarkEnd w:id="229"/>
          </w:p>
        </w:tc>
        <w:tc>
          <w:tcPr>
            <w:tcW w:w="4411" w:type="dxa"/>
          </w:tcPr>
          <w:p w14:paraId="325EAFFE" w14:textId="77777777" w:rsidR="007E0169" w:rsidRPr="00EE0E12" w:rsidRDefault="007E0169" w:rsidP="00307575">
            <w:pPr>
              <w:pStyle w:val="Caption"/>
              <w:spacing w:before="0" w:after="0" w:line="240" w:lineRule="auto"/>
            </w:pPr>
            <w:bookmarkStart w:id="230" w:name="_Toc412812308"/>
            <w:bookmarkStart w:id="231" w:name="_Toc523833990"/>
            <w:r w:rsidRPr="00EE0E12">
              <w:t xml:space="preserve">Figura </w:t>
            </w:r>
            <w:fldSimple w:instr=" SEQ Figura \* ARABIC ">
              <w:r w:rsidR="00853CF8">
                <w:rPr>
                  <w:noProof/>
                </w:rPr>
                <w:t>25</w:t>
              </w:r>
            </w:fldSimple>
            <w:r w:rsidRPr="00EE0E12">
              <w:t>: Unidade de aplicação em funcionamento</w:t>
            </w:r>
            <w:r w:rsidR="00C600C2">
              <w:t xml:space="preserve"> </w:t>
            </w:r>
            <w:r w:rsidR="00C600C2" w:rsidRPr="00C600C2">
              <w:rPr>
                <w:rFonts w:cstheme="majorHAnsi"/>
                <w:szCs w:val="20"/>
              </w:rPr>
              <w:t xml:space="preserve">(Fonte: </w:t>
            </w:r>
            <w:r w:rsidR="00A8331C" w:rsidRPr="00E26CE0">
              <w:rPr>
                <w:rFonts w:cstheme="majorHAnsi"/>
              </w:rPr>
              <w:t>Elastec American Marine, 2012</w:t>
            </w:r>
            <w:r w:rsidR="00C600C2" w:rsidRPr="00C600C2">
              <w:rPr>
                <w:rFonts w:cstheme="majorHAnsi"/>
                <w:szCs w:val="20"/>
              </w:rPr>
              <w:t>).</w:t>
            </w:r>
            <w:bookmarkEnd w:id="230"/>
            <w:bookmarkEnd w:id="231"/>
          </w:p>
        </w:tc>
      </w:tr>
    </w:tbl>
    <w:p w14:paraId="0C4A3C14" w14:textId="77777777" w:rsidR="007E0169" w:rsidRPr="00EE0E12" w:rsidRDefault="007E0169" w:rsidP="00307575">
      <w:pPr>
        <w:pStyle w:val="tier1Itext"/>
        <w:spacing w:before="360"/>
      </w:pPr>
      <w:r w:rsidRPr="00EE0E12">
        <w:t xml:space="preserve">A </w:t>
      </w:r>
      <w:r w:rsidR="00C600C2" w:rsidRPr="00C600C2">
        <w:rPr>
          <w:b/>
          <w:highlight w:val="lightGray"/>
        </w:rPr>
        <w:fldChar w:fldCharType="begin"/>
      </w:r>
      <w:r w:rsidR="00C600C2" w:rsidRPr="00C600C2">
        <w:rPr>
          <w:b/>
        </w:rPr>
        <w:instrText xml:space="preserve"> REF _Ref414546314 \h </w:instrText>
      </w:r>
      <w:r w:rsidR="00C600C2" w:rsidRPr="00C600C2">
        <w:rPr>
          <w:b/>
          <w:highlight w:val="lightGray"/>
        </w:rPr>
        <w:instrText xml:space="preserve"> \* MERGEFORMAT </w:instrText>
      </w:r>
      <w:r w:rsidR="00C600C2" w:rsidRPr="00C600C2">
        <w:rPr>
          <w:b/>
          <w:highlight w:val="lightGray"/>
        </w:rPr>
      </w:r>
      <w:r w:rsidR="00C600C2" w:rsidRPr="00C600C2">
        <w:rPr>
          <w:b/>
          <w:highlight w:val="lightGray"/>
        </w:rPr>
        <w:fldChar w:fldCharType="separate"/>
      </w:r>
      <w:r w:rsidR="00853CF8" w:rsidRPr="00853CF8">
        <w:rPr>
          <w:b/>
        </w:rPr>
        <w:t xml:space="preserve">Figura </w:t>
      </w:r>
      <w:r w:rsidR="00853CF8" w:rsidRPr="00853CF8">
        <w:rPr>
          <w:b/>
          <w:noProof/>
        </w:rPr>
        <w:t>26</w:t>
      </w:r>
      <w:r w:rsidR="00C600C2" w:rsidRPr="00C600C2">
        <w:rPr>
          <w:b/>
          <w:highlight w:val="lightGray"/>
        </w:rPr>
        <w:fldChar w:fldCharType="end"/>
      </w:r>
      <w:r w:rsidRPr="00EE0E12">
        <w:t xml:space="preserve"> a seguir mostra os tipos de embarcações, equipamentos e uma estratégia que podem ser considerados em uma operação de aplicação de dispersante realizada por navios.</w:t>
      </w:r>
    </w:p>
    <w:p w14:paraId="16EF7C59" w14:textId="77777777" w:rsidR="007E0169" w:rsidRPr="00307575" w:rsidRDefault="007E0169" w:rsidP="00307575">
      <w:pPr>
        <w:spacing w:before="0" w:line="240" w:lineRule="auto"/>
        <w:jc w:val="center"/>
        <w:rPr>
          <w:rStyle w:val="tier1ItextChar"/>
          <w:rFonts w:eastAsiaTheme="minorEastAsia"/>
        </w:rPr>
      </w:pPr>
      <w:r w:rsidRPr="00EE0E12">
        <w:rPr>
          <w:rFonts w:asciiTheme="majorHAnsi" w:hAnsiTheme="majorHAnsi" w:cstheme="majorHAnsi"/>
          <w:noProof/>
          <w:lang w:val="en-US" w:eastAsia="en-US"/>
        </w:rPr>
        <w:lastRenderedPageBreak/>
        <w:drawing>
          <wp:inline distT="0" distB="0" distL="0" distR="0" wp14:anchorId="513267DD" wp14:editId="15C76EAB">
            <wp:extent cx="5184000" cy="3452400"/>
            <wp:effectExtent l="0" t="0" r="0" b="0"/>
            <wp:docPr id="313"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sp Vessel Aplic Port.bmp"/>
                    <pic:cNvPicPr preferRelativeResize="0"/>
                  </pic:nvPicPr>
                  <pic:blipFill>
                    <a:blip r:embed="rId73">
                      <a:extLst>
                        <a:ext uri="{28A0092B-C50C-407E-A947-70E740481C1C}">
                          <a14:useLocalDpi xmlns:a14="http://schemas.microsoft.com/office/drawing/2010/main" val="0"/>
                        </a:ext>
                      </a:extLst>
                    </a:blip>
                    <a:stretch>
                      <a:fillRect/>
                    </a:stretch>
                  </pic:blipFill>
                  <pic:spPr>
                    <a:xfrm>
                      <a:off x="0" y="0"/>
                      <a:ext cx="5184000" cy="3452400"/>
                    </a:xfrm>
                    <a:prstGeom prst="rect">
                      <a:avLst/>
                    </a:prstGeom>
                  </pic:spPr>
                </pic:pic>
              </a:graphicData>
            </a:graphic>
          </wp:inline>
        </w:drawing>
      </w:r>
    </w:p>
    <w:p w14:paraId="7C8214D5" w14:textId="77777777" w:rsidR="007E0169" w:rsidRPr="00EE0E12" w:rsidRDefault="007E0169" w:rsidP="00307575">
      <w:pPr>
        <w:pStyle w:val="Caption"/>
        <w:spacing w:before="0" w:after="0" w:line="240" w:lineRule="auto"/>
      </w:pPr>
      <w:bookmarkStart w:id="232" w:name="_Ref414546314"/>
      <w:bookmarkStart w:id="233" w:name="_Toc412812309"/>
      <w:bookmarkStart w:id="234" w:name="_Toc523833991"/>
      <w:r w:rsidRPr="00EE0E12">
        <w:t xml:space="preserve">Figura </w:t>
      </w:r>
      <w:fldSimple w:instr=" SEQ Figura \* ARABIC ">
        <w:r w:rsidR="00853CF8">
          <w:rPr>
            <w:noProof/>
          </w:rPr>
          <w:t>26</w:t>
        </w:r>
      </w:fldSimple>
      <w:bookmarkEnd w:id="232"/>
      <w:r w:rsidRPr="00EE0E12">
        <w:t>: Tipos de navios e equipamentos que podem ser considerados em uma operação de aplicação de dispersante por via marítima</w:t>
      </w:r>
      <w:r w:rsidR="00605F99">
        <w:t xml:space="preserve"> </w:t>
      </w:r>
      <w:r w:rsidR="00605F99" w:rsidRPr="00656D39">
        <w:rPr>
          <w:szCs w:val="20"/>
        </w:rPr>
        <w:t xml:space="preserve">(Fonte: </w:t>
      </w:r>
      <w:r w:rsidR="00A5759B" w:rsidRPr="00656D39">
        <w:rPr>
          <w:szCs w:val="20"/>
        </w:rPr>
        <w:t>Modificado</w:t>
      </w:r>
      <w:r w:rsidR="00A5759B">
        <w:rPr>
          <w:szCs w:val="20"/>
        </w:rPr>
        <w:t xml:space="preserve"> a partir do original em BP, 2012</w:t>
      </w:r>
      <w:r w:rsidR="00605F99" w:rsidRPr="00605F99">
        <w:rPr>
          <w:szCs w:val="20"/>
        </w:rPr>
        <w:t>)</w:t>
      </w:r>
      <w:r w:rsidRPr="00605F99">
        <w:t>.</w:t>
      </w:r>
      <w:bookmarkEnd w:id="233"/>
      <w:bookmarkEnd w:id="234"/>
    </w:p>
    <w:p w14:paraId="2566198E" w14:textId="77777777" w:rsidR="007E0169" w:rsidRPr="00C600C2" w:rsidRDefault="007E0169" w:rsidP="00C600C2">
      <w:pPr>
        <w:keepNext/>
        <w:keepLines/>
        <w:spacing w:before="360" w:after="240"/>
        <w:rPr>
          <w:rFonts w:asciiTheme="majorHAnsi" w:hAnsiTheme="majorHAnsi" w:cstheme="majorHAnsi"/>
          <w:b/>
        </w:rPr>
      </w:pPr>
      <w:r w:rsidRPr="00C600C2">
        <w:rPr>
          <w:rFonts w:asciiTheme="majorHAnsi" w:hAnsiTheme="majorHAnsi" w:cstheme="majorHAnsi"/>
          <w:b/>
        </w:rPr>
        <w:t>Considerações com a Segurança</w:t>
      </w:r>
    </w:p>
    <w:p w14:paraId="58EF1EE5" w14:textId="77777777" w:rsidR="007E0169" w:rsidRPr="00EE0E12" w:rsidRDefault="007E0169" w:rsidP="00C600C2">
      <w:pPr>
        <w:pStyle w:val="tier1Itext"/>
      </w:pPr>
      <w:r w:rsidRPr="00EE0E12">
        <w:t>Dispersantes devem ser sempre utilizados em conformidade com as instruções do fornecedor e do fabricante. Além disso, é importante que as embarcações cumpram com todas as normas relevantes de segurança e requisitos de inspeção para a operação, descritos no ICS 208. Caso o fretamento de uma embarcação extra seja necessário (</w:t>
      </w:r>
      <w:r w:rsidR="00A5759B" w:rsidRPr="00EE0E12">
        <w:t>nov</w:t>
      </w:r>
      <w:r w:rsidR="00A5759B">
        <w:t>a</w:t>
      </w:r>
      <w:r w:rsidR="00A5759B" w:rsidRPr="00EE0E12">
        <w:t xml:space="preserve"> </w:t>
      </w:r>
      <w:r w:rsidRPr="00EE0E12">
        <w:t>para a frota da BP Energy), uma avaliação a respeito do mesmo deverá ser conduzida pelo Especialista Técnico de Marinha da BP para garantir que o navio esteja em bom estado, equipado com o equipamento de segurança adequado e apropriado para as operações.</w:t>
      </w:r>
    </w:p>
    <w:p w14:paraId="68812DE0" w14:textId="77777777" w:rsidR="007E0169" w:rsidRPr="00EE0E12" w:rsidRDefault="007E0169" w:rsidP="00C600C2">
      <w:pPr>
        <w:pStyle w:val="tier1Itext"/>
      </w:pPr>
      <w:r w:rsidRPr="00EE0E12">
        <w:t>Uma parte importante do programa de segurança para uma operação de dispersante é o estabelecimento de zonas de segurança mínima. As zonas de segurança estabelecidas para as questões ambientais devem ser suficientes para as populações humanas, já que as operações não devem ocorrer perto da costa. Zonas de segurança no mar ao redor da área da operação de aplicação de dispersante devem ser da ordem de 1,0 km para evitar a interferência com o tráfego de navios e evitar a pulverização na superfície de outras embarcações ou trabalhadores na área.</w:t>
      </w:r>
    </w:p>
    <w:p w14:paraId="3EC9DFCA" w14:textId="77777777" w:rsidR="007E0169" w:rsidRPr="00EE0E12" w:rsidRDefault="007E0169" w:rsidP="00C600C2">
      <w:pPr>
        <w:pStyle w:val="tier1Itext"/>
      </w:pPr>
      <w:r w:rsidRPr="00EE0E12">
        <w:lastRenderedPageBreak/>
        <w:t xml:space="preserve">A segurança dos trabalhadores é a consideração principal durante uma operação de dispersante. Caso sejam utilizados aviões, helicópteros e/ou embarcações para a aplicação e/ou o monitoramento da aplicação do dispersante, é muito importante que todo o pessoal tenha experiência quanto ao equipamento de segurança adequado e procedimentos. Isso, obviamente, inclui o </w:t>
      </w:r>
      <w:r w:rsidRPr="00EE0E12">
        <w:rPr>
          <w:i/>
        </w:rPr>
        <w:t>briefing</w:t>
      </w:r>
      <w:r w:rsidRPr="00EE0E12">
        <w:t xml:space="preserve"> da reunião de segurança.</w:t>
      </w:r>
    </w:p>
    <w:p w14:paraId="619B140F" w14:textId="77777777" w:rsidR="007E0169" w:rsidRPr="00EE0E12" w:rsidRDefault="007E0169" w:rsidP="00C600C2">
      <w:pPr>
        <w:pStyle w:val="tier1Itext"/>
      </w:pPr>
      <w:r w:rsidRPr="00EE0E12">
        <w:t>Todos os operadores devem dispor de equipamento de proteção individual</w:t>
      </w:r>
      <w:r w:rsidRPr="00EE0E12">
        <w:rPr>
          <w:rStyle w:val="FootnoteReference"/>
          <w:rFonts w:cstheme="majorHAnsi"/>
          <w:szCs w:val="22"/>
        </w:rPr>
        <w:footnoteReference w:id="41"/>
      </w:r>
      <w:r w:rsidRPr="00EE0E12">
        <w:t xml:space="preserve"> em conformidade com o dispersante utilizado (Corexit EC-9500 A) que devem incluir mas não se limitar ao macacão Tyvek, luvas impermeáveis, óculos de proteção, protetores de ouvido, respiradores adequados para exposições químicas, kit de primeiros socorros, de lavagem dos olhos, calçado químico resistente de segurança, juntamente com cópias disponíveis da FISP</w:t>
      </w:r>
      <w:r w:rsidR="00C600C2">
        <w:t>Q e MSDS em português e inglês.</w:t>
      </w:r>
    </w:p>
    <w:p w14:paraId="155D6ED3" w14:textId="77777777" w:rsidR="007E0169" w:rsidRPr="00EE0E12" w:rsidRDefault="007E0169" w:rsidP="00C600C2">
      <w:pPr>
        <w:pStyle w:val="tier1Itext"/>
      </w:pPr>
      <w:r w:rsidRPr="00EE0E12">
        <w:t>Se um dispersante entrar em contato com os olhos ou com a pele, a área afetada deve ser tratada lavando-a com água fresca e tratamento médico deverá ser forn</w:t>
      </w:r>
      <w:r w:rsidR="00C600C2">
        <w:t>ecido se a irritação persistir.</w:t>
      </w:r>
    </w:p>
    <w:p w14:paraId="3C71534B" w14:textId="77777777" w:rsidR="007E0169" w:rsidRPr="00EE0E12" w:rsidRDefault="007E0169" w:rsidP="00C600C2">
      <w:pPr>
        <w:pStyle w:val="tier1Itext"/>
      </w:pPr>
      <w:r w:rsidRPr="00EE0E12">
        <w:t>Manuseio só deve ser realizado em áreas bem ventiladas, longe de chamas faíscas de calor e chamas. Dispersantes deverão ser tratados como combustíveis. Incêndios deverão ser apagados usando o dióxido de carbono, pó químico, espuma, areia ou terra. Incêndio de grandes dimensões pode ser combatido com névoa de água. Cuidado especial deve ser tomado para evitar derrames durante o manuseio. Onde houver a ocorrência de derrames, enxugar rapidamente usando um absorvente adequado. A área pode ser lavada usando grandes quantidades de água, mas é importante assegurar que o dispersante esteja impedido de vazar para longe do local do derrame devido fechando-se as saídas para o mar durante o manuseio. Locais de trabalho devem sempre ser mantidos livres de derrames já que as maiorias dos dispersantes criam superfícies muito escorregadias. Deve ser evitado que os dispersantes entrem em contato com as superfícies pintadas, pois eles podem reagir com algum produto da pintura básica, d</w:t>
      </w:r>
      <w:r w:rsidR="00C600C2">
        <w:t>eixando as áreas escorregadias.</w:t>
      </w:r>
    </w:p>
    <w:p w14:paraId="62953864" w14:textId="77777777" w:rsidR="007E0169" w:rsidRPr="00EE0E12" w:rsidRDefault="007E0169" w:rsidP="00C600C2">
      <w:pPr>
        <w:pStyle w:val="tier1Itext"/>
      </w:pPr>
      <w:r w:rsidRPr="00EE0E12">
        <w:t>Estoques fora de especificação de dispersantes devem ser eliminados de acordo com o escopo normal da legislação usada para o descarte de resíduos químicos.</w:t>
      </w:r>
    </w:p>
    <w:p w14:paraId="11A12D7F" w14:textId="77777777" w:rsidR="007E0169" w:rsidRPr="00EE0E12" w:rsidRDefault="007E0169" w:rsidP="00C600C2">
      <w:pPr>
        <w:pStyle w:val="tier1Itext"/>
      </w:pPr>
      <w:r w:rsidRPr="00EE0E12">
        <w:lastRenderedPageBreak/>
        <w:t>Todos estes aspectos de segurança e saúde devem ser considerados pelo Oficial de Segurança durante a elaboração do Pla</w:t>
      </w:r>
      <w:r w:rsidR="00C600C2">
        <w:t>no de Aplicação de Dispersante.</w:t>
      </w:r>
    </w:p>
    <w:p w14:paraId="6F5B1A74" w14:textId="77777777" w:rsidR="00290F16" w:rsidRPr="009E316F" w:rsidRDefault="00290F16" w:rsidP="006F18B8">
      <w:pPr>
        <w:pStyle w:val="Heading3"/>
        <w:ind w:left="1224"/>
        <w:rPr>
          <w:lang w:val="pt-BR"/>
        </w:rPr>
      </w:pPr>
      <w:bookmarkStart w:id="235" w:name="_Toc523833909"/>
      <w:r w:rsidRPr="009E316F">
        <w:rPr>
          <w:lang w:val="pt-BR"/>
        </w:rPr>
        <w:t>Aplicação de Dispersantes por Via Aérea</w:t>
      </w:r>
      <w:bookmarkEnd w:id="235"/>
    </w:p>
    <w:p w14:paraId="1512D29F" w14:textId="77777777" w:rsidR="007E0169" w:rsidRPr="00EE0E12" w:rsidRDefault="007E0169" w:rsidP="00C723F1">
      <w:pPr>
        <w:pStyle w:val="tier1Itext"/>
      </w:pPr>
      <w:r w:rsidRPr="00EE0E12">
        <w:t>A aplicação de dispersante por via aérea será considerada apenas em cenários de grandes vazamentos e, nestes casos, haverá a formação de um Grupo específico para o gerenciamento das atividades relacionadas a esta técnica, sob a Seção de Operações. Neste Grupo haverá também a participação intensa do Gerente de Operações Aéreas e de pessoal da Seção de Logística, responsáveis pela programação de aeronaves (ICS 220) e pela alimentação das quantidades necessárias de dispersantes da Base da BP Energy no Rio de Janeiro para o aeroporto que dará apoio à operação.</w:t>
      </w:r>
    </w:p>
    <w:p w14:paraId="0E26E89E" w14:textId="3BB8EBD6" w:rsidR="007E0169" w:rsidRPr="00EE0E12" w:rsidRDefault="007E0169" w:rsidP="00C723F1">
      <w:pPr>
        <w:pStyle w:val="tier1Itext"/>
      </w:pPr>
      <w:r w:rsidRPr="00EE0E12">
        <w:t>A aplicação por via aérea é realizada através de um sistema de pulverização adaptado à fuselagem da aeronave (asa fixa ou rotativa) e deverá ser apoiada por uma equipe de monitoramento aéreo (</w:t>
      </w:r>
      <w:r w:rsidRPr="00EE0E12">
        <w:rPr>
          <w:i/>
        </w:rPr>
        <w:t>spotter</w:t>
      </w:r>
      <w:r w:rsidRPr="00EE0E12">
        <w:t xml:space="preserve">). Para essa estratégia, a BP Energy deverá mobilizar os recursos humanos e materiais da OSRL, conforme convênio firmado com a empresa. </w:t>
      </w:r>
    </w:p>
    <w:p w14:paraId="05B6BA7C" w14:textId="403C371A" w:rsidR="007E0169" w:rsidRPr="00EE0E12" w:rsidRDefault="007E0169" w:rsidP="00C723F1">
      <w:pPr>
        <w:pStyle w:val="tier1Itext"/>
      </w:pPr>
      <w:r w:rsidRPr="00EE0E12">
        <w:t xml:space="preserve">O aparato de aplicação aérea de dispersante da OSRL é um sistema de pulverização de </w:t>
      </w:r>
      <w:r w:rsidR="009806FD" w:rsidRPr="00EE0E12">
        <w:t>autocontenção</w:t>
      </w:r>
      <w:r w:rsidRPr="00EE0E12">
        <w:t xml:space="preserve"> projetado para instalação em aviões cargueiros (tipo </w:t>
      </w:r>
      <w:r w:rsidR="008779FC">
        <w:t>Boeing 727</w:t>
      </w:r>
      <w:r w:rsidRPr="00EE0E12">
        <w:t>). Possui uma bomba centrífuga com dupla capacidade de pulverização (900 L/min) com 34 bicos (cada um com capacidade de 30 L/min]) cobrindo uma faixa de 150 pés (45,7 m) de largura, aplicados a 140 pés (cerca de 40 m) de altura e a uma velocidade de 150 kt (278 km/h).</w:t>
      </w:r>
    </w:p>
    <w:p w14:paraId="4E1CECA8" w14:textId="77777777" w:rsidR="007E0169" w:rsidRPr="00EE0E12" w:rsidRDefault="007E0169" w:rsidP="00C723F1">
      <w:pPr>
        <w:pStyle w:val="tier1Itext"/>
      </w:pPr>
      <w:r w:rsidRPr="00EE0E12">
        <w:t xml:space="preserve">A </w:t>
      </w:r>
      <w:r w:rsidRPr="00EE0E12">
        <w:rPr>
          <w:b/>
          <w:highlight w:val="lightGray"/>
        </w:rPr>
        <w:fldChar w:fldCharType="begin"/>
      </w:r>
      <w:r w:rsidRPr="00EE0E12">
        <w:rPr>
          <w:b/>
        </w:rPr>
        <w:instrText xml:space="preserve"> REF _Ref412809512 \h </w:instrText>
      </w:r>
      <w:r w:rsidRPr="00EE0E12">
        <w:rPr>
          <w:b/>
          <w:highlight w:val="lightGray"/>
        </w:rPr>
        <w:instrText xml:space="preserve"> \* MERGEFORMAT </w:instrText>
      </w:r>
      <w:r w:rsidRPr="00EE0E12">
        <w:rPr>
          <w:b/>
          <w:highlight w:val="lightGray"/>
        </w:rPr>
      </w:r>
      <w:r w:rsidRPr="00EE0E12">
        <w:rPr>
          <w:b/>
          <w:highlight w:val="lightGray"/>
        </w:rPr>
        <w:fldChar w:fldCharType="separate"/>
      </w:r>
      <w:r w:rsidR="001C6D6D" w:rsidRPr="001C6D6D">
        <w:rPr>
          <w:b/>
        </w:rPr>
        <w:t xml:space="preserve">Figura </w:t>
      </w:r>
      <w:r w:rsidR="001C6D6D" w:rsidRPr="001C6D6D">
        <w:rPr>
          <w:b/>
          <w:noProof/>
        </w:rPr>
        <w:t>27</w:t>
      </w:r>
      <w:r w:rsidRPr="00EE0E12">
        <w:rPr>
          <w:b/>
          <w:highlight w:val="lightGray"/>
        </w:rPr>
        <w:fldChar w:fldCharType="end"/>
      </w:r>
      <w:r w:rsidRPr="000329A6">
        <w:t xml:space="preserve"> e a </w:t>
      </w:r>
      <w:r w:rsidRPr="00EE0E12">
        <w:rPr>
          <w:b/>
          <w:highlight w:val="lightGray"/>
        </w:rPr>
        <w:fldChar w:fldCharType="begin"/>
      </w:r>
      <w:r w:rsidRPr="00EE0E12">
        <w:rPr>
          <w:b/>
          <w:highlight w:val="lightGray"/>
        </w:rPr>
        <w:instrText xml:space="preserve"> REF _Ref412809514 \h  \* MERGEFORMAT </w:instrText>
      </w:r>
      <w:r w:rsidRPr="00EE0E12">
        <w:rPr>
          <w:b/>
          <w:highlight w:val="lightGray"/>
        </w:rPr>
      </w:r>
      <w:r w:rsidRPr="00EE0E12">
        <w:rPr>
          <w:b/>
          <w:highlight w:val="lightGray"/>
        </w:rPr>
        <w:fldChar w:fldCharType="separate"/>
      </w:r>
      <w:r w:rsidR="001C6D6D" w:rsidRPr="001C6D6D">
        <w:rPr>
          <w:b/>
        </w:rPr>
        <w:t xml:space="preserve">Figura </w:t>
      </w:r>
      <w:r w:rsidR="001C6D6D" w:rsidRPr="001C6D6D">
        <w:rPr>
          <w:b/>
          <w:noProof/>
        </w:rPr>
        <w:t>28</w:t>
      </w:r>
      <w:r w:rsidRPr="00EE0E12">
        <w:rPr>
          <w:b/>
          <w:highlight w:val="lightGray"/>
        </w:rPr>
        <w:fldChar w:fldCharType="end"/>
      </w:r>
      <w:r w:rsidRPr="00EE0E12">
        <w:t xml:space="preserve"> ilustram os métodos de aplicação de dispersante e monitoramento das operações, e um esquema de aplicação aérea com aeronaves de asa fixa (que possuem maior autonomia). Importante ressaltar que a eficácia da dispersão química deverá ser continuamente monitorada a fim de que as táticas sejam revistas e, se necessário, interrompidas, quando ineficazes.</w:t>
      </w:r>
    </w:p>
    <w:p w14:paraId="46AFB90E" w14:textId="77777777" w:rsidR="007E0169" w:rsidRPr="00EE0E12" w:rsidRDefault="007E0169" w:rsidP="00C723F1">
      <w:pPr>
        <w:pStyle w:val="tier1Itext"/>
        <w:tabs>
          <w:tab w:val="clear" w:pos="5529"/>
          <w:tab w:val="left" w:pos="0"/>
        </w:tabs>
        <w:spacing w:before="0" w:after="0" w:line="240" w:lineRule="auto"/>
        <w:jc w:val="center"/>
        <w:rPr>
          <w:lang w:val="en-US"/>
        </w:rPr>
      </w:pPr>
      <w:r w:rsidRPr="00EE0E12">
        <w:rPr>
          <w:noProof/>
          <w:lang w:val="en-US"/>
        </w:rPr>
        <w:lastRenderedPageBreak/>
        <w:drawing>
          <wp:inline distT="0" distB="0" distL="0" distR="0" wp14:anchorId="1EED4062" wp14:editId="0ECBB42A">
            <wp:extent cx="5132934" cy="2959615"/>
            <wp:effectExtent l="0" t="0" r="0" b="0"/>
            <wp:docPr id="292" name="Imagem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135598" cy="2961151"/>
                    </a:xfrm>
                    <a:prstGeom prst="rect">
                      <a:avLst/>
                    </a:prstGeom>
                    <a:noFill/>
                    <a:ln>
                      <a:noFill/>
                    </a:ln>
                  </pic:spPr>
                </pic:pic>
              </a:graphicData>
            </a:graphic>
          </wp:inline>
        </w:drawing>
      </w:r>
    </w:p>
    <w:p w14:paraId="5E5B27A0" w14:textId="77777777" w:rsidR="007E0169" w:rsidRPr="00EE0E12" w:rsidRDefault="007E0169" w:rsidP="00C723F1">
      <w:pPr>
        <w:pStyle w:val="Caption"/>
        <w:spacing w:before="0" w:after="0" w:line="240" w:lineRule="auto"/>
      </w:pPr>
      <w:bookmarkStart w:id="236" w:name="_Ref412809512"/>
      <w:bookmarkStart w:id="237" w:name="_Toc412812310"/>
      <w:bookmarkStart w:id="238" w:name="_Toc523833992"/>
      <w:r w:rsidRPr="00EE0E12">
        <w:t xml:space="preserve">Figura </w:t>
      </w:r>
      <w:fldSimple w:instr=" SEQ Figura \* ARABIC ">
        <w:r w:rsidR="001C6D6D">
          <w:rPr>
            <w:noProof/>
          </w:rPr>
          <w:t>27</w:t>
        </w:r>
      </w:fldSimple>
      <w:bookmarkEnd w:id="236"/>
      <w:r w:rsidRPr="00EE0E12">
        <w:t xml:space="preserve">: Alternativas para aplicação de dispersantes e monitoramento das operações (Fonte: Adaptado de </w:t>
      </w:r>
      <w:r w:rsidRPr="00EE0E12">
        <w:rPr>
          <w:i/>
        </w:rPr>
        <w:t>Spill Tactics for Alaska Responders</w:t>
      </w:r>
      <w:r w:rsidRPr="00EE0E12">
        <w:t>, 2014).</w:t>
      </w:r>
      <w:bookmarkEnd w:id="237"/>
      <w:bookmarkEnd w:id="238"/>
    </w:p>
    <w:p w14:paraId="6A0C0149" w14:textId="77777777" w:rsidR="007E0169" w:rsidRPr="00EE0E12" w:rsidRDefault="007E0169" w:rsidP="00723A97">
      <w:pPr>
        <w:pStyle w:val="tier1Itext"/>
      </w:pPr>
    </w:p>
    <w:p w14:paraId="699A3764" w14:textId="77777777" w:rsidR="007E0169" w:rsidRPr="00EE0E12" w:rsidRDefault="007E0169" w:rsidP="00C723F1">
      <w:pPr>
        <w:pStyle w:val="tier1Itext"/>
        <w:spacing w:before="0" w:after="0" w:line="240" w:lineRule="auto"/>
        <w:jc w:val="center"/>
      </w:pPr>
      <w:r w:rsidRPr="00EE0E12">
        <w:rPr>
          <w:noProof/>
          <w:lang w:val="en-US"/>
        </w:rPr>
        <w:drawing>
          <wp:inline distT="0" distB="0" distL="0" distR="0" wp14:anchorId="37CB6A74" wp14:editId="11BFAAA7">
            <wp:extent cx="5133600" cy="347400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 Aerial Application PT.jpg"/>
                    <pic:cNvPicPr/>
                  </pic:nvPicPr>
                  <pic:blipFill>
                    <a:blip r:embed="rId75">
                      <a:extLst>
                        <a:ext uri="{28A0092B-C50C-407E-A947-70E740481C1C}">
                          <a14:useLocalDpi xmlns:a14="http://schemas.microsoft.com/office/drawing/2010/main" val="0"/>
                        </a:ext>
                      </a:extLst>
                    </a:blip>
                    <a:stretch>
                      <a:fillRect/>
                    </a:stretch>
                  </pic:blipFill>
                  <pic:spPr>
                    <a:xfrm>
                      <a:off x="0" y="0"/>
                      <a:ext cx="5133600" cy="3474000"/>
                    </a:xfrm>
                    <a:prstGeom prst="rect">
                      <a:avLst/>
                    </a:prstGeom>
                  </pic:spPr>
                </pic:pic>
              </a:graphicData>
            </a:graphic>
          </wp:inline>
        </w:drawing>
      </w:r>
    </w:p>
    <w:p w14:paraId="5C4BEA6B" w14:textId="4903D540" w:rsidR="007E0169" w:rsidRPr="00EE0E12" w:rsidRDefault="007E0169" w:rsidP="00C723F1">
      <w:pPr>
        <w:pStyle w:val="Caption"/>
        <w:spacing w:before="0" w:after="0" w:line="240" w:lineRule="auto"/>
      </w:pPr>
      <w:bookmarkStart w:id="239" w:name="_Ref412809514"/>
      <w:bookmarkStart w:id="240" w:name="_Toc412812311"/>
      <w:bookmarkStart w:id="241" w:name="_Toc523833993"/>
      <w:r w:rsidRPr="00EE0E12">
        <w:t xml:space="preserve">Figura </w:t>
      </w:r>
      <w:fldSimple w:instr=" SEQ Figura \* ARABIC ">
        <w:r w:rsidR="001C6D6D">
          <w:rPr>
            <w:noProof/>
          </w:rPr>
          <w:t>28</w:t>
        </w:r>
      </w:fldSimple>
      <w:bookmarkEnd w:id="239"/>
      <w:r w:rsidRPr="00EE0E12">
        <w:t xml:space="preserve">: Esquema de aplicação aérea de dispersantes com aeronaves </w:t>
      </w:r>
      <w:r w:rsidRPr="006D3DFB">
        <w:t>de asa fixa</w:t>
      </w:r>
      <w:r w:rsidR="00605F99" w:rsidRPr="006D3DFB">
        <w:t xml:space="preserve"> </w:t>
      </w:r>
      <w:r w:rsidR="00605F99" w:rsidRPr="006D3DFB">
        <w:rPr>
          <w:szCs w:val="20"/>
        </w:rPr>
        <w:t xml:space="preserve">(Fonte: </w:t>
      </w:r>
      <w:r w:rsidR="008779FC" w:rsidRPr="006D3DFB">
        <w:rPr>
          <w:szCs w:val="20"/>
        </w:rPr>
        <w:t>Modificado a partir d</w:t>
      </w:r>
      <w:r w:rsidR="006D3DFB">
        <w:rPr>
          <w:szCs w:val="20"/>
        </w:rPr>
        <w:t>o</w:t>
      </w:r>
      <w:r w:rsidR="008779FC" w:rsidRPr="006D3DFB">
        <w:rPr>
          <w:szCs w:val="20"/>
        </w:rPr>
        <w:t xml:space="preserve"> original em BP, 2012</w:t>
      </w:r>
      <w:r w:rsidR="00605F99" w:rsidRPr="006D3DFB">
        <w:rPr>
          <w:szCs w:val="20"/>
        </w:rPr>
        <w:t>)</w:t>
      </w:r>
      <w:r w:rsidRPr="006D3DFB">
        <w:t>.</w:t>
      </w:r>
      <w:bookmarkEnd w:id="240"/>
      <w:bookmarkEnd w:id="241"/>
    </w:p>
    <w:p w14:paraId="676CE4B5" w14:textId="77777777" w:rsidR="007E0169" w:rsidRPr="00EE0E12" w:rsidRDefault="007E0169" w:rsidP="00C723F1">
      <w:pPr>
        <w:pStyle w:val="tier1Itext"/>
        <w:spacing w:before="360"/>
      </w:pPr>
      <w:r w:rsidRPr="00EE0E12">
        <w:t>As direção e intensidade do vento deverão ser continuamente monitoradas durante a aplicação de dispersantes via aérea ou marítima, a fim de propiciar condições adequadas de pulverização e uma melhor relação de contato óleo/dispersante.</w:t>
      </w:r>
    </w:p>
    <w:p w14:paraId="578EEBCA" w14:textId="77777777" w:rsidR="007E0169" w:rsidRPr="00C723F1" w:rsidRDefault="007E0169" w:rsidP="003D0FC9">
      <w:pPr>
        <w:keepNext/>
        <w:keepLines/>
        <w:spacing w:after="240"/>
        <w:rPr>
          <w:rFonts w:asciiTheme="majorHAnsi" w:hAnsiTheme="majorHAnsi" w:cstheme="majorHAnsi"/>
          <w:b/>
        </w:rPr>
      </w:pPr>
      <w:r w:rsidRPr="00C723F1">
        <w:rPr>
          <w:rFonts w:asciiTheme="majorHAnsi" w:hAnsiTheme="majorHAnsi" w:cstheme="majorHAnsi"/>
          <w:b/>
        </w:rPr>
        <w:lastRenderedPageBreak/>
        <w:t>Limitações</w:t>
      </w:r>
    </w:p>
    <w:p w14:paraId="20F87DC6" w14:textId="77777777" w:rsidR="007E0169" w:rsidRPr="00EE0E12" w:rsidRDefault="007E0169" w:rsidP="000329A6">
      <w:pPr>
        <w:pStyle w:val="tier1Itext"/>
      </w:pPr>
      <w:r w:rsidRPr="00EE0E12">
        <w:t>Esta estratégia é eficaz com óleo que tenham grau API de 10 a 45 (classes II, III e IV</w:t>
      </w:r>
      <w:r w:rsidRPr="00EE0E12">
        <w:rPr>
          <w:rStyle w:val="FootnoteReference"/>
          <w:rFonts w:cstheme="majorHAnsi"/>
        </w:rPr>
        <w:footnoteReference w:id="42"/>
      </w:r>
      <w:r w:rsidRPr="00EE0E12">
        <w:t>).</w:t>
      </w:r>
    </w:p>
    <w:p w14:paraId="77FDE327" w14:textId="77777777" w:rsidR="007E0169" w:rsidRPr="00EE0E12" w:rsidRDefault="007E0169" w:rsidP="000329A6">
      <w:pPr>
        <w:pStyle w:val="tier1Itext"/>
      </w:pPr>
      <w:r w:rsidRPr="00EE0E12">
        <w:t xml:space="preserve">Todas as operações de </w:t>
      </w:r>
      <w:r w:rsidR="008779FC" w:rsidRPr="00EE0E12">
        <w:t>v</w:t>
      </w:r>
      <w:r w:rsidR="008779FC">
        <w:t>ô</w:t>
      </w:r>
      <w:r w:rsidR="008779FC" w:rsidRPr="00EE0E12">
        <w:t xml:space="preserve">o </w:t>
      </w:r>
      <w:r w:rsidRPr="00EE0E12">
        <w:t xml:space="preserve">devem ser realizadas de acordo com as normas brasileiras. Todas as aeronaves utilizadas para a aplicação do dispersante químico deverão ser cuidadosamente escolhidas para a operação. Planos de </w:t>
      </w:r>
      <w:r w:rsidR="008779FC" w:rsidRPr="00EE0E12">
        <w:t>v</w:t>
      </w:r>
      <w:r w:rsidR="008779FC">
        <w:t>ô</w:t>
      </w:r>
      <w:r w:rsidR="008779FC" w:rsidRPr="00EE0E12">
        <w:t xml:space="preserve">o </w:t>
      </w:r>
      <w:r w:rsidRPr="00EE0E12">
        <w:t xml:space="preserve">devem levar em consideração todas as condições meteorológicas relevantes, tais como o vento, visibilidade, tipos de nuvem e altura, a presença ou previsão de presença de precipitação, nevoeiro e estado do mar, não somente na região de aplicação, mas também no aeroporto </w:t>
      </w:r>
      <w:r w:rsidR="000329A6">
        <w:t>de suporte à operação.</w:t>
      </w:r>
    </w:p>
    <w:p w14:paraId="62004148" w14:textId="77777777" w:rsidR="007E0169" w:rsidRPr="00EE0E12" w:rsidRDefault="007E0169" w:rsidP="000329A6">
      <w:pPr>
        <w:pStyle w:val="tier1Itext"/>
      </w:pPr>
      <w:r w:rsidRPr="00EE0E12">
        <w:t>Para operações envolvendo helicópteros, estes devem</w:t>
      </w:r>
      <w:r w:rsidR="009806FD" w:rsidRPr="00EE0E12">
        <w:t xml:space="preserve"> ter capacidade de iç</w:t>
      </w:r>
      <w:r w:rsidRPr="00EE0E12">
        <w:t xml:space="preserve">amento suficiente para </w:t>
      </w:r>
      <w:r w:rsidR="003158C8">
        <w:t>levantar</w:t>
      </w:r>
      <w:r w:rsidR="003158C8" w:rsidRPr="00EE0E12">
        <w:t xml:space="preserve"> </w:t>
      </w:r>
      <w:r w:rsidRPr="00EE0E12">
        <w:t xml:space="preserve">o tanque com o produto e equilibrá-lo. O piloto deverá testar o mecanismo de equilíbrio antes de cada operação. Por razões de segurança, helicópteros bimotores são preferidos, particularmente para operações </w:t>
      </w:r>
      <w:r w:rsidRPr="00EE0E12">
        <w:rPr>
          <w:i/>
        </w:rPr>
        <w:t>offshore</w:t>
      </w:r>
      <w:r w:rsidRPr="00EE0E12">
        <w:t>, pois são mais poderosos do que um monomotor e pode</w:t>
      </w:r>
      <w:r w:rsidR="003158C8">
        <w:t>m</w:t>
      </w:r>
      <w:r w:rsidRPr="00EE0E12">
        <w:t xml:space="preserve"> ganhar altitude mais rapidamente. Além disso, os helicópteros devem estar equipados com </w:t>
      </w:r>
      <w:r w:rsidR="003158C8" w:rsidRPr="00EE0E12">
        <w:t>b</w:t>
      </w:r>
      <w:r w:rsidR="003158C8">
        <w:t>ó</w:t>
      </w:r>
      <w:r w:rsidR="003158C8" w:rsidRPr="00EE0E12">
        <w:t xml:space="preserve">ias </w:t>
      </w:r>
      <w:r w:rsidRPr="00EE0E12">
        <w:t xml:space="preserve">para um pouso de emergência na água, se necessário. O helicóptero deve cumprir todos os procedimentos relevantes de manutenção de </w:t>
      </w:r>
      <w:r w:rsidR="003158C8" w:rsidRPr="00EE0E12">
        <w:t>v</w:t>
      </w:r>
      <w:r w:rsidR="003158C8">
        <w:t>ô</w:t>
      </w:r>
      <w:r w:rsidR="003158C8" w:rsidRPr="00EE0E12">
        <w:t xml:space="preserve">os </w:t>
      </w:r>
      <w:r w:rsidRPr="00EE0E12">
        <w:t xml:space="preserve">rotineiros e da operação a ser realizada. Quando da consideração de utilizar-se o serviço de um helicóptero, recomenda-se que a capacidade operacional da aeronave e sua adequação para o uso deva ser discutida previamente com o piloto e/ou o operador da aeronave, bem como </w:t>
      </w:r>
      <w:r w:rsidR="003158C8">
        <w:t xml:space="preserve">ela </w:t>
      </w:r>
      <w:r w:rsidRPr="00EE0E12">
        <w:t xml:space="preserve">ser validada pela Autoridade Técnica de </w:t>
      </w:r>
      <w:r w:rsidR="000329A6">
        <w:t>Aviação da BP Energy.</w:t>
      </w:r>
    </w:p>
    <w:p w14:paraId="3ED55992" w14:textId="77777777" w:rsidR="007E0169" w:rsidRPr="003D0FC9" w:rsidRDefault="007E0169" w:rsidP="003D0FC9">
      <w:pPr>
        <w:keepNext/>
        <w:keepLines/>
        <w:spacing w:after="240"/>
        <w:rPr>
          <w:rFonts w:asciiTheme="majorHAnsi" w:hAnsiTheme="majorHAnsi" w:cstheme="majorHAnsi"/>
          <w:b/>
        </w:rPr>
      </w:pPr>
      <w:r w:rsidRPr="003D0FC9">
        <w:rPr>
          <w:rFonts w:asciiTheme="majorHAnsi" w:hAnsiTheme="majorHAnsi" w:cstheme="majorHAnsi"/>
          <w:b/>
        </w:rPr>
        <w:t>Considerações com a Segurança</w:t>
      </w:r>
    </w:p>
    <w:p w14:paraId="19DA1DE4" w14:textId="77777777" w:rsidR="007E0169" w:rsidRPr="00EE0E12" w:rsidRDefault="007E0169" w:rsidP="003D0FC9">
      <w:pPr>
        <w:pStyle w:val="tier1Itext"/>
      </w:pPr>
      <w:r w:rsidRPr="00EE0E12">
        <w:t xml:space="preserve">Somente o piloto e o co-piloto ou outra pessoa (caso necessária para a ativação da aplicação) deve estar no helicóptero durante a operação e todos deverão usar equipamentos de segurança adequados e de salvatagem. Durante as operações perto da costa, no mar e com ventos contra falésias e encostas, os procedimentos devem ser cuidadosamente considerados. Em caso de dificuldade mecânica, locais de aterrissagem de emergência para o helicóptero devem ser identificados com antecedência no Plano de </w:t>
      </w:r>
      <w:r w:rsidR="003158C8" w:rsidRPr="00EE0E12">
        <w:t>V</w:t>
      </w:r>
      <w:r w:rsidR="003158C8">
        <w:t>ô</w:t>
      </w:r>
      <w:r w:rsidR="003158C8" w:rsidRPr="00EE0E12">
        <w:t xml:space="preserve">o </w:t>
      </w:r>
      <w:r w:rsidRPr="00EE0E12">
        <w:t>e no ICS 204 para a ativida</w:t>
      </w:r>
      <w:r w:rsidR="003D0FC9">
        <w:t>de.</w:t>
      </w:r>
    </w:p>
    <w:p w14:paraId="5FB98439" w14:textId="77777777" w:rsidR="007E0169" w:rsidRPr="00EE0E12" w:rsidRDefault="007E0169" w:rsidP="003D0FC9">
      <w:pPr>
        <w:pStyle w:val="tier1Itext"/>
      </w:pPr>
      <w:r w:rsidRPr="00EE0E12">
        <w:lastRenderedPageBreak/>
        <w:t xml:space="preserve">Devem ser minimizadas as possibilidades de exposição de pessoas e organismos à aplicação do dispersante. Desta forma, ressalta-se a função de avaliação prévia da área a ser dispersada pela aeronave </w:t>
      </w:r>
      <w:r w:rsidRPr="00EE0E12">
        <w:rPr>
          <w:i/>
        </w:rPr>
        <w:t>spotter</w:t>
      </w:r>
      <w:r w:rsidRPr="00EE0E12">
        <w:t xml:space="preserve"> e a comunicação do planejamento da operação com as outras atividades em curso na região, para que sejam alertadas a se afastar (SIMOPS). Ainda assim, aplicações planejadas e com a aeronave em curso podem ser interrompidas por comando do </w:t>
      </w:r>
      <w:r w:rsidRPr="00EE0E12">
        <w:rPr>
          <w:i/>
        </w:rPr>
        <w:t>spotter</w:t>
      </w:r>
      <w:r w:rsidRPr="00EE0E12">
        <w:t>, uma vez que as condições de isolamento da área da mancha não se confirmem localme</w:t>
      </w:r>
      <w:r w:rsidR="003D0FC9">
        <w:t>nte no momento desta aplicação.</w:t>
      </w:r>
    </w:p>
    <w:p w14:paraId="6B127B16" w14:textId="77777777" w:rsidR="007E0169" w:rsidRPr="00EE0E12" w:rsidRDefault="007E0169" w:rsidP="003D0FC9">
      <w:pPr>
        <w:pStyle w:val="tier1Itext"/>
      </w:pPr>
      <w:r w:rsidRPr="00EE0E12">
        <w:t xml:space="preserve">Os recursos disponíveis para operacionalização da estratégia de dispersão química estão resumidos na </w:t>
      </w:r>
      <w:r w:rsidRPr="00EE0E12">
        <w:rPr>
          <w:b/>
        </w:rPr>
        <w:fldChar w:fldCharType="begin"/>
      </w:r>
      <w:r w:rsidRPr="00EE0E12">
        <w:rPr>
          <w:b/>
        </w:rPr>
        <w:instrText xml:space="preserve"> REF _Ref411453109 \h  \* MERGEFORMAT </w:instrText>
      </w:r>
      <w:r w:rsidRPr="00EE0E12">
        <w:rPr>
          <w:b/>
        </w:rPr>
      </w:r>
      <w:r w:rsidRPr="00EE0E12">
        <w:rPr>
          <w:b/>
        </w:rPr>
        <w:fldChar w:fldCharType="separate"/>
      </w:r>
      <w:r w:rsidR="001C6D6D" w:rsidRPr="001C6D6D">
        <w:rPr>
          <w:b/>
          <w:szCs w:val="22"/>
        </w:rPr>
        <w:t xml:space="preserve">Tabela </w:t>
      </w:r>
      <w:r w:rsidR="001C6D6D" w:rsidRPr="001C6D6D">
        <w:rPr>
          <w:b/>
          <w:noProof/>
          <w:szCs w:val="22"/>
        </w:rPr>
        <w:t>16</w:t>
      </w:r>
      <w:r w:rsidRPr="00EE0E12">
        <w:rPr>
          <w:b/>
        </w:rPr>
        <w:fldChar w:fldCharType="end"/>
      </w:r>
      <w:r w:rsidRPr="00EE0E12">
        <w:t>.</w:t>
      </w:r>
    </w:p>
    <w:tbl>
      <w:tblPr>
        <w:tblStyle w:val="Ocean"/>
        <w:tblW w:w="5000" w:type="pct"/>
        <w:tblBorders>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2906"/>
        <w:gridCol w:w="1650"/>
        <w:gridCol w:w="1665"/>
        <w:gridCol w:w="2849"/>
      </w:tblGrid>
      <w:tr w:rsidR="007E0169" w:rsidRPr="003D0FC9" w14:paraId="53DC1E77" w14:textId="77777777" w:rsidTr="003D0FC9">
        <w:trPr>
          <w:cnfStyle w:val="100000000000" w:firstRow="1" w:lastRow="0" w:firstColumn="0" w:lastColumn="0" w:oddVBand="0" w:evenVBand="0" w:oddHBand="0" w:evenHBand="0" w:firstRowFirstColumn="0" w:firstRowLastColumn="0" w:lastRowFirstColumn="0" w:lastRowLastColumn="0"/>
          <w:trHeight w:val="340"/>
          <w:tblHeader/>
        </w:trPr>
        <w:tc>
          <w:tcPr>
            <w:tcW w:w="5000" w:type="pct"/>
            <w:gridSpan w:val="4"/>
            <w:shd w:val="clear" w:color="auto" w:fill="FFFFFF" w:themeFill="background1"/>
            <w:vAlign w:val="bottom"/>
          </w:tcPr>
          <w:p w14:paraId="3F08E8EA" w14:textId="77777777" w:rsidR="007E0169" w:rsidRPr="003D0FC9" w:rsidRDefault="007E0169" w:rsidP="003D0FC9">
            <w:pPr>
              <w:tabs>
                <w:tab w:val="left" w:pos="5529"/>
              </w:tabs>
              <w:spacing w:before="0" w:line="240" w:lineRule="auto"/>
              <w:jc w:val="left"/>
              <w:rPr>
                <w:rFonts w:asciiTheme="majorHAnsi" w:hAnsiTheme="majorHAnsi"/>
                <w:noProof/>
                <w:color w:val="auto"/>
                <w:sz w:val="20"/>
                <w:szCs w:val="20"/>
              </w:rPr>
            </w:pPr>
            <w:bookmarkStart w:id="242" w:name="_Ref411453109"/>
            <w:bookmarkStart w:id="243" w:name="_Toc412812276"/>
            <w:bookmarkStart w:id="244" w:name="_Toc523834048"/>
            <w:r w:rsidRPr="003D0FC9">
              <w:rPr>
                <w:rFonts w:asciiTheme="majorHAnsi" w:hAnsiTheme="majorHAnsi"/>
                <w:color w:val="auto"/>
                <w:sz w:val="20"/>
                <w:szCs w:val="20"/>
              </w:rPr>
              <w:t xml:space="preserve">Tabela </w:t>
            </w:r>
            <w:r w:rsidRPr="003D0FC9">
              <w:rPr>
                <w:rFonts w:asciiTheme="majorHAnsi" w:hAnsiTheme="majorHAnsi"/>
                <w:sz w:val="20"/>
                <w:szCs w:val="20"/>
              </w:rPr>
              <w:fldChar w:fldCharType="begin"/>
            </w:r>
            <w:r w:rsidRPr="003D0FC9">
              <w:rPr>
                <w:rFonts w:asciiTheme="majorHAnsi" w:hAnsiTheme="majorHAnsi"/>
                <w:color w:val="auto"/>
                <w:sz w:val="20"/>
                <w:szCs w:val="20"/>
              </w:rPr>
              <w:instrText xml:space="preserve"> SEQ Tabela \* ARABIC </w:instrText>
            </w:r>
            <w:r w:rsidRPr="003D0FC9">
              <w:rPr>
                <w:rFonts w:asciiTheme="majorHAnsi" w:hAnsiTheme="majorHAnsi"/>
                <w:sz w:val="20"/>
                <w:szCs w:val="20"/>
              </w:rPr>
              <w:fldChar w:fldCharType="separate"/>
            </w:r>
            <w:r w:rsidR="001C6D6D">
              <w:rPr>
                <w:rFonts w:asciiTheme="majorHAnsi" w:hAnsiTheme="majorHAnsi"/>
                <w:noProof/>
                <w:color w:val="auto"/>
                <w:sz w:val="20"/>
                <w:szCs w:val="20"/>
              </w:rPr>
              <w:t>16</w:t>
            </w:r>
            <w:r w:rsidRPr="003D0FC9">
              <w:rPr>
                <w:rFonts w:asciiTheme="majorHAnsi" w:hAnsiTheme="majorHAnsi"/>
                <w:sz w:val="20"/>
                <w:szCs w:val="20"/>
              </w:rPr>
              <w:fldChar w:fldCharType="end"/>
            </w:r>
            <w:bookmarkEnd w:id="242"/>
            <w:r w:rsidRPr="003D0FC9">
              <w:rPr>
                <w:rFonts w:asciiTheme="majorHAnsi" w:hAnsiTheme="majorHAnsi"/>
                <w:color w:val="auto"/>
                <w:sz w:val="20"/>
                <w:szCs w:val="20"/>
              </w:rPr>
              <w:t>: Recursos disponíveis para operacionalização da estratégia de dispersão química.</w:t>
            </w:r>
            <w:bookmarkEnd w:id="243"/>
            <w:bookmarkEnd w:id="244"/>
          </w:p>
        </w:tc>
      </w:tr>
      <w:tr w:rsidR="007E0169" w:rsidRPr="003D0FC9" w14:paraId="71654D58" w14:textId="77777777" w:rsidTr="003158C8">
        <w:trPr>
          <w:cnfStyle w:val="100000000000" w:firstRow="1" w:lastRow="0" w:firstColumn="0" w:lastColumn="0" w:oddVBand="0" w:evenVBand="0" w:oddHBand="0" w:evenHBand="0" w:firstRowFirstColumn="0" w:firstRowLastColumn="0" w:lastRowFirstColumn="0" w:lastRowLastColumn="0"/>
          <w:trHeight w:val="567"/>
          <w:tblHeader/>
        </w:trPr>
        <w:tc>
          <w:tcPr>
            <w:tcW w:w="1609" w:type="pct"/>
            <w:shd w:val="clear" w:color="auto" w:fill="1F497D"/>
          </w:tcPr>
          <w:p w14:paraId="3E89A3AE"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Tipo/Nome</w:t>
            </w:r>
          </w:p>
        </w:tc>
        <w:tc>
          <w:tcPr>
            <w:tcW w:w="917" w:type="pct"/>
            <w:shd w:val="clear" w:color="auto" w:fill="1F497D"/>
          </w:tcPr>
          <w:p w14:paraId="41592BFE"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Localização</w:t>
            </w:r>
          </w:p>
        </w:tc>
        <w:tc>
          <w:tcPr>
            <w:tcW w:w="897" w:type="pct"/>
            <w:shd w:val="clear" w:color="auto" w:fill="1F497D"/>
          </w:tcPr>
          <w:p w14:paraId="14F98AB0" w14:textId="77777777" w:rsidR="007E0169" w:rsidRPr="003D0FC9" w:rsidRDefault="007E0169" w:rsidP="003D0FC9">
            <w:pPr>
              <w:tabs>
                <w:tab w:val="left" w:pos="5529"/>
              </w:tabs>
              <w:spacing w:before="0" w:line="240" w:lineRule="auto"/>
              <w:jc w:val="center"/>
              <w:rPr>
                <w:rFonts w:asciiTheme="majorHAnsi" w:hAnsiTheme="majorHAnsi"/>
                <w:b w:val="0"/>
                <w:noProof/>
                <w:sz w:val="20"/>
                <w:szCs w:val="20"/>
              </w:rPr>
            </w:pPr>
            <w:r w:rsidRPr="003D0FC9">
              <w:rPr>
                <w:rFonts w:asciiTheme="majorHAnsi" w:hAnsiTheme="majorHAnsi"/>
                <w:noProof/>
                <w:sz w:val="20"/>
                <w:szCs w:val="20"/>
              </w:rPr>
              <w:t>Tempo para disponibilidade</w:t>
            </w:r>
          </w:p>
        </w:tc>
        <w:tc>
          <w:tcPr>
            <w:tcW w:w="1577" w:type="pct"/>
            <w:shd w:val="clear" w:color="auto" w:fill="1F497D"/>
          </w:tcPr>
          <w:p w14:paraId="444A4C7E" w14:textId="77777777" w:rsidR="007E0169" w:rsidRPr="003D0FC9" w:rsidRDefault="007E0169" w:rsidP="003D0FC9">
            <w:pPr>
              <w:tabs>
                <w:tab w:val="left" w:pos="5529"/>
              </w:tabs>
              <w:spacing w:before="0" w:line="240" w:lineRule="auto"/>
              <w:jc w:val="center"/>
              <w:rPr>
                <w:rFonts w:asciiTheme="majorHAnsi" w:hAnsiTheme="majorHAnsi"/>
                <w:b w:val="0"/>
                <w:noProof/>
                <w:sz w:val="20"/>
                <w:szCs w:val="20"/>
              </w:rPr>
            </w:pPr>
            <w:r w:rsidRPr="003D0FC9">
              <w:rPr>
                <w:rFonts w:asciiTheme="majorHAnsi" w:hAnsiTheme="majorHAnsi"/>
                <w:noProof/>
                <w:sz w:val="20"/>
                <w:szCs w:val="20"/>
              </w:rPr>
              <w:t>Recursos para Dispersão Química</w:t>
            </w:r>
          </w:p>
        </w:tc>
      </w:tr>
      <w:tr w:rsidR="007E0169" w:rsidRPr="003D0FC9" w14:paraId="5EFF28C9" w14:textId="77777777" w:rsidTr="003158C8">
        <w:trPr>
          <w:cnfStyle w:val="000000100000" w:firstRow="0" w:lastRow="0" w:firstColumn="0" w:lastColumn="0" w:oddVBand="0" w:evenVBand="0" w:oddHBand="1" w:evenHBand="0" w:firstRowFirstColumn="0" w:firstRowLastColumn="0" w:lastRowFirstColumn="0" w:lastRowLastColumn="0"/>
          <w:trHeight w:val="567"/>
        </w:trPr>
        <w:tc>
          <w:tcPr>
            <w:tcW w:w="1609" w:type="pct"/>
          </w:tcPr>
          <w:p w14:paraId="5655256C" w14:textId="77777777" w:rsidR="007E0169" w:rsidRPr="003D0FC9" w:rsidRDefault="007E0169" w:rsidP="003D0FC9">
            <w:pPr>
              <w:tabs>
                <w:tab w:val="left" w:pos="5529"/>
              </w:tabs>
              <w:spacing w:before="0" w:line="240" w:lineRule="auto"/>
              <w:rPr>
                <w:rFonts w:asciiTheme="majorHAnsi" w:hAnsiTheme="majorHAnsi"/>
                <w:b/>
                <w:noProof/>
                <w:sz w:val="20"/>
                <w:szCs w:val="20"/>
              </w:rPr>
            </w:pPr>
            <w:r w:rsidRPr="003D0FC9">
              <w:rPr>
                <w:rFonts w:asciiTheme="majorHAnsi" w:hAnsiTheme="majorHAnsi"/>
                <w:b/>
                <w:noProof/>
                <w:sz w:val="20"/>
                <w:szCs w:val="20"/>
              </w:rPr>
              <w:t>OSRV</w:t>
            </w:r>
          </w:p>
        </w:tc>
        <w:tc>
          <w:tcPr>
            <w:tcW w:w="917" w:type="pct"/>
          </w:tcPr>
          <w:p w14:paraId="1B899533" w14:textId="77777777" w:rsidR="007E0169" w:rsidRPr="003D0FC9" w:rsidRDefault="007E0169"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Até 02</w:t>
            </w:r>
            <w:r w:rsidR="003158C8">
              <w:rPr>
                <w:rFonts w:asciiTheme="majorHAnsi" w:hAnsiTheme="majorHAnsi"/>
                <w:noProof/>
                <w:sz w:val="20"/>
                <w:szCs w:val="20"/>
              </w:rPr>
              <w:t xml:space="preserve"> </w:t>
            </w:r>
            <w:r w:rsidRPr="003D0FC9">
              <w:rPr>
                <w:rFonts w:asciiTheme="majorHAnsi" w:hAnsiTheme="majorHAnsi"/>
                <w:noProof/>
                <w:sz w:val="20"/>
                <w:szCs w:val="20"/>
              </w:rPr>
              <w:t>h</w:t>
            </w:r>
            <w:r w:rsidR="003158C8">
              <w:rPr>
                <w:rFonts w:asciiTheme="majorHAnsi" w:hAnsiTheme="majorHAnsi"/>
                <w:noProof/>
                <w:sz w:val="20"/>
                <w:szCs w:val="20"/>
              </w:rPr>
              <w:t>s</w:t>
            </w:r>
            <w:r w:rsidRPr="003D0FC9">
              <w:rPr>
                <w:rFonts w:asciiTheme="majorHAnsi" w:hAnsiTheme="majorHAnsi"/>
                <w:noProof/>
                <w:sz w:val="20"/>
                <w:szCs w:val="20"/>
              </w:rPr>
              <w:t xml:space="preserve"> da locação</w:t>
            </w:r>
          </w:p>
        </w:tc>
        <w:tc>
          <w:tcPr>
            <w:tcW w:w="897" w:type="pct"/>
            <w:shd w:val="clear" w:color="auto" w:fill="FF0000"/>
          </w:tcPr>
          <w:p w14:paraId="082D8DC3" w14:textId="014FE844" w:rsidR="007E0169" w:rsidRPr="006751B7" w:rsidDel="00507734" w:rsidRDefault="007E0169" w:rsidP="006751B7">
            <w:pPr>
              <w:tabs>
                <w:tab w:val="left" w:pos="5529"/>
              </w:tabs>
              <w:spacing w:before="0" w:line="240" w:lineRule="auto"/>
              <w:jc w:val="center"/>
              <w:rPr>
                <w:rFonts w:asciiTheme="majorHAnsi" w:hAnsiTheme="majorHAnsi"/>
                <w:noProof/>
                <w:color w:val="FFFFFF" w:themeColor="background1"/>
                <w:sz w:val="20"/>
                <w:szCs w:val="20"/>
              </w:rPr>
            </w:pPr>
            <w:r w:rsidRPr="006751B7">
              <w:rPr>
                <w:rFonts w:asciiTheme="majorHAnsi" w:hAnsiTheme="majorHAnsi"/>
                <w:noProof/>
                <w:color w:val="FFFFFF" w:themeColor="background1"/>
                <w:sz w:val="20"/>
                <w:szCs w:val="20"/>
              </w:rPr>
              <w:t xml:space="preserve">02 </w:t>
            </w:r>
            <w:r w:rsidR="00AA0B19" w:rsidRPr="006751B7">
              <w:rPr>
                <w:rFonts w:asciiTheme="majorHAnsi" w:hAnsiTheme="majorHAnsi"/>
                <w:noProof/>
                <w:color w:val="FFFFFF" w:themeColor="background1"/>
                <w:sz w:val="20"/>
                <w:szCs w:val="20"/>
              </w:rPr>
              <w:t>/ 06 / 12 h</w:t>
            </w:r>
          </w:p>
        </w:tc>
        <w:tc>
          <w:tcPr>
            <w:tcW w:w="1577" w:type="pct"/>
          </w:tcPr>
          <w:p w14:paraId="56A42936" w14:textId="77777777" w:rsidR="007E0169" w:rsidRPr="003D0FC9" w:rsidRDefault="007E0169"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72CDDF5F" w14:textId="56E2914A" w:rsidR="007E0169" w:rsidRPr="003D0FC9" w:rsidRDefault="007E0169" w:rsidP="001C6D6D">
            <w:pPr>
              <w:tabs>
                <w:tab w:val="left" w:pos="5529"/>
              </w:tabs>
              <w:spacing w:before="0" w:line="240" w:lineRule="auto"/>
              <w:jc w:val="left"/>
              <w:rPr>
                <w:rFonts w:asciiTheme="majorHAnsi" w:eastAsia="Times New Roman" w:hAnsiTheme="majorHAnsi"/>
                <w:noProof/>
                <w:sz w:val="20"/>
                <w:szCs w:val="20"/>
                <w:lang w:eastAsia="en-US"/>
              </w:rPr>
            </w:pPr>
            <w:r w:rsidRPr="003D0FC9">
              <w:rPr>
                <w:rFonts w:asciiTheme="majorHAnsi" w:hAnsiTheme="majorHAnsi"/>
                <w:noProof/>
                <w:sz w:val="20"/>
                <w:szCs w:val="20"/>
              </w:rPr>
              <w:t>0</w:t>
            </w:r>
            <w:r w:rsidR="001C6D6D">
              <w:rPr>
                <w:rFonts w:asciiTheme="majorHAnsi" w:hAnsiTheme="majorHAnsi"/>
                <w:noProof/>
                <w:sz w:val="20"/>
                <w:szCs w:val="20"/>
              </w:rPr>
              <w:t>4</w:t>
            </w:r>
            <w:r w:rsidRPr="003D0FC9">
              <w:rPr>
                <w:rFonts w:asciiTheme="majorHAnsi" w:hAnsiTheme="majorHAnsi"/>
                <w:noProof/>
                <w:sz w:val="20"/>
                <w:szCs w:val="20"/>
              </w:rPr>
              <w:t xml:space="preserve"> m</w:t>
            </w:r>
            <w:r w:rsidRPr="003D0FC9">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7E0169" w:rsidRPr="003D0FC9" w14:paraId="004B29E9" w14:textId="77777777" w:rsidTr="003158C8">
        <w:trPr>
          <w:cnfStyle w:val="000000010000" w:firstRow="0" w:lastRow="0" w:firstColumn="0" w:lastColumn="0" w:oddVBand="0" w:evenVBand="0" w:oddHBand="0" w:evenHBand="1" w:firstRowFirstColumn="0" w:firstRowLastColumn="0" w:lastRowFirstColumn="0" w:lastRowLastColumn="0"/>
          <w:trHeight w:val="567"/>
        </w:trPr>
        <w:tc>
          <w:tcPr>
            <w:tcW w:w="1609" w:type="pct"/>
          </w:tcPr>
          <w:p w14:paraId="743EA731" w14:textId="77777777" w:rsidR="007E0169" w:rsidRPr="003D0FC9" w:rsidRDefault="007E0169" w:rsidP="003D0FC9">
            <w:pPr>
              <w:tabs>
                <w:tab w:val="left" w:pos="5529"/>
              </w:tabs>
              <w:spacing w:before="0" w:line="240" w:lineRule="auto"/>
              <w:rPr>
                <w:rFonts w:asciiTheme="majorHAnsi" w:hAnsiTheme="majorHAnsi"/>
                <w:b/>
                <w:i/>
                <w:noProof/>
                <w:sz w:val="20"/>
                <w:szCs w:val="20"/>
              </w:rPr>
            </w:pPr>
            <w:r w:rsidRPr="003D0FC9">
              <w:rPr>
                <w:rFonts w:asciiTheme="majorHAnsi" w:hAnsiTheme="majorHAnsi"/>
                <w:b/>
                <w:noProof/>
                <w:sz w:val="20"/>
                <w:szCs w:val="20"/>
              </w:rPr>
              <w:t>PSV 01</w:t>
            </w:r>
          </w:p>
        </w:tc>
        <w:tc>
          <w:tcPr>
            <w:tcW w:w="917" w:type="pct"/>
          </w:tcPr>
          <w:p w14:paraId="22A0E58F" w14:textId="77777777" w:rsidR="007E0169" w:rsidRPr="003D0FC9" w:rsidRDefault="007E0169" w:rsidP="003158C8">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 xml:space="preserve">Até </w:t>
            </w:r>
            <w:r w:rsidR="003158C8">
              <w:rPr>
                <w:rFonts w:asciiTheme="majorHAnsi" w:hAnsiTheme="majorHAnsi"/>
                <w:noProof/>
                <w:sz w:val="20"/>
                <w:szCs w:val="20"/>
              </w:rPr>
              <w:t xml:space="preserve">36 </w:t>
            </w:r>
            <w:r w:rsidR="003158C8" w:rsidRPr="003D0FC9">
              <w:rPr>
                <w:rFonts w:asciiTheme="majorHAnsi" w:hAnsiTheme="majorHAnsi"/>
                <w:noProof/>
                <w:sz w:val="20"/>
                <w:szCs w:val="20"/>
              </w:rPr>
              <w:t>h</w:t>
            </w:r>
            <w:r w:rsidR="003158C8">
              <w:rPr>
                <w:rFonts w:asciiTheme="majorHAnsi" w:hAnsiTheme="majorHAnsi"/>
                <w:noProof/>
                <w:sz w:val="20"/>
                <w:szCs w:val="20"/>
              </w:rPr>
              <w:t>s</w:t>
            </w:r>
            <w:r w:rsidR="003158C8" w:rsidRPr="003D0FC9">
              <w:rPr>
                <w:rFonts w:asciiTheme="majorHAnsi" w:hAnsiTheme="majorHAnsi"/>
                <w:noProof/>
                <w:sz w:val="20"/>
                <w:szCs w:val="20"/>
              </w:rPr>
              <w:t xml:space="preserve"> </w:t>
            </w:r>
            <w:r w:rsidRPr="003D0FC9">
              <w:rPr>
                <w:rFonts w:asciiTheme="majorHAnsi" w:hAnsiTheme="majorHAnsi"/>
                <w:noProof/>
                <w:sz w:val="20"/>
                <w:szCs w:val="20"/>
              </w:rPr>
              <w:t>da locação</w:t>
            </w:r>
          </w:p>
        </w:tc>
        <w:tc>
          <w:tcPr>
            <w:tcW w:w="897" w:type="pct"/>
            <w:shd w:val="clear" w:color="auto" w:fill="FFC000"/>
          </w:tcPr>
          <w:p w14:paraId="11936203" w14:textId="77777777" w:rsidR="007E0169" w:rsidRPr="003D0FC9" w:rsidRDefault="00AA0B19" w:rsidP="003D0FC9">
            <w:pPr>
              <w:tabs>
                <w:tab w:val="left" w:pos="5529"/>
              </w:tabs>
              <w:spacing w:before="0" w:line="240" w:lineRule="auto"/>
              <w:jc w:val="center"/>
              <w:rPr>
                <w:rFonts w:asciiTheme="majorHAnsi" w:hAnsiTheme="majorHAnsi"/>
                <w:noProof/>
                <w:color w:val="FFFFFF" w:themeColor="background1"/>
                <w:sz w:val="20"/>
                <w:szCs w:val="20"/>
              </w:rPr>
            </w:pPr>
            <w:r w:rsidRPr="00AA0B19">
              <w:rPr>
                <w:rFonts w:asciiTheme="majorHAnsi" w:hAnsiTheme="majorHAnsi"/>
                <w:noProof/>
                <w:sz w:val="20"/>
                <w:szCs w:val="20"/>
              </w:rPr>
              <w:t>36</w:t>
            </w:r>
            <w:r w:rsidR="007E0169" w:rsidRPr="00AA0B19">
              <w:rPr>
                <w:rFonts w:asciiTheme="majorHAnsi" w:hAnsiTheme="majorHAnsi"/>
                <w:noProof/>
                <w:sz w:val="20"/>
                <w:szCs w:val="20"/>
              </w:rPr>
              <w:t xml:space="preserve"> h</w:t>
            </w:r>
          </w:p>
        </w:tc>
        <w:tc>
          <w:tcPr>
            <w:tcW w:w="1577" w:type="pct"/>
          </w:tcPr>
          <w:p w14:paraId="5E23D65E" w14:textId="77777777" w:rsidR="007E0169" w:rsidRPr="003D0FC9" w:rsidRDefault="007E0169"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1FE3C6B7" w14:textId="68A538A3" w:rsidR="007E0169" w:rsidRPr="003D0FC9" w:rsidRDefault="007E0169" w:rsidP="001C6D6D">
            <w:pPr>
              <w:tabs>
                <w:tab w:val="left" w:pos="5529"/>
              </w:tabs>
              <w:spacing w:before="0" w:line="240" w:lineRule="auto"/>
              <w:jc w:val="left"/>
              <w:rPr>
                <w:rFonts w:asciiTheme="majorHAnsi" w:hAnsiTheme="majorHAnsi"/>
                <w:noProof/>
                <w:sz w:val="20"/>
                <w:szCs w:val="20"/>
              </w:rPr>
            </w:pPr>
            <w:r w:rsidRPr="002E3EF1">
              <w:rPr>
                <w:rFonts w:asciiTheme="majorHAnsi" w:hAnsiTheme="majorHAnsi"/>
                <w:noProof/>
                <w:sz w:val="20"/>
                <w:szCs w:val="20"/>
              </w:rPr>
              <w:t>0</w:t>
            </w:r>
            <w:r w:rsidR="001C6D6D">
              <w:rPr>
                <w:rFonts w:asciiTheme="majorHAnsi" w:hAnsiTheme="majorHAnsi"/>
                <w:noProof/>
                <w:sz w:val="20"/>
                <w:szCs w:val="20"/>
              </w:rPr>
              <w:t>4</w:t>
            </w:r>
            <w:r w:rsidRPr="002E3EF1">
              <w:rPr>
                <w:rFonts w:asciiTheme="majorHAnsi" w:hAnsiTheme="majorHAnsi"/>
                <w:noProof/>
                <w:sz w:val="20"/>
                <w:szCs w:val="20"/>
              </w:rPr>
              <w:t xml:space="preserve"> m</w:t>
            </w:r>
            <w:r w:rsidRPr="002E3EF1">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1C6D6D" w:rsidRPr="003D0FC9" w14:paraId="3BD1F721" w14:textId="77777777" w:rsidTr="003158C8">
        <w:trPr>
          <w:cnfStyle w:val="000000100000" w:firstRow="0" w:lastRow="0" w:firstColumn="0" w:lastColumn="0" w:oddVBand="0" w:evenVBand="0" w:oddHBand="1" w:evenHBand="0" w:firstRowFirstColumn="0" w:firstRowLastColumn="0" w:lastRowFirstColumn="0" w:lastRowLastColumn="0"/>
          <w:trHeight w:val="272"/>
        </w:trPr>
        <w:tc>
          <w:tcPr>
            <w:tcW w:w="1609" w:type="pct"/>
          </w:tcPr>
          <w:p w14:paraId="3085AE2D" w14:textId="77777777" w:rsidR="001C6D6D" w:rsidRPr="003D0FC9" w:rsidRDefault="001C6D6D" w:rsidP="003D0FC9">
            <w:pPr>
              <w:tabs>
                <w:tab w:val="left" w:pos="5529"/>
              </w:tabs>
              <w:spacing w:before="0" w:line="240" w:lineRule="auto"/>
              <w:rPr>
                <w:rFonts w:asciiTheme="majorHAnsi" w:hAnsiTheme="majorHAnsi"/>
                <w:b/>
                <w:i/>
                <w:noProof/>
                <w:sz w:val="20"/>
                <w:szCs w:val="20"/>
              </w:rPr>
            </w:pPr>
            <w:r w:rsidRPr="003D0FC9">
              <w:rPr>
                <w:rFonts w:asciiTheme="majorHAnsi" w:hAnsiTheme="majorHAnsi"/>
                <w:b/>
                <w:noProof/>
                <w:sz w:val="20"/>
                <w:szCs w:val="20"/>
              </w:rPr>
              <w:t>PSV 02</w:t>
            </w:r>
          </w:p>
        </w:tc>
        <w:tc>
          <w:tcPr>
            <w:tcW w:w="917" w:type="pct"/>
          </w:tcPr>
          <w:p w14:paraId="1377B83C"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 xml:space="preserve">Entre a locação e a Base de Apoio </w:t>
            </w:r>
            <w:r w:rsidRPr="002E3EF1">
              <w:rPr>
                <w:rFonts w:asciiTheme="majorHAnsi" w:hAnsiTheme="majorHAnsi"/>
                <w:noProof/>
                <w:sz w:val="20"/>
                <w:szCs w:val="20"/>
              </w:rPr>
              <w:t xml:space="preserve">Logistico </w:t>
            </w:r>
            <w:r w:rsidRPr="003D0FC9">
              <w:rPr>
                <w:rFonts w:asciiTheme="majorHAnsi" w:hAnsiTheme="majorHAnsi"/>
                <w:i/>
                <w:noProof/>
                <w:sz w:val="20"/>
                <w:szCs w:val="20"/>
              </w:rPr>
              <w:t>onshore</w:t>
            </w:r>
          </w:p>
        </w:tc>
        <w:tc>
          <w:tcPr>
            <w:tcW w:w="897" w:type="pct"/>
            <w:shd w:val="clear" w:color="auto" w:fill="92D050"/>
          </w:tcPr>
          <w:p w14:paraId="72E39F00"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60 h</w:t>
            </w:r>
          </w:p>
        </w:tc>
        <w:tc>
          <w:tcPr>
            <w:tcW w:w="1577" w:type="pct"/>
          </w:tcPr>
          <w:p w14:paraId="61511485" w14:textId="77777777" w:rsidR="001C6D6D" w:rsidRPr="003D0FC9" w:rsidRDefault="001C6D6D" w:rsidP="00D7095B">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Braços de aplicação de dispersante</w:t>
            </w:r>
          </w:p>
          <w:p w14:paraId="2157AE99" w14:textId="7E8D1D29" w:rsidR="001C6D6D" w:rsidRPr="003D0FC9" w:rsidRDefault="001C6D6D" w:rsidP="003D0FC9">
            <w:pPr>
              <w:tabs>
                <w:tab w:val="left" w:pos="5529"/>
              </w:tabs>
              <w:spacing w:before="0" w:line="240" w:lineRule="auto"/>
              <w:jc w:val="left"/>
              <w:rPr>
                <w:rFonts w:asciiTheme="majorHAnsi" w:hAnsiTheme="majorHAnsi"/>
                <w:b/>
                <w:noProof/>
                <w:sz w:val="20"/>
                <w:szCs w:val="20"/>
              </w:rPr>
            </w:pPr>
            <w:r w:rsidRPr="002E3EF1">
              <w:rPr>
                <w:rFonts w:asciiTheme="majorHAnsi" w:hAnsiTheme="majorHAnsi"/>
                <w:noProof/>
                <w:sz w:val="20"/>
                <w:szCs w:val="20"/>
              </w:rPr>
              <w:t>0</w:t>
            </w:r>
            <w:r>
              <w:rPr>
                <w:rFonts w:asciiTheme="majorHAnsi" w:hAnsiTheme="majorHAnsi"/>
                <w:noProof/>
                <w:sz w:val="20"/>
                <w:szCs w:val="20"/>
              </w:rPr>
              <w:t>4</w:t>
            </w:r>
            <w:r w:rsidRPr="002E3EF1">
              <w:rPr>
                <w:rFonts w:asciiTheme="majorHAnsi" w:hAnsiTheme="majorHAnsi"/>
                <w:noProof/>
                <w:sz w:val="20"/>
                <w:szCs w:val="20"/>
              </w:rPr>
              <w:t xml:space="preserve"> m</w:t>
            </w:r>
            <w:r w:rsidRPr="002E3EF1">
              <w:rPr>
                <w:rFonts w:asciiTheme="majorHAnsi" w:hAnsiTheme="majorHAnsi"/>
                <w:noProof/>
                <w:sz w:val="20"/>
                <w:szCs w:val="20"/>
                <w:vertAlign w:val="superscript"/>
              </w:rPr>
              <w:t>3</w:t>
            </w:r>
            <w:r w:rsidRPr="003D0FC9">
              <w:rPr>
                <w:rFonts w:asciiTheme="majorHAnsi" w:hAnsiTheme="majorHAnsi"/>
                <w:noProof/>
                <w:sz w:val="20"/>
                <w:szCs w:val="20"/>
              </w:rPr>
              <w:t xml:space="preserve"> COREXIT 9500</w:t>
            </w:r>
          </w:p>
        </w:tc>
      </w:tr>
      <w:tr w:rsidR="001C6D6D" w:rsidRPr="003D0FC9" w14:paraId="5F9EC417" w14:textId="77777777" w:rsidTr="003158C8">
        <w:trPr>
          <w:cnfStyle w:val="000000010000" w:firstRow="0" w:lastRow="0" w:firstColumn="0" w:lastColumn="0" w:oddVBand="0" w:evenVBand="0" w:oddHBand="0" w:evenHBand="1" w:firstRowFirstColumn="0" w:firstRowLastColumn="0" w:lastRowFirstColumn="0" w:lastRowLastColumn="0"/>
          <w:trHeight w:val="567"/>
        </w:trPr>
        <w:tc>
          <w:tcPr>
            <w:tcW w:w="1609" w:type="pct"/>
          </w:tcPr>
          <w:p w14:paraId="010274C6" w14:textId="77777777" w:rsidR="001C6D6D" w:rsidRPr="003D0FC9" w:rsidRDefault="001C6D6D" w:rsidP="003D0FC9">
            <w:pPr>
              <w:tabs>
                <w:tab w:val="left" w:pos="5529"/>
              </w:tabs>
              <w:spacing w:before="0" w:line="240" w:lineRule="auto"/>
              <w:rPr>
                <w:rFonts w:asciiTheme="majorHAnsi" w:hAnsiTheme="majorHAnsi"/>
                <w:noProof/>
                <w:sz w:val="20"/>
                <w:szCs w:val="20"/>
              </w:rPr>
            </w:pPr>
            <w:r w:rsidRPr="003D0FC9">
              <w:rPr>
                <w:rFonts w:asciiTheme="majorHAnsi" w:hAnsiTheme="majorHAnsi"/>
                <w:noProof/>
                <w:sz w:val="20"/>
                <w:szCs w:val="20"/>
              </w:rPr>
              <w:t xml:space="preserve">Base de Apoio </w:t>
            </w:r>
            <w:r w:rsidRPr="002E3EF1">
              <w:rPr>
                <w:rFonts w:asciiTheme="majorHAnsi" w:hAnsiTheme="majorHAnsi"/>
                <w:noProof/>
                <w:sz w:val="20"/>
                <w:szCs w:val="20"/>
              </w:rPr>
              <w:t>Logístico</w:t>
            </w:r>
            <w:r w:rsidRPr="003D0FC9">
              <w:rPr>
                <w:rFonts w:asciiTheme="majorHAnsi" w:hAnsiTheme="majorHAnsi"/>
                <w:i/>
                <w:noProof/>
                <w:sz w:val="20"/>
                <w:szCs w:val="20"/>
              </w:rPr>
              <w:t xml:space="preserve"> onshore</w:t>
            </w:r>
          </w:p>
        </w:tc>
        <w:tc>
          <w:tcPr>
            <w:tcW w:w="917" w:type="pct"/>
          </w:tcPr>
          <w:p w14:paraId="564683DB"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Belém</w:t>
            </w:r>
          </w:p>
        </w:tc>
        <w:tc>
          <w:tcPr>
            <w:tcW w:w="897" w:type="pct"/>
            <w:shd w:val="clear" w:color="auto" w:fill="92D050"/>
          </w:tcPr>
          <w:p w14:paraId="6A3D3DAD"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60 hs</w:t>
            </w:r>
          </w:p>
        </w:tc>
        <w:tc>
          <w:tcPr>
            <w:tcW w:w="1577" w:type="pct"/>
          </w:tcPr>
          <w:p w14:paraId="76D48588" w14:textId="7C48F294" w:rsidR="001C6D6D" w:rsidRDefault="001C6D6D" w:rsidP="00D7095B">
            <w:pPr>
              <w:tabs>
                <w:tab w:val="left" w:pos="5529"/>
              </w:tabs>
              <w:spacing w:before="0" w:line="240" w:lineRule="auto"/>
              <w:jc w:val="left"/>
              <w:rPr>
                <w:rFonts w:asciiTheme="majorHAnsi" w:hAnsiTheme="majorHAnsi"/>
                <w:noProof/>
                <w:sz w:val="20"/>
                <w:szCs w:val="20"/>
              </w:rPr>
            </w:pPr>
            <w:r>
              <w:rPr>
                <w:rFonts w:asciiTheme="majorHAnsi" w:hAnsiTheme="majorHAnsi"/>
                <w:noProof/>
                <w:sz w:val="20"/>
                <w:szCs w:val="20"/>
              </w:rPr>
              <w:t>Sistema Neatsweep</w:t>
            </w:r>
          </w:p>
          <w:p w14:paraId="6070BA0F" w14:textId="06A4AEDA" w:rsidR="001C6D6D" w:rsidRPr="003D0FC9" w:rsidRDefault="001C6D6D" w:rsidP="003D0FC9">
            <w:pPr>
              <w:tabs>
                <w:tab w:val="left" w:pos="5529"/>
              </w:tabs>
              <w:spacing w:before="0" w:line="240" w:lineRule="auto"/>
              <w:jc w:val="left"/>
              <w:rPr>
                <w:rFonts w:asciiTheme="majorHAnsi" w:eastAsia="Times New Roman" w:hAnsiTheme="majorHAnsi"/>
                <w:noProof/>
                <w:sz w:val="20"/>
                <w:szCs w:val="20"/>
                <w:lang w:eastAsia="en-US"/>
              </w:rPr>
            </w:pPr>
          </w:p>
        </w:tc>
      </w:tr>
      <w:tr w:rsidR="001C6D6D" w:rsidRPr="003D0FC9" w14:paraId="3514A606" w14:textId="77777777" w:rsidTr="003158C8">
        <w:trPr>
          <w:cnfStyle w:val="000000100000" w:firstRow="0" w:lastRow="0" w:firstColumn="0" w:lastColumn="0" w:oddVBand="0" w:evenVBand="0" w:oddHBand="1" w:evenHBand="0" w:firstRowFirstColumn="0" w:firstRowLastColumn="0" w:lastRowFirstColumn="0" w:lastRowLastColumn="0"/>
          <w:trHeight w:val="567"/>
        </w:trPr>
        <w:tc>
          <w:tcPr>
            <w:tcW w:w="1609" w:type="pct"/>
          </w:tcPr>
          <w:p w14:paraId="68D57CBF" w14:textId="2EACC48B" w:rsidR="001C6D6D" w:rsidRPr="003D0FC9" w:rsidRDefault="001C6D6D" w:rsidP="003D0FC9">
            <w:pPr>
              <w:tabs>
                <w:tab w:val="left" w:pos="5529"/>
              </w:tabs>
              <w:spacing w:before="0" w:line="240" w:lineRule="auto"/>
              <w:rPr>
                <w:rFonts w:asciiTheme="majorHAnsi" w:hAnsiTheme="majorHAnsi"/>
                <w:noProof/>
                <w:sz w:val="20"/>
                <w:szCs w:val="20"/>
                <w:highlight w:val="yellow"/>
              </w:rPr>
            </w:pPr>
            <w:r w:rsidRPr="003D0FC9">
              <w:rPr>
                <w:rFonts w:asciiTheme="majorHAnsi" w:hAnsiTheme="majorHAnsi"/>
                <w:noProof/>
                <w:sz w:val="20"/>
                <w:szCs w:val="20"/>
              </w:rPr>
              <w:t>Recursos da OSRL (humanos e materia</w:t>
            </w:r>
            <w:r>
              <w:rPr>
                <w:rFonts w:asciiTheme="majorHAnsi" w:hAnsiTheme="majorHAnsi"/>
                <w:noProof/>
                <w:sz w:val="20"/>
                <w:szCs w:val="20"/>
              </w:rPr>
              <w:t>is)</w:t>
            </w:r>
          </w:p>
        </w:tc>
        <w:tc>
          <w:tcPr>
            <w:tcW w:w="917" w:type="pct"/>
          </w:tcPr>
          <w:p w14:paraId="611F95C8"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Variável</w:t>
            </w:r>
          </w:p>
        </w:tc>
        <w:tc>
          <w:tcPr>
            <w:tcW w:w="897" w:type="pct"/>
            <w:shd w:val="clear" w:color="auto" w:fill="92D050"/>
          </w:tcPr>
          <w:p w14:paraId="13C2172A" w14:textId="77777777" w:rsidR="001C6D6D" w:rsidRPr="003D0FC9" w:rsidRDefault="001C6D6D" w:rsidP="003D0FC9">
            <w:pPr>
              <w:tabs>
                <w:tab w:val="left" w:pos="5529"/>
              </w:tabs>
              <w:spacing w:before="0" w:line="240" w:lineRule="auto"/>
              <w:jc w:val="center"/>
              <w:rPr>
                <w:rFonts w:asciiTheme="majorHAnsi" w:hAnsiTheme="majorHAnsi"/>
                <w:noProof/>
                <w:sz w:val="20"/>
                <w:szCs w:val="20"/>
              </w:rPr>
            </w:pPr>
            <w:r w:rsidRPr="003D0FC9">
              <w:rPr>
                <w:rFonts w:asciiTheme="majorHAnsi" w:hAnsiTheme="majorHAnsi"/>
                <w:noProof/>
                <w:sz w:val="20"/>
                <w:szCs w:val="20"/>
              </w:rPr>
              <w:t>Variável</w:t>
            </w:r>
          </w:p>
        </w:tc>
        <w:tc>
          <w:tcPr>
            <w:tcW w:w="1577" w:type="pct"/>
          </w:tcPr>
          <w:p w14:paraId="17FF6341" w14:textId="77777777" w:rsidR="001C6D6D" w:rsidRPr="003D0FC9" w:rsidRDefault="001C6D6D"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xml:space="preserve">- </w:t>
            </w:r>
            <w:r>
              <w:rPr>
                <w:rFonts w:asciiTheme="majorHAnsi" w:hAnsiTheme="majorHAnsi"/>
                <w:noProof/>
                <w:sz w:val="20"/>
                <w:szCs w:val="20"/>
              </w:rPr>
              <w:t>S</w:t>
            </w:r>
            <w:r w:rsidRPr="003D0FC9">
              <w:rPr>
                <w:rFonts w:asciiTheme="majorHAnsi" w:hAnsiTheme="majorHAnsi"/>
                <w:noProof/>
                <w:sz w:val="20"/>
                <w:szCs w:val="20"/>
              </w:rPr>
              <w:t>istema para aplicação de dispersantes adaptável em embarcações e aeronaves (asa fixa ou rotativa)</w:t>
            </w:r>
          </w:p>
          <w:p w14:paraId="3B8F628C" w14:textId="77777777" w:rsidR="001C6D6D" w:rsidRPr="003D0FC9" w:rsidRDefault="001C6D6D"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xml:space="preserve">- 500 m³ COREXIT 9500 (no </w:t>
            </w:r>
            <w:r w:rsidRPr="003D0FC9">
              <w:rPr>
                <w:rFonts w:asciiTheme="majorHAnsi" w:hAnsiTheme="majorHAnsi"/>
                <w:i/>
                <w:noProof/>
                <w:sz w:val="20"/>
                <w:szCs w:val="20"/>
              </w:rPr>
              <w:t>Global Dispersant Stockpile</w:t>
            </w:r>
            <w:r w:rsidRPr="003D0FC9">
              <w:rPr>
                <w:rFonts w:asciiTheme="majorHAnsi" w:hAnsiTheme="majorHAnsi"/>
                <w:noProof/>
                <w:sz w:val="20"/>
                <w:szCs w:val="20"/>
              </w:rPr>
              <w:t>, GDS, Brasil)</w:t>
            </w:r>
          </w:p>
          <w:p w14:paraId="06C4559A" w14:textId="77777777" w:rsidR="001C6D6D" w:rsidRPr="003D0FC9" w:rsidRDefault="001C6D6D" w:rsidP="003D0FC9">
            <w:pPr>
              <w:tabs>
                <w:tab w:val="left" w:pos="5529"/>
              </w:tabs>
              <w:spacing w:before="0" w:line="240" w:lineRule="auto"/>
              <w:jc w:val="left"/>
              <w:rPr>
                <w:rFonts w:asciiTheme="majorHAnsi" w:hAnsiTheme="majorHAnsi"/>
                <w:noProof/>
                <w:sz w:val="20"/>
                <w:szCs w:val="20"/>
              </w:rPr>
            </w:pPr>
            <w:r w:rsidRPr="003D0FC9">
              <w:rPr>
                <w:rFonts w:asciiTheme="majorHAnsi" w:hAnsiTheme="majorHAnsi"/>
                <w:noProof/>
                <w:sz w:val="20"/>
                <w:szCs w:val="20"/>
              </w:rPr>
              <w:t>- Especialista técnico</w:t>
            </w:r>
          </w:p>
        </w:tc>
      </w:tr>
    </w:tbl>
    <w:p w14:paraId="74320D0B" w14:textId="77777777" w:rsidR="00CF77CE" w:rsidRPr="001C6D6D" w:rsidRDefault="00CF77CE" w:rsidP="006F18B8">
      <w:pPr>
        <w:pStyle w:val="Heading3"/>
        <w:ind w:left="1224"/>
        <w:rPr>
          <w:lang w:val="pt-BR"/>
        </w:rPr>
      </w:pPr>
      <w:bookmarkStart w:id="245" w:name="_Toc523833910"/>
      <w:r w:rsidRPr="001C6D6D">
        <w:rPr>
          <w:lang w:val="pt-BR"/>
        </w:rPr>
        <w:t>Aplicação de Dispersantes em Profundidade</w:t>
      </w:r>
      <w:bookmarkEnd w:id="245"/>
    </w:p>
    <w:p w14:paraId="3F2B492B" w14:textId="77777777" w:rsidR="007E0169" w:rsidRPr="00EE0E12" w:rsidRDefault="007E0169" w:rsidP="009D76B8">
      <w:pPr>
        <w:pStyle w:val="tier1Itext"/>
      </w:pPr>
      <w:r w:rsidRPr="00EE0E12">
        <w:t xml:space="preserve">Esta seção estabelece os procedimentos e os recursos necessários para as operações de aplicação de dispersantes químicos em profundidade (junto à fonte submarina de vazamento), inseridos no plano operacional específico do Sistema de </w:t>
      </w:r>
      <w:r w:rsidR="0028055D">
        <w:t>Intervenção</w:t>
      </w:r>
      <w:r w:rsidR="0028055D" w:rsidRPr="00EE0E12">
        <w:t xml:space="preserve"> </w:t>
      </w:r>
      <w:r w:rsidRPr="00EE0E12">
        <w:t>e Coleta (CRS). Esta técnica é essencial quando da consideração de ações de médio prazo para o controle da fonte pois reduz os níveis de VOC na superfície, permitindo operações mais seguras.</w:t>
      </w:r>
    </w:p>
    <w:p w14:paraId="7AA2DF4B" w14:textId="77777777" w:rsidR="007E0169" w:rsidRPr="00EE0E12" w:rsidRDefault="007E0169" w:rsidP="009D76B8">
      <w:pPr>
        <w:pStyle w:val="tier1Itext"/>
      </w:pPr>
      <w:r w:rsidRPr="00EE0E12">
        <w:lastRenderedPageBreak/>
        <w:t>Os membros dos Seções de Operação e Planejamento, bem como o Coordenador da Unidade de RC&amp;E e o Oficial de Segurança serão envolvidos quando da consideração desta técnica, a ser gerenciada em um Grupo específico, que ativará todos os procedimentos e recursos no Plano do CRS.</w:t>
      </w:r>
    </w:p>
    <w:p w14:paraId="555D36EE" w14:textId="351F04FF" w:rsidR="007E0169" w:rsidRPr="00EE0E12" w:rsidRDefault="001C6D6D" w:rsidP="009D76B8">
      <w:pPr>
        <w:pStyle w:val="tier1Itext"/>
      </w:pPr>
      <w:r>
        <w:t>O sistema é apresentado no Plano de CRS e será disposto conforme indicação deste plano</w:t>
      </w:r>
      <w:r w:rsidR="007E0169" w:rsidRPr="00EE0E12">
        <w:t>.</w:t>
      </w:r>
    </w:p>
    <w:p w14:paraId="74113DDF" w14:textId="017382FD" w:rsidR="007E0169" w:rsidRPr="00EE0E12" w:rsidRDefault="007E0169" w:rsidP="009D76B8">
      <w:pPr>
        <w:pStyle w:val="tier1Itext"/>
      </w:pPr>
      <w:r w:rsidRPr="009D76B8">
        <w:rPr>
          <w:szCs w:val="22"/>
        </w:rPr>
        <w:t>A</w:t>
      </w:r>
      <w:r w:rsidRPr="009D76B8">
        <w:rPr>
          <w:b/>
          <w:szCs w:val="22"/>
        </w:rPr>
        <w:t xml:space="preserve"> </w:t>
      </w:r>
      <w:r w:rsidR="009D76B8" w:rsidRPr="009D76B8">
        <w:rPr>
          <w:b/>
          <w:szCs w:val="22"/>
        </w:rPr>
        <w:fldChar w:fldCharType="begin"/>
      </w:r>
      <w:r w:rsidR="009D76B8" w:rsidRPr="009D76B8">
        <w:rPr>
          <w:b/>
          <w:szCs w:val="22"/>
        </w:rPr>
        <w:instrText xml:space="preserve"> REF _Ref414547300 \h  \* MERGEFORMAT </w:instrText>
      </w:r>
      <w:r w:rsidR="009D76B8" w:rsidRPr="009D76B8">
        <w:rPr>
          <w:b/>
          <w:szCs w:val="22"/>
        </w:rPr>
      </w:r>
      <w:r w:rsidR="009D76B8" w:rsidRPr="009D76B8">
        <w:rPr>
          <w:b/>
          <w:szCs w:val="22"/>
        </w:rPr>
        <w:fldChar w:fldCharType="separate"/>
      </w:r>
      <w:r w:rsidR="001C6D6D" w:rsidRPr="001C6D6D">
        <w:rPr>
          <w:b/>
          <w:szCs w:val="22"/>
        </w:rPr>
        <w:t xml:space="preserve">Tabela </w:t>
      </w:r>
      <w:r w:rsidR="001C6D6D" w:rsidRPr="001C6D6D">
        <w:rPr>
          <w:b/>
          <w:noProof/>
          <w:szCs w:val="22"/>
        </w:rPr>
        <w:t>18</w:t>
      </w:r>
      <w:r w:rsidR="009D76B8" w:rsidRPr="009D76B8">
        <w:rPr>
          <w:b/>
          <w:szCs w:val="22"/>
        </w:rPr>
        <w:fldChar w:fldCharType="end"/>
      </w:r>
      <w:r w:rsidRPr="009D76B8">
        <w:rPr>
          <w:b/>
          <w:szCs w:val="22"/>
        </w:rPr>
        <w:t>,</w:t>
      </w:r>
      <w:r w:rsidRPr="009D76B8">
        <w:rPr>
          <w:szCs w:val="22"/>
        </w:rPr>
        <w:t xml:space="preserve"> a seguir, apresenta</w:t>
      </w:r>
      <w:r w:rsidR="001C6D6D">
        <w:rPr>
          <w:szCs w:val="22"/>
        </w:rPr>
        <w:t xml:space="preserve"> </w:t>
      </w:r>
      <w:r w:rsidRPr="009D76B8">
        <w:rPr>
          <w:szCs w:val="22"/>
        </w:rPr>
        <w:t>a descrição dos requisitos específicos</w:t>
      </w:r>
      <w:r w:rsidRPr="00EE0E12">
        <w:t xml:space="preserve"> da embarcação selecionada para a operação de aplicação.</w:t>
      </w: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0A0" w:firstRow="1" w:lastRow="0" w:firstColumn="1" w:lastColumn="0" w:noHBand="0" w:noVBand="0"/>
      </w:tblPr>
      <w:tblGrid>
        <w:gridCol w:w="1349"/>
        <w:gridCol w:w="2068"/>
        <w:gridCol w:w="5623"/>
      </w:tblGrid>
      <w:tr w:rsidR="007E0169" w:rsidRPr="009D76B8" w14:paraId="1FAA2417" w14:textId="77777777" w:rsidTr="009D76B8">
        <w:trPr>
          <w:trHeight w:val="397"/>
        </w:trPr>
        <w:tc>
          <w:tcPr>
            <w:tcW w:w="5000" w:type="pct"/>
            <w:gridSpan w:val="3"/>
            <w:shd w:val="clear" w:color="auto" w:fill="FFFFFF" w:themeFill="background1"/>
            <w:vAlign w:val="bottom"/>
          </w:tcPr>
          <w:p w14:paraId="11A26FDD" w14:textId="77777777" w:rsidR="007E0169" w:rsidRPr="009D76B8" w:rsidRDefault="007E0169" w:rsidP="00AB7C0D">
            <w:pPr>
              <w:pStyle w:val="Caption"/>
              <w:spacing w:before="0" w:after="0" w:line="240" w:lineRule="auto"/>
              <w:jc w:val="left"/>
              <w:rPr>
                <w:color w:val="FFFFFF"/>
                <w:szCs w:val="20"/>
              </w:rPr>
            </w:pPr>
            <w:bookmarkStart w:id="246" w:name="_Ref414547300"/>
            <w:bookmarkStart w:id="247" w:name="_Toc412812278"/>
            <w:bookmarkStart w:id="248" w:name="_Toc523834049"/>
            <w:r w:rsidRPr="009D76B8">
              <w:rPr>
                <w:szCs w:val="20"/>
              </w:rPr>
              <w:t xml:space="preserve">Tabela </w:t>
            </w:r>
            <w:r w:rsidR="0036087F" w:rsidRPr="009D76B8">
              <w:rPr>
                <w:szCs w:val="20"/>
              </w:rPr>
              <w:fldChar w:fldCharType="begin"/>
            </w:r>
            <w:r w:rsidR="0036087F" w:rsidRPr="009D76B8">
              <w:rPr>
                <w:szCs w:val="20"/>
              </w:rPr>
              <w:instrText xml:space="preserve"> SEQ Tabela \* ARABIC </w:instrText>
            </w:r>
            <w:r w:rsidR="0036087F" w:rsidRPr="009D76B8">
              <w:rPr>
                <w:szCs w:val="20"/>
              </w:rPr>
              <w:fldChar w:fldCharType="separate"/>
            </w:r>
            <w:r w:rsidR="001C6D6D">
              <w:rPr>
                <w:noProof/>
                <w:szCs w:val="20"/>
              </w:rPr>
              <w:t>18</w:t>
            </w:r>
            <w:r w:rsidR="0036087F" w:rsidRPr="009D76B8">
              <w:rPr>
                <w:noProof/>
                <w:szCs w:val="20"/>
              </w:rPr>
              <w:fldChar w:fldCharType="end"/>
            </w:r>
            <w:bookmarkEnd w:id="246"/>
            <w:r w:rsidRPr="009D76B8">
              <w:rPr>
                <w:szCs w:val="20"/>
              </w:rPr>
              <w:t xml:space="preserve">: Descrição dos requisitos da embarcação </w:t>
            </w:r>
            <w:r w:rsidR="00AB7C0D">
              <w:rPr>
                <w:szCs w:val="20"/>
              </w:rPr>
              <w:t xml:space="preserve">utilizada na </w:t>
            </w:r>
            <w:r w:rsidRPr="009D76B8">
              <w:rPr>
                <w:szCs w:val="20"/>
              </w:rPr>
              <w:t>aplicação submarina de dispersantes (com recursos de monitoramento)</w:t>
            </w:r>
            <w:bookmarkEnd w:id="247"/>
            <w:r w:rsidR="009D76B8">
              <w:rPr>
                <w:szCs w:val="20"/>
              </w:rPr>
              <w:t>.</w:t>
            </w:r>
            <w:bookmarkEnd w:id="248"/>
          </w:p>
        </w:tc>
      </w:tr>
      <w:tr w:rsidR="007E0169" w:rsidRPr="009D76B8" w14:paraId="753F3493" w14:textId="77777777" w:rsidTr="007E0169">
        <w:tc>
          <w:tcPr>
            <w:tcW w:w="746" w:type="pct"/>
            <w:shd w:val="clear" w:color="auto" w:fill="1F497D"/>
            <w:vAlign w:val="center"/>
          </w:tcPr>
          <w:p w14:paraId="5D373FAD"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Quantidade</w:t>
            </w:r>
          </w:p>
        </w:tc>
        <w:tc>
          <w:tcPr>
            <w:tcW w:w="1144" w:type="pct"/>
            <w:shd w:val="clear" w:color="auto" w:fill="1F497D"/>
            <w:vAlign w:val="center"/>
          </w:tcPr>
          <w:p w14:paraId="2B92A7F7"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Resumo da Descrição</w:t>
            </w:r>
          </w:p>
        </w:tc>
        <w:tc>
          <w:tcPr>
            <w:tcW w:w="3110" w:type="pct"/>
            <w:shd w:val="clear" w:color="auto" w:fill="1F497D"/>
            <w:vAlign w:val="center"/>
          </w:tcPr>
          <w:p w14:paraId="34427996"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b/>
                <w:color w:val="FFFFFF"/>
                <w:sz w:val="20"/>
                <w:szCs w:val="20"/>
              </w:rPr>
              <w:t>Requisitos</w:t>
            </w:r>
          </w:p>
        </w:tc>
      </w:tr>
      <w:tr w:rsidR="007E0169" w:rsidRPr="009D76B8" w14:paraId="1B30FAC2" w14:textId="77777777" w:rsidTr="007E0169">
        <w:tc>
          <w:tcPr>
            <w:tcW w:w="746" w:type="pct"/>
            <w:shd w:val="clear" w:color="auto" w:fill="D9D9D9" w:themeFill="background1" w:themeFillShade="D9"/>
            <w:vAlign w:val="center"/>
          </w:tcPr>
          <w:p w14:paraId="14D0D761" w14:textId="77777777" w:rsidR="007E0169" w:rsidRPr="009D76B8" w:rsidRDefault="007E0169" w:rsidP="009D76B8">
            <w:pPr>
              <w:spacing w:before="0" w:line="240" w:lineRule="auto"/>
              <w:rPr>
                <w:rFonts w:asciiTheme="majorHAnsi" w:hAnsiTheme="majorHAnsi"/>
                <w:sz w:val="20"/>
                <w:szCs w:val="20"/>
              </w:rPr>
            </w:pPr>
            <w:r w:rsidRPr="009D76B8">
              <w:rPr>
                <w:rFonts w:asciiTheme="majorHAnsi" w:hAnsiTheme="majorHAnsi"/>
                <w:sz w:val="20"/>
                <w:szCs w:val="20"/>
              </w:rPr>
              <w:t>1 unid.</w:t>
            </w:r>
          </w:p>
        </w:tc>
        <w:tc>
          <w:tcPr>
            <w:tcW w:w="1144" w:type="pct"/>
            <w:shd w:val="clear" w:color="auto" w:fill="D9D9D9" w:themeFill="background1" w:themeFillShade="D9"/>
            <w:vAlign w:val="center"/>
          </w:tcPr>
          <w:p w14:paraId="2AE34DFA"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sz w:val="20"/>
                <w:szCs w:val="20"/>
              </w:rPr>
              <w:t>Embarcação equipada com sistema de aplicação e dispositivos de monitoramento (fluorímetro e/ou equ</w:t>
            </w:r>
            <w:r w:rsidR="009D76B8">
              <w:rPr>
                <w:rFonts w:asciiTheme="majorHAnsi" w:hAnsiTheme="majorHAnsi"/>
                <w:sz w:val="20"/>
                <w:szCs w:val="20"/>
              </w:rPr>
              <w:t>ipamento de amostragem de água)</w:t>
            </w:r>
          </w:p>
        </w:tc>
        <w:tc>
          <w:tcPr>
            <w:tcW w:w="3110" w:type="pct"/>
            <w:shd w:val="clear" w:color="auto" w:fill="D9D9D9" w:themeFill="background1" w:themeFillShade="D9"/>
            <w:vAlign w:val="center"/>
          </w:tcPr>
          <w:p w14:paraId="6D3329F6" w14:textId="77777777" w:rsidR="007E0169" w:rsidRPr="009D76B8" w:rsidRDefault="007E0169" w:rsidP="009D76B8">
            <w:pPr>
              <w:spacing w:before="0" w:line="240" w:lineRule="auto"/>
              <w:rPr>
                <w:rFonts w:asciiTheme="majorHAnsi" w:hAnsiTheme="majorHAnsi"/>
                <w:sz w:val="20"/>
                <w:szCs w:val="20"/>
              </w:rPr>
            </w:pPr>
            <w:r w:rsidRPr="009D76B8">
              <w:rPr>
                <w:rFonts w:asciiTheme="majorHAnsi" w:hAnsiTheme="majorHAnsi"/>
                <w:sz w:val="20"/>
                <w:szCs w:val="20"/>
              </w:rPr>
              <w:t>Embarcação de aplicação e monitoramento</w:t>
            </w:r>
          </w:p>
          <w:p w14:paraId="5EDDC0C5"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rPr>
            </w:pPr>
            <w:r w:rsidRPr="009D76B8">
              <w:rPr>
                <w:rFonts w:asciiTheme="majorHAnsi" w:hAnsiTheme="majorHAnsi"/>
                <w:lang w:val="pt-BR"/>
              </w:rPr>
              <w:t>Acomodações para 6 operadores do sistema</w:t>
            </w:r>
          </w:p>
          <w:p w14:paraId="7C392FE3"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Guindaste de 5 toneladas ou equivalente </w:t>
            </w:r>
          </w:p>
          <w:p w14:paraId="38EF0E01"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Área de estocagem para 5 a 10 containers de dispersante, cada um com capacidade para 1,25 m</w:t>
            </w:r>
            <w:r w:rsidRPr="009D76B8">
              <w:rPr>
                <w:rFonts w:asciiTheme="majorHAnsi" w:hAnsiTheme="majorHAnsi"/>
                <w:vertAlign w:val="superscript"/>
                <w:lang w:val="pt-BR"/>
              </w:rPr>
              <w:t>3</w:t>
            </w:r>
            <w:r w:rsidRPr="009D76B8">
              <w:rPr>
                <w:rFonts w:asciiTheme="majorHAnsi" w:hAnsiTheme="majorHAnsi"/>
                <w:lang w:val="pt-BR"/>
              </w:rPr>
              <w:t xml:space="preserve"> [330 gals] com dimensões de base de [1,2 m x 1,2 m] e 1.360 Kg [3000 lbs] cada.</w:t>
            </w:r>
            <w:r w:rsidR="00D913B3">
              <w:rPr>
                <w:rFonts w:asciiTheme="majorHAnsi" w:hAnsiTheme="majorHAnsi"/>
                <w:lang w:val="pt-BR"/>
              </w:rPr>
              <w:t xml:space="preserve"> </w:t>
            </w:r>
          </w:p>
          <w:p w14:paraId="45F8FDA0"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Passadiço equipado com dispositivos eletrônicos capazes de suportar a operação de aplicação e monitoramento. </w:t>
            </w:r>
          </w:p>
          <w:p w14:paraId="7C26C4FA"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Capacidade de operar a velocidades de 0,5 a 1,0 nó. </w:t>
            </w:r>
          </w:p>
          <w:p w14:paraId="765FB390"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Capacidade de instalar sistema convencional de aspersão de dispersante superficial a ser instalado próximo à proa da embarcação, com braços de aplicação com bicos de aspersão aproximadamente 1,0 m [3 pés] fora da água.</w:t>
            </w:r>
            <w:r w:rsidRPr="009D76B8">
              <w:rPr>
                <w:rFonts w:asciiTheme="majorHAnsi" w:hAnsiTheme="majorHAnsi" w:cs="Arial"/>
                <w:lang w:val="pt-BR"/>
              </w:rPr>
              <w:t xml:space="preserve"> </w:t>
            </w:r>
          </w:p>
          <w:p w14:paraId="5078882F"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 xml:space="preserve">Capacidade de manter posição (em inglês, </w:t>
            </w:r>
            <w:r w:rsidRPr="009D76B8">
              <w:rPr>
                <w:rFonts w:asciiTheme="majorHAnsi" w:hAnsiTheme="majorHAnsi"/>
                <w:i/>
                <w:lang w:val="pt-BR"/>
              </w:rPr>
              <w:t>Dynamic Position</w:t>
            </w:r>
            <w:r w:rsidRPr="009D76B8">
              <w:rPr>
                <w:rFonts w:asciiTheme="majorHAnsi" w:hAnsiTheme="majorHAnsi"/>
                <w:lang w:val="pt-BR"/>
              </w:rPr>
              <w:t xml:space="preserve"> - DP) e autonomia de, no mínimo, 07 dias no mar.</w:t>
            </w:r>
          </w:p>
          <w:p w14:paraId="3B0D4A11" w14:textId="77777777" w:rsidR="007E0169" w:rsidRPr="009D76B8" w:rsidRDefault="007E0169" w:rsidP="00EA2A77">
            <w:pPr>
              <w:pStyle w:val="ListParagraph1"/>
              <w:numPr>
                <w:ilvl w:val="0"/>
                <w:numId w:val="23"/>
              </w:numPr>
              <w:spacing w:before="0" w:after="0" w:line="240" w:lineRule="auto"/>
              <w:ind w:left="332" w:hanging="284"/>
              <w:jc w:val="both"/>
              <w:rPr>
                <w:rFonts w:asciiTheme="majorHAnsi" w:hAnsiTheme="majorHAnsi"/>
                <w:lang w:val="pt-BR"/>
              </w:rPr>
            </w:pPr>
            <w:r w:rsidRPr="009D76B8">
              <w:rPr>
                <w:rFonts w:asciiTheme="majorHAnsi" w:hAnsiTheme="majorHAnsi"/>
                <w:lang w:val="pt-BR"/>
              </w:rPr>
              <w:t>Espaço disponível de convés para mobilização do sistema de aplicação e dos quantitativos de dispersantes</w:t>
            </w:r>
          </w:p>
          <w:p w14:paraId="07DF4399" w14:textId="77777777" w:rsidR="007E0169" w:rsidRPr="009D76B8" w:rsidRDefault="007E0169" w:rsidP="00EA2A77">
            <w:pPr>
              <w:numPr>
                <w:ilvl w:val="0"/>
                <w:numId w:val="23"/>
              </w:numPr>
              <w:spacing w:before="0" w:line="240" w:lineRule="auto"/>
              <w:ind w:left="332" w:hanging="284"/>
              <w:jc w:val="left"/>
              <w:rPr>
                <w:rFonts w:asciiTheme="majorHAnsi" w:hAnsiTheme="majorHAnsi"/>
                <w:sz w:val="20"/>
                <w:szCs w:val="20"/>
              </w:rPr>
            </w:pPr>
            <w:r w:rsidRPr="009D76B8">
              <w:rPr>
                <w:rFonts w:asciiTheme="majorHAnsi" w:hAnsiTheme="majorHAnsi"/>
                <w:sz w:val="20"/>
                <w:szCs w:val="20"/>
              </w:rPr>
              <w:t xml:space="preserve">Sistemas de rádio VHF (marítimo) e SSB. Conexão por satélite (INMARSAT), alinhados com sistema de comunicação da base de operações. </w:t>
            </w:r>
          </w:p>
        </w:tc>
      </w:tr>
      <w:tr w:rsidR="007E0169" w:rsidRPr="009D76B8" w14:paraId="671B253A" w14:textId="77777777" w:rsidTr="007E0169">
        <w:tc>
          <w:tcPr>
            <w:tcW w:w="746" w:type="pct"/>
            <w:shd w:val="clear" w:color="auto" w:fill="D9D9D9" w:themeFill="background1" w:themeFillShade="D9"/>
            <w:vAlign w:val="center"/>
          </w:tcPr>
          <w:p w14:paraId="4110A477" w14:textId="74F9130D" w:rsidR="007E0169" w:rsidRPr="009D76B8" w:rsidRDefault="001C6D6D" w:rsidP="001C6D6D">
            <w:pPr>
              <w:spacing w:before="0" w:line="240" w:lineRule="auto"/>
              <w:rPr>
                <w:rFonts w:asciiTheme="majorHAnsi" w:hAnsiTheme="majorHAnsi"/>
                <w:sz w:val="20"/>
                <w:szCs w:val="20"/>
              </w:rPr>
            </w:pPr>
            <w:r>
              <w:rPr>
                <w:rFonts w:asciiTheme="majorHAnsi" w:hAnsiTheme="majorHAnsi"/>
                <w:sz w:val="20"/>
                <w:szCs w:val="20"/>
              </w:rPr>
              <w:t>1</w:t>
            </w:r>
            <w:r w:rsidR="007E0169" w:rsidRPr="009D76B8">
              <w:rPr>
                <w:rFonts w:asciiTheme="majorHAnsi" w:hAnsiTheme="majorHAnsi"/>
                <w:sz w:val="20"/>
                <w:szCs w:val="20"/>
              </w:rPr>
              <w:t xml:space="preserve"> unid</w:t>
            </w:r>
          </w:p>
        </w:tc>
        <w:tc>
          <w:tcPr>
            <w:tcW w:w="1144" w:type="pct"/>
            <w:shd w:val="clear" w:color="auto" w:fill="D9D9D9" w:themeFill="background1" w:themeFillShade="D9"/>
            <w:vAlign w:val="center"/>
          </w:tcPr>
          <w:p w14:paraId="368247B7" w14:textId="77777777" w:rsidR="007E0169" w:rsidRPr="009D76B8" w:rsidRDefault="007E0169" w:rsidP="009D76B8">
            <w:pPr>
              <w:spacing w:before="0" w:line="240" w:lineRule="auto"/>
              <w:jc w:val="center"/>
              <w:rPr>
                <w:rFonts w:asciiTheme="majorHAnsi" w:hAnsiTheme="majorHAnsi"/>
                <w:sz w:val="20"/>
                <w:szCs w:val="20"/>
              </w:rPr>
            </w:pPr>
            <w:r w:rsidRPr="009D76B8">
              <w:rPr>
                <w:rFonts w:asciiTheme="majorHAnsi" w:hAnsiTheme="majorHAnsi"/>
                <w:sz w:val="20"/>
                <w:szCs w:val="20"/>
              </w:rPr>
              <w:t>ROV</w:t>
            </w:r>
          </w:p>
        </w:tc>
        <w:tc>
          <w:tcPr>
            <w:tcW w:w="3110" w:type="pct"/>
            <w:shd w:val="clear" w:color="auto" w:fill="D9D9D9" w:themeFill="background1" w:themeFillShade="D9"/>
            <w:vAlign w:val="center"/>
          </w:tcPr>
          <w:p w14:paraId="3F061331" w14:textId="5B23D6E5" w:rsidR="007E0169" w:rsidRPr="009D76B8" w:rsidRDefault="007E0169" w:rsidP="009D76B8">
            <w:pPr>
              <w:keepNext/>
              <w:spacing w:before="0" w:line="240" w:lineRule="auto"/>
              <w:rPr>
                <w:rFonts w:asciiTheme="majorHAnsi" w:hAnsiTheme="majorHAnsi"/>
                <w:sz w:val="20"/>
                <w:szCs w:val="20"/>
              </w:rPr>
            </w:pPr>
            <w:r w:rsidRPr="009D76B8">
              <w:rPr>
                <w:rFonts w:asciiTheme="majorHAnsi" w:hAnsiTheme="majorHAnsi"/>
                <w:sz w:val="20"/>
                <w:szCs w:val="20"/>
              </w:rPr>
              <w:t>Capacidade de mergulho da lâmina d’água local do incidente e afastamento lateral de</w:t>
            </w:r>
            <w:r w:rsidR="00AB7C0D">
              <w:rPr>
                <w:rFonts w:asciiTheme="majorHAnsi" w:hAnsiTheme="majorHAnsi"/>
                <w:sz w:val="20"/>
                <w:szCs w:val="20"/>
              </w:rPr>
              <w:t>,</w:t>
            </w:r>
            <w:r w:rsidRPr="009D76B8">
              <w:rPr>
                <w:rFonts w:asciiTheme="majorHAnsi" w:hAnsiTheme="majorHAnsi"/>
                <w:sz w:val="20"/>
                <w:szCs w:val="20"/>
              </w:rPr>
              <w:t xml:space="preserve"> no mínimo</w:t>
            </w:r>
            <w:r w:rsidR="00AB7C0D">
              <w:rPr>
                <w:rFonts w:asciiTheme="majorHAnsi" w:hAnsiTheme="majorHAnsi"/>
                <w:sz w:val="20"/>
                <w:szCs w:val="20"/>
              </w:rPr>
              <w:t>,</w:t>
            </w:r>
            <w:r w:rsidRPr="009D76B8">
              <w:rPr>
                <w:rFonts w:asciiTheme="majorHAnsi" w:hAnsiTheme="majorHAnsi"/>
                <w:sz w:val="20"/>
                <w:szCs w:val="20"/>
              </w:rPr>
              <w:t xml:space="preserve"> 100</w:t>
            </w:r>
            <w:r w:rsidR="00AB7C0D">
              <w:rPr>
                <w:rFonts w:asciiTheme="majorHAnsi" w:hAnsiTheme="majorHAnsi"/>
                <w:sz w:val="20"/>
                <w:szCs w:val="20"/>
              </w:rPr>
              <w:t xml:space="preserve"> m</w:t>
            </w:r>
            <w:r w:rsidR="00656D39">
              <w:rPr>
                <w:rFonts w:asciiTheme="majorHAnsi" w:hAnsiTheme="majorHAnsi"/>
                <w:sz w:val="20"/>
                <w:szCs w:val="20"/>
              </w:rPr>
              <w:t xml:space="preserve"> </w:t>
            </w:r>
            <w:r w:rsidRPr="009D76B8">
              <w:rPr>
                <w:rFonts w:asciiTheme="majorHAnsi" w:hAnsiTheme="majorHAnsi"/>
                <w:sz w:val="20"/>
                <w:szCs w:val="20"/>
              </w:rPr>
              <w:t>da gaiola, para melhor observação das operações.</w:t>
            </w:r>
          </w:p>
        </w:tc>
      </w:tr>
    </w:tbl>
    <w:p w14:paraId="17700787" w14:textId="77777777" w:rsidR="00290F16" w:rsidRPr="009D01BE" w:rsidRDefault="00290F16" w:rsidP="009D01BE">
      <w:pPr>
        <w:pStyle w:val="Heading2"/>
      </w:pPr>
      <w:bookmarkStart w:id="249" w:name="_Ref414612700"/>
      <w:bookmarkStart w:id="250" w:name="_Ref414612974"/>
      <w:bookmarkStart w:id="251" w:name="_Toc523833911"/>
      <w:r w:rsidRPr="009D01BE">
        <w:t>Procedimentos para Proteção das Populações</w:t>
      </w:r>
      <w:bookmarkEnd w:id="249"/>
      <w:bookmarkEnd w:id="250"/>
      <w:bookmarkEnd w:id="251"/>
    </w:p>
    <w:p w14:paraId="3FDD7745" w14:textId="77777777" w:rsidR="007E0169" w:rsidRPr="00EE0E12" w:rsidRDefault="007E0169" w:rsidP="004758AB">
      <w:pPr>
        <w:pStyle w:val="tier1Itext"/>
      </w:pPr>
      <w:r w:rsidRPr="00EE0E12">
        <w:t>Nos casos em que a análise da situação do incidente identificar potencial impacto sobre populações humanas, a BP Energy deverá adotar ações para a proteção da sua saúde e segurança. Essas ações deverão ser planejadas considerando não só às populações localizadas ao longo da costa da área de influência do projeto, mas também nas atividades socioeconômicas existentes na região, como por exemplo, a pesca e o turismo. É válido relembrar que para o pessoal envolvido na resposta, serão elaborados Planos de Segurança (ICS 208) para cada localidade onde haja alguma ação planejada.</w:t>
      </w:r>
    </w:p>
    <w:p w14:paraId="2E3578DF" w14:textId="77777777" w:rsidR="007E0169" w:rsidRPr="00EE0E12" w:rsidRDefault="007E0169" w:rsidP="004758AB">
      <w:pPr>
        <w:pStyle w:val="tier1Itext"/>
      </w:pPr>
      <w:r w:rsidRPr="00EE0E12">
        <w:lastRenderedPageBreak/>
        <w:t>Sendo assim, as embarcações não envolvidas nas ações de resposta que por ventura estiverem atuando próximo ao local do incidente deverão ser notificadas via rádio e orientadas a se afastar e a evitar atividades nos locais impactados, ou com potencial de serem impactados (conforme análise da deriva da mancha). Essas orientações deverão ainda ser transmitidas à Marinha do Brasil - Capitania dos Portos de Macapá para que possam ser incorporadas ao sistema de Aviso aos Navegantes, principalmente nos casos em que forem determinadas áreas de restrição de navegação.</w:t>
      </w:r>
    </w:p>
    <w:p w14:paraId="546ABE94" w14:textId="77777777" w:rsidR="007E0169" w:rsidRPr="00EE0E12" w:rsidRDefault="007E0169" w:rsidP="004758AB">
      <w:pPr>
        <w:pStyle w:val="tier1Itext"/>
      </w:pPr>
      <w:r w:rsidRPr="00EE0E12">
        <w:t xml:space="preserve">A BP Energy também poderá utilizar a mídia (jornal, rádio e/ou TV), quando pertinente, para manter a população informada sobre as áreas de risco, protocolos de prevenção e alerta, bem como sobre as ações emergenciais durante o incidente. Tais comunicados serão elaborados pelos Oficiais de Informações Públicas e aprovados pelo IC ou delegado antes de liberados para divulgação. As informações podem incluir, mas não </w:t>
      </w:r>
      <w:r w:rsidR="00AB7C0D">
        <w:t xml:space="preserve">estão </w:t>
      </w:r>
      <w:r w:rsidRPr="00EE0E12">
        <w:t>limitadas a:</w:t>
      </w:r>
    </w:p>
    <w:p w14:paraId="1E1E1D1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Evitar o contato com água e sedimentos (por exemplo: areia, lama) contaminados com óleo;</w:t>
      </w:r>
    </w:p>
    <w:p w14:paraId="044FCA3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Evitar a pesca e captura de moluscos (por exemplo marisco) e crustáceos (por exemplo: caranguejos) em locais contaminados com óleo, e</w:t>
      </w:r>
    </w:p>
    <w:p w14:paraId="040D49F2"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Evitar o consumo de peixes mortos recolhido nas praias.</w:t>
      </w:r>
    </w:p>
    <w:p w14:paraId="0CDA719B" w14:textId="77777777" w:rsidR="007E0169" w:rsidRPr="00EE0E12" w:rsidRDefault="007E0169" w:rsidP="004758AB">
      <w:pPr>
        <w:pStyle w:val="tier1Itext"/>
      </w:pPr>
      <w:r w:rsidRPr="00EE0E12">
        <w:t>É importante ressaltar que os procedimentos para proteção da população deverão ser estabelecidos em consonância com as diretrizes estabelecidas pelo Sistema Nacional de Proteção e Defesa Civil (SINPDEC). Este sistema deverá contribuir com o processo de planejamento, articulação, coordenação e execução de ações de proteção e defesa civil, conforme previsto pela Política Nacional de Proteção e Defesa Civil, institu</w:t>
      </w:r>
      <w:r w:rsidR="004758AB">
        <w:t>ída pela Lei n° 12.608 de 2012.</w:t>
      </w:r>
    </w:p>
    <w:p w14:paraId="3344ECA0" w14:textId="51681F9E" w:rsidR="007E0169" w:rsidRPr="00EE0E12" w:rsidRDefault="007E0169" w:rsidP="004758AB">
      <w:pPr>
        <w:pStyle w:val="tier1Itext"/>
      </w:pPr>
      <w:r w:rsidRPr="00EE0E12">
        <w:t>Para tanto, os órgãos regionais municipais de proteção e defesa civil, constituintes da gestão do SINPDEC, deverão ser notificados nas diferentes jurisdições, de acordo com a abrangência do incidente de derramamento de óleo no mar</w:t>
      </w:r>
      <w:r w:rsidR="00AB7C0D">
        <w:t>, quando estes apresentarem potenci</w:t>
      </w:r>
      <w:r w:rsidR="006751B7">
        <w:t>al</w:t>
      </w:r>
      <w:r w:rsidR="00AB7C0D">
        <w:t xml:space="preserve"> para toque na costa, o que não é o caso para as operações da BP Energy na Foz do Amazonas</w:t>
      </w:r>
      <w:r w:rsidRPr="00EE0E12">
        <w:t>. Uma vez notificado, o poder executivo do município irá classificar a ocorrência e, se necessário e cabível, poderá requerer auxílio das demais esferas de atuação do SINPDEC.</w:t>
      </w:r>
    </w:p>
    <w:p w14:paraId="76367B22" w14:textId="77777777" w:rsidR="007E0169" w:rsidRPr="00EE0E12" w:rsidRDefault="007E0169" w:rsidP="004758AB">
      <w:pPr>
        <w:pStyle w:val="tier1Itext"/>
      </w:pPr>
      <w:r w:rsidRPr="00EE0E12">
        <w:t>A fim de facilitar a avaliação e classificação do incidente por estes órgãos, as seguintes informações poderão ser compartilhadas pela BP</w:t>
      </w:r>
      <w:r w:rsidR="00AB7C0D">
        <w:t xml:space="preserve"> Energy</w:t>
      </w:r>
      <w:r w:rsidRPr="00EE0E12">
        <w:t>:</w:t>
      </w:r>
    </w:p>
    <w:p w14:paraId="231EAC5B" w14:textId="77777777" w:rsidR="007E0169" w:rsidRPr="00EE0E12" w:rsidRDefault="007E0169" w:rsidP="00EA2A77">
      <w:pPr>
        <w:pStyle w:val="OCEBullet"/>
        <w:keepNex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after="0" w:line="360" w:lineRule="auto"/>
        <w:ind w:left="714" w:hanging="357"/>
        <w:rPr>
          <w:rFonts w:asciiTheme="majorHAnsi" w:hAnsiTheme="majorHAnsi"/>
        </w:rPr>
      </w:pPr>
      <w:r w:rsidRPr="00EE0E12">
        <w:rPr>
          <w:rFonts w:asciiTheme="majorHAnsi" w:hAnsiTheme="majorHAnsi"/>
        </w:rPr>
        <w:lastRenderedPageBreak/>
        <w:t>Data, hora e local do incidente;</w:t>
      </w:r>
    </w:p>
    <w:p w14:paraId="6AC6F333"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0" w:line="360" w:lineRule="auto"/>
        <w:ind w:left="714" w:hanging="357"/>
        <w:rPr>
          <w:rFonts w:asciiTheme="majorHAnsi" w:hAnsiTheme="majorHAnsi"/>
        </w:rPr>
      </w:pPr>
      <w:r w:rsidRPr="00EE0E12">
        <w:rPr>
          <w:rFonts w:asciiTheme="majorHAnsi" w:hAnsiTheme="majorHAnsi"/>
        </w:rPr>
        <w:t>Descrição da(s) área(s) afetada(s) e em risco de ser(em) atingida(s), acompanhada de mapa ou croqui ilustrativo, quando possível;</w:t>
      </w:r>
    </w:p>
    <w:p w14:paraId="6D6CEB0E"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0" w:line="360" w:lineRule="auto"/>
        <w:ind w:left="714" w:hanging="357"/>
        <w:rPr>
          <w:rFonts w:asciiTheme="majorHAnsi" w:hAnsiTheme="majorHAnsi"/>
        </w:rPr>
      </w:pPr>
      <w:r w:rsidRPr="00EE0E12">
        <w:rPr>
          <w:rFonts w:asciiTheme="majorHAnsi" w:hAnsiTheme="majorHAnsi"/>
        </w:rPr>
        <w:t>Descrição das possíveis causas e efeitos do incidente;</w:t>
      </w:r>
    </w:p>
    <w:p w14:paraId="068257EC"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tabs>
          <w:tab w:val="left" w:pos="5529"/>
        </w:tabs>
        <w:spacing w:before="0" w:after="240" w:line="360" w:lineRule="auto"/>
        <w:ind w:left="714" w:hanging="357"/>
        <w:rPr>
          <w:rFonts w:asciiTheme="majorHAnsi" w:hAnsiTheme="majorHAnsi"/>
        </w:rPr>
      </w:pPr>
      <w:r w:rsidRPr="00EE0E12">
        <w:rPr>
          <w:rFonts w:asciiTheme="majorHAnsi" w:hAnsiTheme="majorHAnsi"/>
        </w:rPr>
        <w:t>Outras informações consideradas relevantes (ex: período e locais com restrição de acesso devido a atividades de limpeza).</w:t>
      </w:r>
    </w:p>
    <w:p w14:paraId="5173B87F" w14:textId="77777777" w:rsidR="007E0169" w:rsidRPr="00EE0E12" w:rsidRDefault="007E0169" w:rsidP="004758AB">
      <w:pPr>
        <w:pStyle w:val="tier1Itext"/>
      </w:pPr>
      <w:r w:rsidRPr="00EE0E12">
        <w:t>Adicionalmente, de acordo com o Decreto nº 8.127 de 2013, que institui o Plano Nacional de Contingência (PNC) para Incidentes de Poluição por Óleo em Águas sob Jurisdição Nacional, em incidentes de significância nacional, caberá ao Coordenador Operacional do PNC, em conjunto com os demais integrantes do Grupo de Acompanhamento e Avaliação (GAA), acionar a Defesa Civil, quando necessário, para a retirada de populações atingidas ou em risco iminente de serem atingidas.</w:t>
      </w:r>
    </w:p>
    <w:p w14:paraId="5F79D014" w14:textId="7B718DF4" w:rsidR="007E0169" w:rsidRPr="00EE0E12" w:rsidRDefault="007E0169" w:rsidP="004758AB">
      <w:pPr>
        <w:pStyle w:val="tier1Itext"/>
      </w:pPr>
      <w:r w:rsidRPr="00EE0E12">
        <w:t xml:space="preserve">Novamente é válido relembrar que os estudos de modelagem feitos não indicaram a probabilidade de chegada de óleo em pontos da costa brasileira, e probabilidades significativamente reduzidas </w:t>
      </w:r>
      <w:r w:rsidRPr="00DE6296">
        <w:t xml:space="preserve">(&lt; </w:t>
      </w:r>
      <w:r w:rsidR="00AB7C0D" w:rsidRPr="00DE6296">
        <w:t>1</w:t>
      </w:r>
      <w:r w:rsidR="00AB7C0D">
        <w:t>,5</w:t>
      </w:r>
      <w:r w:rsidRPr="00DE6296">
        <w:t>%)</w:t>
      </w:r>
      <w:r w:rsidRPr="00AB7C0D">
        <w:t xml:space="preserve"> de</w:t>
      </w:r>
      <w:r w:rsidRPr="00EE0E12">
        <w:t xml:space="preserve"> chegada em pontos em terra </w:t>
      </w:r>
      <w:r w:rsidR="00DE6296">
        <w:t>ou nas adjacências de</w:t>
      </w:r>
      <w:r w:rsidR="00DE6296" w:rsidRPr="00EE0E12">
        <w:t xml:space="preserve"> </w:t>
      </w:r>
      <w:r w:rsidR="009806FD" w:rsidRPr="00EE0E12">
        <w:t>países</w:t>
      </w:r>
      <w:r w:rsidRPr="00EE0E12">
        <w:t xml:space="preserve"> caribenhos</w:t>
      </w:r>
      <w:r w:rsidRPr="00EE0E12">
        <w:rPr>
          <w:rStyle w:val="FootnoteReference"/>
        </w:rPr>
        <w:footnoteReference w:id="43"/>
      </w:r>
      <w:r w:rsidRPr="00EE0E12">
        <w:t>, ainda assim após um grande período de tempo (mais de 40 dias).</w:t>
      </w:r>
    </w:p>
    <w:p w14:paraId="5F307757" w14:textId="77777777" w:rsidR="00290F16" w:rsidRPr="009E316F" w:rsidRDefault="00290F16" w:rsidP="009D01BE">
      <w:pPr>
        <w:pStyle w:val="Heading2"/>
        <w:rPr>
          <w:lang w:val="pt-BR"/>
        </w:rPr>
      </w:pPr>
      <w:bookmarkStart w:id="252" w:name="_Ref414612607"/>
      <w:bookmarkStart w:id="253" w:name="_Ref414612651"/>
      <w:bookmarkStart w:id="254" w:name="_Ref414612894"/>
      <w:bookmarkStart w:id="255" w:name="_Ref414612936"/>
      <w:bookmarkStart w:id="256" w:name="_Toc523833912"/>
      <w:r w:rsidRPr="009E316F">
        <w:rPr>
          <w:lang w:val="pt-BR"/>
        </w:rPr>
        <w:t>Procedimentos para a Proteção de Áreas Vulneráveis e Limpeza de Áreas Atingidas</w:t>
      </w:r>
      <w:bookmarkEnd w:id="252"/>
      <w:bookmarkEnd w:id="253"/>
      <w:bookmarkEnd w:id="254"/>
      <w:bookmarkEnd w:id="255"/>
      <w:bookmarkEnd w:id="256"/>
    </w:p>
    <w:p w14:paraId="615F29E8" w14:textId="77777777" w:rsidR="007E0169" w:rsidRPr="00EE0E12" w:rsidRDefault="007E0169" w:rsidP="004758AB">
      <w:pPr>
        <w:pStyle w:val="tier1Itext"/>
      </w:pPr>
      <w:r w:rsidRPr="00EE0E12">
        <w:t>A definição das estratégias para proteção de áreas vulneráveis deverá ser feita com base nas informações provenientes de monitoramento e avaliação da dispersão e deriva do óleo no mar e obtenção e atualização de informações relevantes. Tais estratégias deverão considerar o deslocamento previsto da mancha, identificação de áreas vulneráveis, acionamento dos recursos de resposta necessário</w:t>
      </w:r>
      <w:r w:rsidR="004758AB">
        <w:t>s e o devido suporte logístico.</w:t>
      </w:r>
    </w:p>
    <w:p w14:paraId="1AD7994D" w14:textId="77777777" w:rsidR="007E0169" w:rsidRPr="00EE0E12" w:rsidRDefault="007E0169" w:rsidP="004758AB">
      <w:pPr>
        <w:pStyle w:val="tier1Itext"/>
      </w:pPr>
      <w:r w:rsidRPr="00EE0E12">
        <w:t>A definição das áreas vulneráveis a serem protegidas e de áreas de recolhimento para onde poderá ser direcionada a mancha de óleo deverá considerar aspectos sociais, econômicos e ambientais do Mapa de Vulnerabilidade, apresentado no</w:t>
      </w:r>
      <w:r w:rsidR="0099172E">
        <w:t xml:space="preserve"> </w:t>
      </w:r>
      <w:r w:rsidR="0099172E" w:rsidRPr="0099172E">
        <w:rPr>
          <w:b/>
        </w:rPr>
        <w:t>ANEXO C</w:t>
      </w:r>
      <w:r w:rsidR="004758AB">
        <w:t>.</w:t>
      </w:r>
    </w:p>
    <w:p w14:paraId="5C20E7A7" w14:textId="77777777" w:rsidR="007E0169" w:rsidRPr="00EE0E12" w:rsidRDefault="007E0169" w:rsidP="0099172E">
      <w:pPr>
        <w:pStyle w:val="tier1Itext"/>
      </w:pPr>
      <w:r w:rsidRPr="00EE0E12">
        <w:lastRenderedPageBreak/>
        <w:t>Os procedimentos de proteção de ambientes ecologicamente sensíveis ao óleo poderão ser realizados de diferentes formas, como através do uso de barreiras de contenção ou absorventes (estratégia de isolamento) ou o desvio do óleo para áreas aonde o impacto não será tão significativo para que seja efetuado o seu posterior recolhimento ou li</w:t>
      </w:r>
      <w:r w:rsidR="0099172E">
        <w:t>mpeza (estratégia de deflexão).</w:t>
      </w:r>
    </w:p>
    <w:p w14:paraId="7563D2D9" w14:textId="77777777" w:rsidR="007E0169" w:rsidRPr="00EE0E12" w:rsidRDefault="007E0169" w:rsidP="0099172E">
      <w:pPr>
        <w:pStyle w:val="tier1Itext"/>
      </w:pPr>
      <w:r w:rsidRPr="00EE0E12">
        <w:t>Conforme estabelecido na Nota Técnica n° 03 de 2013</w:t>
      </w:r>
      <w:r w:rsidRPr="00EE0E12">
        <w:rPr>
          <w:color w:val="1F497D"/>
        </w:rPr>
        <w:t xml:space="preserve"> </w:t>
      </w:r>
      <w:r w:rsidRPr="00EE0E12">
        <w:t>CGPEG/DILIC/IBAMA, o detalhamento das estratégias de proteção à costa e áreas sensíveis, incluindo descrição dos equipamentos necessários e análise dos tempos efetivos de resposta, é requerido para áreas que apresentem probabilidade de to</w:t>
      </w:r>
      <w:r w:rsidR="0099172E">
        <w:t>que de óleo acima de 30%.</w:t>
      </w:r>
    </w:p>
    <w:p w14:paraId="119CBF3A" w14:textId="77777777" w:rsidR="007E0169" w:rsidRPr="00EE0E12" w:rsidRDefault="007E0169" w:rsidP="002F3179">
      <w:pPr>
        <w:pStyle w:val="tier1Itext"/>
      </w:pPr>
      <w:r w:rsidRPr="002F3179">
        <w:t>Conforme descrito</w:t>
      </w:r>
      <w:r w:rsidRPr="00EE0E12">
        <w:t xml:space="preserve"> no item </w:t>
      </w:r>
      <w:r w:rsidR="002F3179">
        <w:fldChar w:fldCharType="begin"/>
      </w:r>
      <w:r w:rsidR="002F3179">
        <w:instrText xml:space="preserve"> REF _Ref414547727 \r \h </w:instrText>
      </w:r>
      <w:r w:rsidR="002F3179">
        <w:fldChar w:fldCharType="separate"/>
      </w:r>
      <w:r w:rsidR="00897470">
        <w:t>4</w:t>
      </w:r>
      <w:r w:rsidR="002F3179">
        <w:fldChar w:fldCharType="end"/>
      </w:r>
      <w:r w:rsidRPr="00EE0E12">
        <w:t>, o Relatório Técnico de Modelagem Hidrodinâmica e Dispersão de Óleo, Bacia da Foz do Amazonas (BP; PROOCEANO, 2015) indicou que não há probabilidade de toque na costa brasileira para nenhum dos cenários estudados, sendo a probabilidade máxima de toque de 1,3% em São Vicente e Granadinas em um tempo mínimo de aproximadamente 42 dias. Dessa forma, o detalhamento de estratégias de proteção, caso necessário, se dará durante o incidente, conforme o andamento das ações de resposta e em acordo com as instituições e órgãos competentes. Destaca-se que a elaboração deste detalhamento de estratégias, denominado Plano Tático de Resposta para uma localidade (em inglês</w:t>
      </w:r>
      <w:r w:rsidR="009806FD">
        <w:t>,</w:t>
      </w:r>
      <w:r w:rsidRPr="00EE0E12">
        <w:t xml:space="preserve"> </w:t>
      </w:r>
      <w:r w:rsidRPr="00EE0E12">
        <w:rPr>
          <w:i/>
        </w:rPr>
        <w:t>Tactical Response Plan</w:t>
      </w:r>
      <w:r w:rsidR="009806FD">
        <w:t>- TRT</w:t>
      </w:r>
      <w:r w:rsidRPr="00EE0E12">
        <w:t xml:space="preserve">) pode ser feito em até </w:t>
      </w:r>
      <w:r w:rsidR="00236499">
        <w:t>cinco dias</w:t>
      </w:r>
      <w:r w:rsidRPr="00EE0E12">
        <w:t>, tempo consideravelmente inferior aos indicados para o toque na co</w:t>
      </w:r>
      <w:r w:rsidR="002F3179">
        <w:t>sta pelos estudos de modelagem.</w:t>
      </w:r>
    </w:p>
    <w:p w14:paraId="5FB47130" w14:textId="15837F53" w:rsidR="007E0169" w:rsidRDefault="007E0169" w:rsidP="002F3179">
      <w:pPr>
        <w:pStyle w:val="tier1Itext"/>
      </w:pPr>
      <w:r w:rsidRPr="00EE0E12">
        <w:t xml:space="preserve">A BP Energy, como signatária do IBP, tem acesso ao banco de dados georreferenciados </w:t>
      </w:r>
      <w:r w:rsidR="00EC0293">
        <w:t xml:space="preserve">do MAREM Brasil, </w:t>
      </w:r>
      <w:r w:rsidRPr="00EE0E12">
        <w:t>de todo o litoral brasileiro</w:t>
      </w:r>
      <w:r w:rsidR="00EC0293">
        <w:t>,</w:t>
      </w:r>
      <w:r w:rsidRPr="00EE0E12">
        <w:t xml:space="preserve"> desenvolvido durante o PPLC, que servirá de suporte para o planejamento estratégico e tático, e para gestão da operação de resposta em um eventual acidente envolvendo derramamento de óleo no mar.</w:t>
      </w:r>
    </w:p>
    <w:p w14:paraId="15ED2F89" w14:textId="4FDF3AE4" w:rsidR="00290F16" w:rsidRPr="001B401C" w:rsidRDefault="00290F16" w:rsidP="009D01BE">
      <w:pPr>
        <w:pStyle w:val="Heading2"/>
        <w:rPr>
          <w:lang w:val="pt-BR"/>
        </w:rPr>
      </w:pPr>
      <w:bookmarkStart w:id="257" w:name="_Ref414612706"/>
      <w:bookmarkStart w:id="258" w:name="_Ref414612979"/>
      <w:bookmarkStart w:id="259" w:name="_Toc523833913"/>
      <w:r w:rsidRPr="001B401C">
        <w:rPr>
          <w:lang w:val="pt-BR"/>
        </w:rPr>
        <w:t>Procedimentos para a Proteção</w:t>
      </w:r>
      <w:r w:rsidR="001B401C">
        <w:rPr>
          <w:lang w:val="pt-BR"/>
        </w:rPr>
        <w:t xml:space="preserve"> à</w:t>
      </w:r>
      <w:r w:rsidRPr="001B401C">
        <w:rPr>
          <w:lang w:val="pt-BR"/>
        </w:rPr>
        <w:t xml:space="preserve"> Fauna</w:t>
      </w:r>
      <w:bookmarkEnd w:id="257"/>
      <w:bookmarkEnd w:id="258"/>
      <w:bookmarkEnd w:id="259"/>
    </w:p>
    <w:p w14:paraId="3B0D3961" w14:textId="199BF67B" w:rsidR="00B152D4" w:rsidRDefault="000B00FA" w:rsidP="00B152D4">
      <w:pPr>
        <w:pStyle w:val="tier1Itext"/>
      </w:pPr>
      <w:bookmarkStart w:id="260" w:name="_Ref414456364"/>
      <w:bookmarkStart w:id="261" w:name="_Ref414456373"/>
      <w:bookmarkStart w:id="262" w:name="_Ref414536677"/>
      <w:bookmarkStart w:id="263" w:name="_Ref414537484"/>
      <w:r>
        <w:t>Para desenvolvimento de um Plano de Proteção à Fauna operacional, com informações relevantes para tomadas de decisão durante um eventual derramamento de óleo no mar, é de suma importância ampliar o conhecimento das espécies e das áreas prioritárias de preservação presentes na região vulnerável ao óleo derramado. Com essas informações é possível realizar um planejamento eficaz sobre a organização geográfica das instalações de atendimento à fauna e sobre seleção das estratégias de proteção a serem consideradas.</w:t>
      </w:r>
    </w:p>
    <w:p w14:paraId="70B8602D" w14:textId="66C029EA" w:rsidR="00EC0293" w:rsidRPr="00C178FE" w:rsidRDefault="00EC0293" w:rsidP="00B152D4">
      <w:pPr>
        <w:pStyle w:val="tier1Itext"/>
      </w:pPr>
      <w:r>
        <w:t xml:space="preserve">Assim sendo, os procedimentos para proteção e rehabilitação de fauna impactadas em caso de vazamento de óleo são apresentados no “Plano de Proteção à Fauna”. </w:t>
      </w:r>
    </w:p>
    <w:p w14:paraId="6C917BBA" w14:textId="77777777" w:rsidR="00290F16" w:rsidRPr="0023676B" w:rsidRDefault="00290F16" w:rsidP="009D01BE">
      <w:pPr>
        <w:pStyle w:val="Heading2"/>
        <w:rPr>
          <w:lang w:val="pt-BR"/>
        </w:rPr>
      </w:pPr>
      <w:bookmarkStart w:id="264" w:name="_Ref415230275"/>
      <w:bookmarkStart w:id="265" w:name="_Ref415230290"/>
      <w:bookmarkStart w:id="266" w:name="_Ref415472108"/>
      <w:bookmarkStart w:id="267" w:name="_Ref415472126"/>
      <w:bookmarkStart w:id="268" w:name="_Toc523833914"/>
      <w:r w:rsidRPr="0023676B">
        <w:rPr>
          <w:lang w:val="pt-BR"/>
        </w:rPr>
        <w:lastRenderedPageBreak/>
        <w:t>Procedimento para Coleta e Destinação Final dos Resíduos Gerados</w:t>
      </w:r>
      <w:bookmarkEnd w:id="260"/>
      <w:bookmarkEnd w:id="261"/>
      <w:bookmarkEnd w:id="262"/>
      <w:bookmarkEnd w:id="263"/>
      <w:bookmarkEnd w:id="264"/>
      <w:bookmarkEnd w:id="265"/>
      <w:bookmarkEnd w:id="266"/>
      <w:bookmarkEnd w:id="267"/>
      <w:bookmarkEnd w:id="268"/>
    </w:p>
    <w:p w14:paraId="24448E67" w14:textId="77777777" w:rsidR="007E0169" w:rsidRPr="00EE0E12" w:rsidRDefault="007E0169" w:rsidP="00396C58">
      <w:pPr>
        <w:pStyle w:val="tier1Itext"/>
      </w:pPr>
      <w:r w:rsidRPr="00EE0E12">
        <w:t>Conforme definido pela Resolução CONAMA n° 398 de 2008, a gestão dos resíduos gerados durante as ações de resposta a incidentes envolvendo o derramamento de óleo no mar (do seu início à desmobilização final de recursos) deverá considerar todas as etapas compreendidas entre a sua geração e a destinação final ambientalmente adequada.</w:t>
      </w:r>
    </w:p>
    <w:p w14:paraId="7517CB53" w14:textId="77777777" w:rsidR="007E0169" w:rsidRPr="00EE0E12" w:rsidRDefault="007E0169" w:rsidP="00396C58">
      <w:pPr>
        <w:pStyle w:val="tier1Itext"/>
      </w:pPr>
      <w:r w:rsidRPr="00EE0E12">
        <w:t>Para alinhar as formas de segregação e acondicionamento dos resíduos é necessário que estes sejam classificados conforme a Norma ABNT NBR 10004:2004, e segundo as orientações previstas pela Resolução CONAMA n° 275/2001 e pela Nota Técnica CGPEG/DILIC/IBAMA n° 01 de 2011 (NT 01/2011)</w:t>
      </w:r>
      <w:r w:rsidR="00396C58">
        <w:t>.</w:t>
      </w:r>
    </w:p>
    <w:p w14:paraId="2CE01B0D" w14:textId="77777777" w:rsidR="007E0169" w:rsidRPr="00EE0E12" w:rsidRDefault="007E0169" w:rsidP="00396C58">
      <w:pPr>
        <w:pStyle w:val="tier1Itext"/>
      </w:pPr>
      <w:r w:rsidRPr="00EE0E12">
        <w:t xml:space="preserve">Os procedimentos rotineiros de quantificação, registro, manifestação para transporte e certificação de destinação final, definidos no Plano de Controle da Poluição (PCP), devem ser utilizados, lembrando que de acordo com a legislação ambiental brasileira, todos os resíduos contaminados por óleo são classificados como perigosos (Classe I) e, portanto, necessitam de procedimentos apropriados para estas atividades. Maiores detalhes a respeito da gestão dos resíduos gerados deverão ser consultadas no Plano de Gestão de Resíduos, a ser elaborado no âmbito do Projeto de Controle da Poluição (PCP) das atividades da BP </w:t>
      </w:r>
      <w:r w:rsidR="00236499">
        <w:t xml:space="preserve">Energy </w:t>
      </w:r>
      <w:r w:rsidRPr="00EE0E12">
        <w:t>no Bloco FZA-M-59.</w:t>
      </w:r>
    </w:p>
    <w:p w14:paraId="2C7A8AC7" w14:textId="77777777" w:rsidR="007E0169" w:rsidRPr="00EE0E12" w:rsidRDefault="007E0169" w:rsidP="00396C58">
      <w:pPr>
        <w:pStyle w:val="tier1Itext"/>
      </w:pPr>
      <w:r w:rsidRPr="00EE0E12">
        <w:t>Operações de gestão de resíduos serão conduzidas em concordância com os objetivos da operação de resposta geral, como estabelecida pelo IC e serão gerenciados por membros designados da Seção de Planejamento.</w:t>
      </w:r>
    </w:p>
    <w:p w14:paraId="742AD1F3" w14:textId="77777777" w:rsidR="007E0169" w:rsidRPr="00EE0E12" w:rsidRDefault="007E0169" w:rsidP="00396C58">
      <w:pPr>
        <w:pStyle w:val="tier1Itext"/>
      </w:pPr>
      <w:r w:rsidRPr="00EE0E12">
        <w:t xml:space="preserve">No caso de um derramamento de óleo, a medida que este aumenta em magnitude, também cresce a previsão da quantidade de resíduos contaminados gerados, decorrentes das várias </w:t>
      </w:r>
      <w:r w:rsidR="00396C58">
        <w:t>frentes potenciais de resposta.</w:t>
      </w:r>
    </w:p>
    <w:p w14:paraId="29C5596E" w14:textId="77777777" w:rsidR="007E0169" w:rsidRPr="00EE0E12" w:rsidRDefault="007E0169" w:rsidP="00396C58">
      <w:pPr>
        <w:pStyle w:val="tier1Itext"/>
      </w:pPr>
      <w:r w:rsidRPr="00EE0E12">
        <w:t>No entanto, de acordo com as boas práticas de gerenciamento de resíduos, deve ser evitada ao máximo a contaminação de áreas ou resíduos também envolvidos nas ações do combate ao vazamento</w:t>
      </w:r>
      <w:r w:rsidR="00B97D63">
        <w:t>,</w:t>
      </w:r>
      <w:r w:rsidRPr="00EE0E12">
        <w:t xml:space="preserve"> mas não relacionados ao óleo recuperado. Dentre estes esforços podem ser listados, </w:t>
      </w:r>
      <w:r w:rsidR="00236499">
        <w:t xml:space="preserve">mas </w:t>
      </w:r>
      <w:r w:rsidRPr="00EE0E12">
        <w:t>sem se limitarem a estes:</w:t>
      </w:r>
    </w:p>
    <w:p w14:paraId="13049812"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Priorização de esforços para recuperar o máx</w:t>
      </w:r>
      <w:r w:rsidR="00396C58">
        <w:rPr>
          <w:rFonts w:asciiTheme="majorHAnsi" w:hAnsiTheme="majorHAnsi"/>
        </w:rPr>
        <w:t>imo de óleo derramado possível;</w:t>
      </w:r>
    </w:p>
    <w:p w14:paraId="324AAC7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Priorização das respostas que minimizem as quantidades de óleo que chegam à região costeira (estratégias de combate </w:t>
      </w:r>
      <w:r w:rsidRPr="00EE0E12">
        <w:rPr>
          <w:rFonts w:asciiTheme="majorHAnsi" w:eastAsiaTheme="minorHAnsi" w:hAnsiTheme="majorHAnsi"/>
          <w:i/>
        </w:rPr>
        <w:t>offshore</w:t>
      </w:r>
      <w:r w:rsidRPr="00EE0E12">
        <w:rPr>
          <w:rFonts w:asciiTheme="majorHAnsi" w:hAnsiTheme="majorHAnsi"/>
        </w:rPr>
        <w:t xml:space="preserve"> e </w:t>
      </w:r>
      <w:r w:rsidRPr="00EE0E12">
        <w:rPr>
          <w:rFonts w:asciiTheme="majorHAnsi" w:eastAsiaTheme="minorHAnsi" w:hAnsiTheme="majorHAnsi"/>
          <w:i/>
        </w:rPr>
        <w:t>nearshore</w:t>
      </w:r>
      <w:r w:rsidRPr="00EE0E12">
        <w:rPr>
          <w:rFonts w:asciiTheme="majorHAnsi" w:hAnsiTheme="majorHAnsi"/>
        </w:rPr>
        <w:t>);</w:t>
      </w:r>
    </w:p>
    <w:p w14:paraId="75C7982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lastRenderedPageBreak/>
        <w:t xml:space="preserve">Preservação de resíduos gerados nas áreas internas das embarcações envolvidas nas ações de combate, dos resíduos operacionais da base de apoio </w:t>
      </w:r>
      <w:r w:rsidRPr="00EE0E12">
        <w:rPr>
          <w:rFonts w:asciiTheme="majorHAnsi" w:hAnsiTheme="majorHAnsi"/>
          <w:i/>
        </w:rPr>
        <w:t>onshore</w:t>
      </w:r>
      <w:r w:rsidRPr="00EE0E12">
        <w:rPr>
          <w:rFonts w:asciiTheme="majorHAnsi" w:hAnsiTheme="majorHAnsi"/>
        </w:rPr>
        <w:t>, que não gerados no suporte às atividades de resposta e de resíduos de embalagens e materiais de suporte de estações de reabilitação de fauna impactada por óleo contra contaminação;</w:t>
      </w:r>
    </w:p>
    <w:p w14:paraId="052566EB"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Preservação de resíduos das operação de pré-SCAT realizadas antes da chegada de óleo a um ponto da costa;</w:t>
      </w:r>
    </w:p>
    <w:p w14:paraId="06E9E8F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Criação de áreas prioritárias de acesso a zonas de limpeza de costa, com restrição ao acesso por fora destas áreas, sempre que possível, e que aí existam procedimentos específicos de limpeza e descontaminação, quando na saída</w:t>
      </w:r>
      <w:r w:rsidR="00985924">
        <w:rPr>
          <w:rFonts w:asciiTheme="majorHAnsi" w:hAnsiTheme="majorHAnsi"/>
        </w:rPr>
        <w:t xml:space="preserve"> de pessoal, materiais e equipamentos</w:t>
      </w:r>
      <w:r w:rsidRPr="00EE0E12">
        <w:rPr>
          <w:rFonts w:asciiTheme="majorHAnsi" w:hAnsiTheme="majorHAnsi"/>
        </w:rPr>
        <w:t>;</w:t>
      </w:r>
    </w:p>
    <w:p w14:paraId="569B09EB"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 xml:space="preserve">Gerenciamento específico para áreas de descontaminação, para evitar que qualquer forma de resíduos desta atividade saia dos limites </w:t>
      </w:r>
      <w:r w:rsidR="00985924" w:rsidRPr="00EE0E12">
        <w:rPr>
          <w:rFonts w:asciiTheme="majorHAnsi" w:hAnsiTheme="majorHAnsi"/>
        </w:rPr>
        <w:t>d</w:t>
      </w:r>
      <w:r w:rsidR="00985924">
        <w:rPr>
          <w:rFonts w:asciiTheme="majorHAnsi" w:hAnsiTheme="majorHAnsi"/>
        </w:rPr>
        <w:t>e sua</w:t>
      </w:r>
      <w:r w:rsidR="00985924" w:rsidRPr="00EE0E12">
        <w:rPr>
          <w:rFonts w:asciiTheme="majorHAnsi" w:hAnsiTheme="majorHAnsi"/>
        </w:rPr>
        <w:t xml:space="preserve"> </w:t>
      </w:r>
      <w:r w:rsidRPr="00EE0E12">
        <w:rPr>
          <w:rFonts w:asciiTheme="majorHAnsi" w:hAnsiTheme="majorHAnsi"/>
        </w:rPr>
        <w:t xml:space="preserve">área delimitada; </w:t>
      </w:r>
    </w:p>
    <w:p w14:paraId="14D8736F"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Planejamento otimizado das operações de resposta visando a minimização da geração de resíduos, sempre que praticável e sem comprometer as diretrizes de segurança e eficiência das ações de resposta; e</w:t>
      </w:r>
    </w:p>
    <w:p w14:paraId="4ED134DA"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Criação de procedimentos específicos para manuseio e destinação de produtos introduzidos na operação apenas para apoio à resposta ao vazamento (p. ex: dispersantes).</w:t>
      </w:r>
    </w:p>
    <w:p w14:paraId="4AE56CA1" w14:textId="77777777" w:rsidR="007E0169" w:rsidRPr="00EE0E12" w:rsidRDefault="007E0169" w:rsidP="00BF4947">
      <w:pPr>
        <w:pStyle w:val="tier1Itext"/>
      </w:pPr>
      <w:r w:rsidRPr="00EE0E12">
        <w:t xml:space="preserve">Em geral todos os resíduos gerados em uma resposta já são considerados no Plano de Controle da Poluição (PCP) da atividade, podendo ser diferentes, no entanto, as quantidades e frequências de geração. Neste caso, os contratados dos serviços de armazenamento temporário, transporte e destinação final dos principais tipos de resíduos deverão ser capazes de alterar sua rotina operacional para dar suporte e gerenciar esta situação anômala. Caso previamente identificado o estrito limite operacional de um provedor de uma das </w:t>
      </w:r>
      <w:r w:rsidR="00985924">
        <w:t>destinações ou de uma classe de resíduo</w:t>
      </w:r>
      <w:r w:rsidRPr="00EE0E12">
        <w:t>, outros potenciais provedores devem estar mapeados para serem ativados em caso de emergência.</w:t>
      </w:r>
    </w:p>
    <w:p w14:paraId="5E8549BB" w14:textId="77777777" w:rsidR="007E0169" w:rsidRPr="00EE0E12" w:rsidRDefault="007E0169" w:rsidP="00BF4947">
      <w:pPr>
        <w:pStyle w:val="tier1Itext"/>
      </w:pPr>
      <w:r w:rsidRPr="00EE0E12">
        <w:t>Ressalta-se, contudo, que empresas não previstas pela Matriz de Resíduos, mas previamente avaliadas e aprovadas pelos procedimentos internos de qualificação da BP Energy, poderão ser utilizadas, caso sejam identificadas necessidades complementares àquelas avaliadas na definição da Matriz.</w:t>
      </w:r>
    </w:p>
    <w:p w14:paraId="3A6A84B1" w14:textId="77777777" w:rsidR="007E0169" w:rsidRPr="00EE0E12" w:rsidRDefault="007E0169" w:rsidP="00BF4947">
      <w:pPr>
        <w:pStyle w:val="tier1Itext"/>
      </w:pPr>
      <w:r w:rsidRPr="00EE0E12">
        <w:t xml:space="preserve">Outra alternativa é gerenciar a capacidade de armazenamento temporário dos resíduos da resposta para que os volumes destinados não sobrecarreguem os provedores do PCP. Nesta caso, estas alternativas deverão estar claramente estabelecidas no ICS 204 para o armazenamento de resíduos, e os tipos e quantidades destas estruturas de </w:t>
      </w:r>
      <w:r w:rsidR="00985924">
        <w:t>estocagem</w:t>
      </w:r>
      <w:r w:rsidR="00985924" w:rsidRPr="00EE0E12">
        <w:t xml:space="preserve"> </w:t>
      </w:r>
      <w:r w:rsidRPr="00EE0E12">
        <w:t>temporária complementares demandadas, lançadas no ICS 215 inicial elaborado a partir da análise do potencial do incidente, para suas rápidas disponibilizações.</w:t>
      </w:r>
    </w:p>
    <w:p w14:paraId="23715A83" w14:textId="77777777" w:rsidR="007E0169" w:rsidRPr="00EE0E12" w:rsidRDefault="007E0169" w:rsidP="00BF4947">
      <w:pPr>
        <w:pStyle w:val="tier1Itext"/>
      </w:pPr>
      <w:r w:rsidRPr="00EE0E12">
        <w:lastRenderedPageBreak/>
        <w:t>A(s) área(s) designada(s) para o armazenamento temporário de resíduos deve(m) ser utilizada(s) exclusivamente para tal finalidade. Deve(m) estar claramente</w:t>
      </w:r>
      <w:r w:rsidRPr="00EE0E12">
        <w:rPr>
          <w:szCs w:val="22"/>
        </w:rPr>
        <w:t xml:space="preserve"> identificada</w:t>
      </w:r>
      <w:r w:rsidRPr="00EE0E12">
        <w:t>(s)</w:t>
      </w:r>
      <w:r w:rsidRPr="00EE0E12">
        <w:rPr>
          <w:szCs w:val="22"/>
        </w:rPr>
        <w:t>, serem protegida</w:t>
      </w:r>
      <w:r w:rsidRPr="00EE0E12">
        <w:t>(s)</w:t>
      </w:r>
      <w:r w:rsidRPr="00EE0E12">
        <w:rPr>
          <w:szCs w:val="22"/>
        </w:rPr>
        <w:t xml:space="preserve"> contra intempéries; </w:t>
      </w:r>
      <w:r w:rsidR="00985924">
        <w:rPr>
          <w:szCs w:val="22"/>
        </w:rPr>
        <w:t>ter</w:t>
      </w:r>
      <w:r w:rsidRPr="00EE0E12">
        <w:rPr>
          <w:szCs w:val="22"/>
        </w:rPr>
        <w:t xml:space="preserve"> fácil acesso, contudo restrita(</w:t>
      </w:r>
      <w:r w:rsidRPr="00EE0E12">
        <w:t>s)</w:t>
      </w:r>
      <w:r w:rsidRPr="00EE0E12">
        <w:rPr>
          <w:szCs w:val="22"/>
        </w:rPr>
        <w:t xml:space="preserve"> às pessoas autorizadas e capacitadas para o serviço; além de outros requisitos específicos exigidos pelas normas ABNT </w:t>
      </w:r>
      <w:r w:rsidRPr="00EE0E12">
        <w:t xml:space="preserve">NBR 12235:1992 e </w:t>
      </w:r>
      <w:r w:rsidRPr="00EE0E12">
        <w:rPr>
          <w:szCs w:val="22"/>
        </w:rPr>
        <w:t xml:space="preserve">ABNT </w:t>
      </w:r>
      <w:r w:rsidRPr="00EE0E12">
        <w:t>NBR-11174:1990.</w:t>
      </w:r>
    </w:p>
    <w:p w14:paraId="4EAA0FC2" w14:textId="77777777" w:rsidR="007E0169" w:rsidRPr="00EE0E12" w:rsidRDefault="007E0169" w:rsidP="00BF4947">
      <w:pPr>
        <w:pStyle w:val="tier1Itext"/>
      </w:pPr>
      <w:r w:rsidRPr="00EE0E12">
        <w:t>As áreas destinadas ao armazenamento temporário de resíduos perigosos devem apresentar bacia de contenção guarnecida por um sistema de drenagem de líquidos, de acordo com as condições estabelecidas pela norma ABNT NBR 12235:1992. Áreas destinadas à descontaminação de equipamentos e pessoas devem ser atendidas por sistemas semelhantes. Os efluentes gerados nessas áreas não podem ser descartados na rede de esgoto, devendo ser gerenciados de acordo com as determinações previstas pela Resolução CONAMA n° 430 de 2011.</w:t>
      </w:r>
    </w:p>
    <w:p w14:paraId="6D2B59D8" w14:textId="77777777" w:rsidR="007E0169" w:rsidRPr="00EE0E12" w:rsidRDefault="007E0169" w:rsidP="00BF4947">
      <w:pPr>
        <w:pStyle w:val="tier1Itext"/>
      </w:pPr>
      <w:r w:rsidRPr="00EE0E12">
        <w:t>A disposição dos resíduos na área de armazenamento deve considerar a necessidade de separação física para as diferentes classes, a fim de evitar a contaminação cruzada e/ou a interação entre resíduos incompatíveis. A identificação da classe a que pertencem os resíduos armazenados em uma determinada área deve estar em local de fácil visualização.</w:t>
      </w:r>
    </w:p>
    <w:p w14:paraId="3322A18A" w14:textId="77777777" w:rsidR="007E0169" w:rsidRPr="00EE0E12" w:rsidRDefault="007E0169" w:rsidP="00BF4947">
      <w:pPr>
        <w:pStyle w:val="tier1Itext"/>
      </w:pPr>
      <w:r w:rsidRPr="00EE0E12">
        <w:t>Os resíduos coletados e/ou gerados nas várias frentes de resposta devem ser manuseados apropriadamente e armazenados em (ainda que não exclusivamente):</w:t>
      </w:r>
    </w:p>
    <w:p w14:paraId="529BFE8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EE0E12">
        <w:rPr>
          <w:rFonts w:asciiTheme="majorHAnsi" w:hAnsiTheme="majorHAnsi"/>
        </w:rPr>
        <w:t>Sacos grandes (</w:t>
      </w:r>
      <w:r w:rsidRPr="00EE0E12">
        <w:rPr>
          <w:rFonts w:asciiTheme="majorHAnsi" w:hAnsiTheme="majorHAnsi"/>
          <w:i/>
        </w:rPr>
        <w:t>bigbags</w:t>
      </w:r>
      <w:r w:rsidRPr="00EE0E12">
        <w:rPr>
          <w:rFonts w:asciiTheme="majorHAnsi" w:hAnsiTheme="majorHAnsi"/>
        </w:rPr>
        <w:t>), os quais devem ter revestimentos de plástico grosso dentro deles (</w:t>
      </w:r>
      <w:r w:rsidRPr="00EE0E12">
        <w:rPr>
          <w:rFonts w:asciiTheme="majorHAnsi" w:hAnsiTheme="majorHAnsi"/>
          <w:i/>
        </w:rPr>
        <w:t>liner</w:t>
      </w:r>
      <w:r w:rsidRPr="00EE0E12">
        <w:rPr>
          <w:rFonts w:asciiTheme="majorHAnsi" w:hAnsiTheme="majorHAnsi"/>
        </w:rPr>
        <w:t>) para impedir que qualquer resíduo oleoso vaze para o meio-ambiente;</w:t>
      </w:r>
    </w:p>
    <w:p w14:paraId="45806140"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EE0E12">
        <w:rPr>
          <w:rFonts w:asciiTheme="majorHAnsi" w:hAnsiTheme="majorHAnsi"/>
        </w:rPr>
        <w:t>Tambores de 55 gal [200 litros] (metal ou plástico) que devem ser usados com tampas; e</w:t>
      </w:r>
    </w:p>
    <w:p w14:paraId="691FB6C7" w14:textId="77777777" w:rsidR="007E0169" w:rsidRPr="00EE0E12" w:rsidRDefault="007E0169"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EE0E12">
        <w:rPr>
          <w:rFonts w:asciiTheme="majorHAnsi" w:hAnsiTheme="majorHAnsi"/>
        </w:rPr>
        <w:t>Caçambas de metal de volume variável (mais comuns de 5 m</w:t>
      </w:r>
      <w:r w:rsidRPr="00EE0E12">
        <w:rPr>
          <w:rFonts w:asciiTheme="majorHAnsi" w:hAnsiTheme="majorHAnsi"/>
          <w:vertAlign w:val="superscript"/>
        </w:rPr>
        <w:t>3</w:t>
      </w:r>
      <w:r w:rsidRPr="00EE0E12">
        <w:rPr>
          <w:rFonts w:asciiTheme="majorHAnsi" w:hAnsiTheme="majorHAnsi"/>
        </w:rPr>
        <w:t xml:space="preserve">) que podem ser fechadas e terem tampas ou serem abertas </w:t>
      </w:r>
      <w:r w:rsidR="00985924">
        <w:rPr>
          <w:rFonts w:asciiTheme="majorHAnsi" w:hAnsiTheme="majorHAnsi"/>
        </w:rPr>
        <w:t xml:space="preserve">mas com dispositivo de </w:t>
      </w:r>
      <w:r w:rsidRPr="00EE0E12">
        <w:rPr>
          <w:rFonts w:asciiTheme="majorHAnsi" w:hAnsiTheme="majorHAnsi"/>
        </w:rPr>
        <w:t>cobert</w:t>
      </w:r>
      <w:r w:rsidR="00985924">
        <w:rPr>
          <w:rFonts w:asciiTheme="majorHAnsi" w:hAnsiTheme="majorHAnsi"/>
        </w:rPr>
        <w:t>ur</w:t>
      </w:r>
      <w:r w:rsidRPr="00EE0E12">
        <w:rPr>
          <w:rFonts w:asciiTheme="majorHAnsi" w:hAnsiTheme="majorHAnsi"/>
        </w:rPr>
        <w:t>a durante o armazenamento e o transporte dos resíduos.</w:t>
      </w:r>
    </w:p>
    <w:p w14:paraId="00B3EB08" w14:textId="77777777" w:rsidR="007E0169" w:rsidRPr="00EE0E12" w:rsidRDefault="007E0169" w:rsidP="00BF4947">
      <w:pPr>
        <w:pStyle w:val="tier1Itext"/>
      </w:pPr>
      <w:r w:rsidRPr="00EE0E12">
        <w:t xml:space="preserve">Nas áreas de recepção e na de preparação para transporte, um guindaste e seu operador devem estar disponíveis para transferir as cargas de resíduos de embarcações para caminhões. Se um guindaste não estiver disponível, os caminhões devem ser equipados com mecanismo de içamento hidráulico </w:t>
      </w:r>
      <w:r w:rsidR="00985924">
        <w:t>(</w:t>
      </w:r>
      <w:r w:rsidR="00985924" w:rsidRPr="002C6FAB">
        <w:rPr>
          <w:i/>
        </w:rPr>
        <w:t>munk</w:t>
      </w:r>
      <w:r w:rsidR="00985924">
        <w:t xml:space="preserve">) </w:t>
      </w:r>
      <w:r w:rsidRPr="00EE0E12">
        <w:t>para carregar os resíduos aos caminhões de tra</w:t>
      </w:r>
      <w:r w:rsidR="00947A22">
        <w:t>ns</w:t>
      </w:r>
      <w:r w:rsidRPr="00EE0E12">
        <w:t>porte de resíduos. O uso de empilhadeiras para carregar resíduos do solo para caminhões também é possível.</w:t>
      </w:r>
    </w:p>
    <w:p w14:paraId="114C3341" w14:textId="77777777" w:rsidR="007E0169" w:rsidRPr="00EE0E12" w:rsidRDefault="007E0169" w:rsidP="00BF4947">
      <w:pPr>
        <w:pStyle w:val="tier1Itext"/>
      </w:pPr>
      <w:r w:rsidRPr="00EE0E12">
        <w:t xml:space="preserve">Ressalta-se que um inventário deverá ser mantido e atualizado para o adequado controle dos resíduos armazenados na Base de </w:t>
      </w:r>
      <w:r w:rsidR="00BF4947">
        <w:t>Apoio ou instalação provisória.</w:t>
      </w:r>
    </w:p>
    <w:p w14:paraId="3356F193" w14:textId="77777777" w:rsidR="007E0169" w:rsidRPr="00EE0E12" w:rsidRDefault="007E0169" w:rsidP="00BF4947">
      <w:pPr>
        <w:pStyle w:val="tier1Itext"/>
      </w:pPr>
      <w:r w:rsidRPr="00EE0E12">
        <w:lastRenderedPageBreak/>
        <w:t>Outro objetivo que deve ser procurado diz respeito ao esforço na redução de quantidades de resíduos gerados, principalmente na mistura óleosa recolhida do mar. A utilização de sistemas separadores água-óleo portáteis a bordo de embarcações envolvidas nos esforços de contenção e recolhimento, ou em embarcações adicionais disponibilizadas ou na própria sonda de perfuração (se possível) para auxiliar no estoque da mistura recolhida durante as operações, é um ponto a ser considerado. Estas unidades processariam os volumes de água oleosa recolhida durante os períodos não operacionais</w:t>
      </w:r>
      <w:r w:rsidR="00985924">
        <w:t xml:space="preserve"> da resposta</w:t>
      </w:r>
      <w:r w:rsidRPr="00EE0E12">
        <w:t>, descartando seus efluentes de forma monitorada de acordo com os padrões definidos na Convenção MARPOL (15 ppm).</w:t>
      </w:r>
    </w:p>
    <w:p w14:paraId="297E52C8" w14:textId="77777777" w:rsidR="007E0169" w:rsidRPr="00EE0E12" w:rsidRDefault="007E0169" w:rsidP="00BF4947">
      <w:pPr>
        <w:pStyle w:val="tier1Itext"/>
        <w:rPr>
          <w:rFonts w:cstheme="majorHAnsi"/>
        </w:rPr>
      </w:pPr>
      <w:r w:rsidRPr="00EE0E12">
        <w:rPr>
          <w:rFonts w:cstheme="majorHAnsi"/>
        </w:rPr>
        <w:t xml:space="preserve">A </w:t>
      </w:r>
      <w:r w:rsidR="00FA49B6" w:rsidRPr="00FA49B6">
        <w:rPr>
          <w:rFonts w:cstheme="majorHAnsi"/>
          <w:b/>
        </w:rPr>
        <w:fldChar w:fldCharType="begin"/>
      </w:r>
      <w:r w:rsidR="00FA49B6" w:rsidRPr="00FA49B6">
        <w:rPr>
          <w:rFonts w:cstheme="majorHAnsi"/>
          <w:b/>
        </w:rPr>
        <w:instrText xml:space="preserve"> REF _Ref414560357 \h  \* MERGEFORMAT </w:instrText>
      </w:r>
      <w:r w:rsidR="00FA49B6" w:rsidRPr="00FA49B6">
        <w:rPr>
          <w:rFonts w:cstheme="majorHAnsi"/>
          <w:b/>
        </w:rPr>
      </w:r>
      <w:r w:rsidR="00FA49B6" w:rsidRPr="00FA49B6">
        <w:rPr>
          <w:rFonts w:cstheme="majorHAnsi"/>
          <w:b/>
        </w:rPr>
        <w:fldChar w:fldCharType="separate"/>
      </w:r>
      <w:r w:rsidR="00EC0293" w:rsidRPr="00EC0293">
        <w:rPr>
          <w:b/>
          <w:szCs w:val="20"/>
        </w:rPr>
        <w:t xml:space="preserve">Tabela </w:t>
      </w:r>
      <w:r w:rsidR="00EC0293" w:rsidRPr="00EC0293">
        <w:rPr>
          <w:b/>
          <w:noProof/>
          <w:szCs w:val="20"/>
        </w:rPr>
        <w:t>18</w:t>
      </w:r>
      <w:r w:rsidR="00FA49B6" w:rsidRPr="00FA49B6">
        <w:rPr>
          <w:rFonts w:cstheme="majorHAnsi"/>
          <w:b/>
        </w:rPr>
        <w:fldChar w:fldCharType="end"/>
      </w:r>
      <w:r w:rsidR="00BF4947" w:rsidRPr="00FA49B6">
        <w:rPr>
          <w:rFonts w:cstheme="majorHAnsi"/>
        </w:rPr>
        <w:t xml:space="preserve"> </w:t>
      </w:r>
      <w:r w:rsidRPr="00FA49B6">
        <w:rPr>
          <w:rFonts w:cstheme="majorHAnsi"/>
        </w:rPr>
        <w:t>l</w:t>
      </w:r>
      <w:r w:rsidRPr="00EE0E12">
        <w:rPr>
          <w:rFonts w:cstheme="majorHAnsi"/>
        </w:rPr>
        <w:t xml:space="preserve">ista exemplos de diferentes tipos de resíduos típicos gerados nas </w:t>
      </w:r>
      <w:r w:rsidR="00BF4947">
        <w:rPr>
          <w:rFonts w:cstheme="majorHAnsi"/>
        </w:rPr>
        <w:t>principais técnicas de resposta.</w:t>
      </w:r>
    </w:p>
    <w:p w14:paraId="6E3A9197" w14:textId="77777777" w:rsidR="007E0169" w:rsidRPr="00EE0E12" w:rsidRDefault="007E0169" w:rsidP="007E0169">
      <w:pPr>
        <w:rPr>
          <w:rFonts w:asciiTheme="majorHAnsi" w:hAnsiTheme="majorHAnsi"/>
        </w:rPr>
        <w:sectPr w:rsidR="007E0169" w:rsidRPr="00EE0E12" w:rsidSect="00656D39">
          <w:headerReference w:type="default" r:id="rId76"/>
          <w:footerReference w:type="default" r:id="rId77"/>
          <w:pgSz w:w="11906" w:h="16838" w:code="9"/>
          <w:pgMar w:top="1418" w:right="1418" w:bottom="1418" w:left="1418" w:header="170" w:footer="0" w:gutter="0"/>
          <w:cols w:space="708"/>
          <w:docGrid w:linePitch="360"/>
        </w:sectPr>
      </w:pPr>
    </w:p>
    <w:tbl>
      <w:tblPr>
        <w:tblW w:w="5000" w:type="pct"/>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shd w:val="clear" w:color="auto" w:fill="D9D9D9" w:themeFill="background1" w:themeFillShade="D9"/>
        <w:tblLook w:val="01E0" w:firstRow="1" w:lastRow="1" w:firstColumn="1" w:lastColumn="1" w:noHBand="0" w:noVBand="0"/>
      </w:tblPr>
      <w:tblGrid>
        <w:gridCol w:w="2027"/>
        <w:gridCol w:w="2604"/>
        <w:gridCol w:w="3188"/>
        <w:gridCol w:w="1447"/>
        <w:gridCol w:w="2171"/>
        <w:gridCol w:w="2535"/>
      </w:tblGrid>
      <w:tr w:rsidR="007E0169" w:rsidRPr="009236C4" w14:paraId="381F009C" w14:textId="77777777" w:rsidTr="0010683E">
        <w:trPr>
          <w:cantSplit/>
          <w:trHeight w:val="340"/>
          <w:tblHeader/>
        </w:trPr>
        <w:tc>
          <w:tcPr>
            <w:tcW w:w="5000" w:type="pct"/>
            <w:gridSpan w:val="6"/>
            <w:shd w:val="clear" w:color="auto" w:fill="FFFFFF" w:themeFill="background1"/>
            <w:vAlign w:val="bottom"/>
          </w:tcPr>
          <w:p w14:paraId="57F048A0" w14:textId="77777777" w:rsidR="007E0169" w:rsidRPr="009236C4" w:rsidRDefault="007E0169" w:rsidP="009236C4">
            <w:pPr>
              <w:pStyle w:val="Caption"/>
              <w:spacing w:before="0" w:after="0" w:line="240" w:lineRule="auto"/>
              <w:jc w:val="left"/>
              <w:rPr>
                <w:color w:val="FFFFFF" w:themeColor="background1"/>
                <w:szCs w:val="20"/>
              </w:rPr>
            </w:pPr>
            <w:bookmarkStart w:id="269" w:name="_Ref414560357"/>
            <w:bookmarkStart w:id="270" w:name="_Toc412812279"/>
            <w:bookmarkStart w:id="271" w:name="_Toc523834050"/>
            <w:r w:rsidRPr="009236C4">
              <w:rPr>
                <w:szCs w:val="20"/>
              </w:rPr>
              <w:lastRenderedPageBreak/>
              <w:t xml:space="preserve">Tabela </w:t>
            </w:r>
            <w:r w:rsidR="0036087F" w:rsidRPr="009236C4">
              <w:rPr>
                <w:szCs w:val="20"/>
              </w:rPr>
              <w:fldChar w:fldCharType="begin"/>
            </w:r>
            <w:r w:rsidR="0036087F" w:rsidRPr="009236C4">
              <w:rPr>
                <w:szCs w:val="20"/>
              </w:rPr>
              <w:instrText xml:space="preserve"> SEQ Tabela \* ARABIC </w:instrText>
            </w:r>
            <w:r w:rsidR="0036087F" w:rsidRPr="009236C4">
              <w:rPr>
                <w:szCs w:val="20"/>
              </w:rPr>
              <w:fldChar w:fldCharType="separate"/>
            </w:r>
            <w:r w:rsidR="00EC0293">
              <w:rPr>
                <w:noProof/>
                <w:szCs w:val="20"/>
              </w:rPr>
              <w:t>18</w:t>
            </w:r>
            <w:r w:rsidR="0036087F" w:rsidRPr="009236C4">
              <w:rPr>
                <w:noProof/>
                <w:szCs w:val="20"/>
              </w:rPr>
              <w:fldChar w:fldCharType="end"/>
            </w:r>
            <w:bookmarkEnd w:id="269"/>
            <w:r w:rsidRPr="009236C4">
              <w:rPr>
                <w:szCs w:val="20"/>
              </w:rPr>
              <w:t>: Tipos típicos de resíduos gerados durante uma operação de resposta a derramamentos de óleo e limpeza.</w:t>
            </w:r>
            <w:bookmarkEnd w:id="270"/>
            <w:bookmarkEnd w:id="271"/>
          </w:p>
        </w:tc>
      </w:tr>
      <w:tr w:rsidR="007E0169" w:rsidRPr="009236C4" w14:paraId="467E4A3B" w14:textId="77777777" w:rsidTr="0010683E">
        <w:trPr>
          <w:cantSplit/>
          <w:tblHeader/>
        </w:trPr>
        <w:tc>
          <w:tcPr>
            <w:tcW w:w="725" w:type="pct"/>
            <w:shd w:val="clear" w:color="auto" w:fill="1F497D"/>
            <w:vAlign w:val="center"/>
          </w:tcPr>
          <w:p w14:paraId="18673C63" w14:textId="77777777" w:rsidR="007E0169" w:rsidRPr="009236C4" w:rsidRDefault="007E0169" w:rsidP="009236C4">
            <w:pPr>
              <w:pStyle w:val="CharChar8"/>
              <w:rPr>
                <w:b/>
                <w:i w:val="0"/>
                <w:color w:val="FFFFFF" w:themeColor="background1"/>
              </w:rPr>
            </w:pPr>
            <w:r w:rsidRPr="009236C4">
              <w:rPr>
                <w:b/>
                <w:i w:val="0"/>
                <w:color w:val="FFFFFF" w:themeColor="background1"/>
              </w:rPr>
              <w:br w:type="page"/>
              <w:t>Local da Resposta</w:t>
            </w:r>
          </w:p>
        </w:tc>
        <w:tc>
          <w:tcPr>
            <w:tcW w:w="932" w:type="pct"/>
            <w:shd w:val="clear" w:color="auto" w:fill="1F497D"/>
            <w:vAlign w:val="center"/>
          </w:tcPr>
          <w:p w14:paraId="4B846207" w14:textId="77777777" w:rsidR="007E0169" w:rsidRPr="009236C4" w:rsidRDefault="007E0169" w:rsidP="009236C4">
            <w:pPr>
              <w:pStyle w:val="CharChar8"/>
              <w:rPr>
                <w:b/>
                <w:i w:val="0"/>
                <w:color w:val="FFFFFF" w:themeColor="background1"/>
              </w:rPr>
            </w:pPr>
            <w:r w:rsidRPr="009236C4">
              <w:rPr>
                <w:b/>
                <w:i w:val="0"/>
                <w:color w:val="FFFFFF" w:themeColor="background1"/>
              </w:rPr>
              <w:t>Fonte de Resíduos</w:t>
            </w:r>
          </w:p>
        </w:tc>
        <w:tc>
          <w:tcPr>
            <w:tcW w:w="1141" w:type="pct"/>
            <w:shd w:val="clear" w:color="auto" w:fill="1F497D"/>
            <w:vAlign w:val="center"/>
          </w:tcPr>
          <w:p w14:paraId="30B18BFF" w14:textId="77777777" w:rsidR="007E0169" w:rsidRPr="009236C4" w:rsidRDefault="007E0169" w:rsidP="009236C4">
            <w:pPr>
              <w:pStyle w:val="CharChar8"/>
              <w:rPr>
                <w:b/>
                <w:i w:val="0"/>
                <w:color w:val="FFFFFF" w:themeColor="background1"/>
              </w:rPr>
            </w:pPr>
            <w:r w:rsidRPr="009236C4">
              <w:rPr>
                <w:b/>
                <w:i w:val="0"/>
                <w:color w:val="FFFFFF" w:themeColor="background1"/>
              </w:rPr>
              <w:t>Tipo de Resíduo</w:t>
            </w:r>
          </w:p>
        </w:tc>
        <w:tc>
          <w:tcPr>
            <w:tcW w:w="518" w:type="pct"/>
            <w:shd w:val="clear" w:color="auto" w:fill="1F497D"/>
            <w:vAlign w:val="center"/>
          </w:tcPr>
          <w:p w14:paraId="26548D3B" w14:textId="77777777" w:rsidR="007E0169" w:rsidRPr="009236C4" w:rsidRDefault="007E0169" w:rsidP="009236C4">
            <w:pPr>
              <w:pStyle w:val="CharChar8"/>
              <w:rPr>
                <w:b/>
                <w:i w:val="0"/>
                <w:color w:val="FFFFFF" w:themeColor="background1"/>
              </w:rPr>
            </w:pPr>
            <w:r w:rsidRPr="009236C4">
              <w:rPr>
                <w:b/>
                <w:i w:val="0"/>
                <w:color w:val="FFFFFF" w:themeColor="background1"/>
              </w:rPr>
              <w:t>Classificação (NBR 10.004/04)</w:t>
            </w:r>
          </w:p>
        </w:tc>
        <w:tc>
          <w:tcPr>
            <w:tcW w:w="777" w:type="pct"/>
            <w:shd w:val="clear" w:color="auto" w:fill="1F497D"/>
            <w:vAlign w:val="center"/>
          </w:tcPr>
          <w:p w14:paraId="14BAD0E0" w14:textId="77777777" w:rsidR="007E0169" w:rsidRPr="009236C4" w:rsidRDefault="007E0169" w:rsidP="009236C4">
            <w:pPr>
              <w:pStyle w:val="CharChar8"/>
              <w:rPr>
                <w:b/>
                <w:i w:val="0"/>
                <w:color w:val="FFFFFF" w:themeColor="background1"/>
              </w:rPr>
            </w:pPr>
            <w:r w:rsidRPr="009236C4">
              <w:rPr>
                <w:b/>
                <w:i w:val="0"/>
                <w:color w:val="FFFFFF" w:themeColor="background1"/>
              </w:rPr>
              <w:t>Código de Cores</w:t>
            </w:r>
          </w:p>
          <w:p w14:paraId="5DEBDCF1" w14:textId="77777777" w:rsidR="007E0169" w:rsidRPr="009236C4" w:rsidRDefault="007E0169" w:rsidP="009236C4">
            <w:pPr>
              <w:pStyle w:val="CharChar8"/>
              <w:rPr>
                <w:b/>
                <w:i w:val="0"/>
                <w:color w:val="FFFFFF" w:themeColor="background1"/>
              </w:rPr>
            </w:pPr>
            <w:r w:rsidRPr="009236C4">
              <w:rPr>
                <w:b/>
                <w:i w:val="0"/>
                <w:color w:val="FFFFFF" w:themeColor="background1"/>
              </w:rPr>
              <w:t>(CONAMA 275)</w:t>
            </w:r>
          </w:p>
        </w:tc>
        <w:tc>
          <w:tcPr>
            <w:tcW w:w="907" w:type="pct"/>
            <w:shd w:val="clear" w:color="auto" w:fill="1F497D"/>
            <w:vAlign w:val="center"/>
          </w:tcPr>
          <w:p w14:paraId="3C87F2E7" w14:textId="77777777" w:rsidR="007E0169" w:rsidRPr="009236C4" w:rsidRDefault="007E0169" w:rsidP="009236C4">
            <w:pPr>
              <w:pStyle w:val="CharChar8"/>
              <w:rPr>
                <w:b/>
                <w:i w:val="0"/>
                <w:color w:val="FFFFFF" w:themeColor="background1"/>
              </w:rPr>
            </w:pPr>
            <w:r w:rsidRPr="009236C4">
              <w:rPr>
                <w:b/>
                <w:i w:val="0"/>
                <w:color w:val="FFFFFF" w:themeColor="background1"/>
              </w:rPr>
              <w:t>Alternativa de Armazenamento</w:t>
            </w:r>
          </w:p>
        </w:tc>
      </w:tr>
      <w:tr w:rsidR="007E0169" w:rsidRPr="009236C4" w14:paraId="0E2C1E0A" w14:textId="77777777" w:rsidTr="0010683E">
        <w:trPr>
          <w:cantSplit/>
          <w:trHeight w:val="454"/>
        </w:trPr>
        <w:tc>
          <w:tcPr>
            <w:tcW w:w="725" w:type="pct"/>
            <w:vMerge w:val="restart"/>
            <w:shd w:val="clear" w:color="auto" w:fill="D9D9D9" w:themeFill="background1" w:themeFillShade="D9"/>
            <w:vAlign w:val="center"/>
          </w:tcPr>
          <w:p w14:paraId="75F289C1" w14:textId="77777777" w:rsidR="007E0169" w:rsidRPr="009236C4" w:rsidRDefault="007E0169" w:rsidP="009236C4">
            <w:pPr>
              <w:pStyle w:val="CharChar8"/>
              <w:rPr>
                <w:i w:val="0"/>
              </w:rPr>
            </w:pPr>
            <w:r w:rsidRPr="009236C4">
              <w:rPr>
                <w:i w:val="0"/>
              </w:rPr>
              <w:t>Offshore (&gt;30 milhas da costa)</w:t>
            </w:r>
          </w:p>
        </w:tc>
        <w:tc>
          <w:tcPr>
            <w:tcW w:w="932" w:type="pct"/>
            <w:vMerge w:val="restart"/>
            <w:shd w:val="clear" w:color="auto" w:fill="D9D9D9" w:themeFill="background1" w:themeFillShade="D9"/>
            <w:vAlign w:val="center"/>
          </w:tcPr>
          <w:p w14:paraId="749BA686" w14:textId="77777777" w:rsidR="007E0169" w:rsidRPr="009236C4" w:rsidRDefault="007E0169" w:rsidP="009236C4">
            <w:pPr>
              <w:pStyle w:val="CharChar8"/>
              <w:rPr>
                <w:i w:val="0"/>
              </w:rPr>
            </w:pPr>
            <w:r w:rsidRPr="009236C4">
              <w:rPr>
                <w:i w:val="0"/>
              </w:rPr>
              <w:t>Atividade de aplicação de dispersante químico (Aplicação de dispersante por embarcações e aérea)</w:t>
            </w:r>
          </w:p>
        </w:tc>
        <w:tc>
          <w:tcPr>
            <w:tcW w:w="1141" w:type="pct"/>
            <w:shd w:val="clear" w:color="auto" w:fill="D9D9D9" w:themeFill="background1" w:themeFillShade="D9"/>
            <w:vAlign w:val="center"/>
          </w:tcPr>
          <w:p w14:paraId="125054CC" w14:textId="77777777" w:rsidR="007E0169" w:rsidRPr="009236C4" w:rsidRDefault="009236C4" w:rsidP="009236C4">
            <w:pPr>
              <w:pStyle w:val="CharChar8"/>
              <w:rPr>
                <w:i w:val="0"/>
              </w:rPr>
            </w:pPr>
            <w:r w:rsidRPr="009236C4">
              <w:rPr>
                <w:i w:val="0"/>
              </w:rPr>
              <w:t>P</w:t>
            </w:r>
            <w:r w:rsidR="007E0169" w:rsidRPr="009236C4">
              <w:rPr>
                <w:i w:val="0"/>
              </w:rPr>
              <w:t>otes de dispersantes vazios</w:t>
            </w:r>
          </w:p>
        </w:tc>
        <w:tc>
          <w:tcPr>
            <w:tcW w:w="518" w:type="pct"/>
            <w:shd w:val="clear" w:color="auto" w:fill="D9D9D9" w:themeFill="background1" w:themeFillShade="D9"/>
            <w:vAlign w:val="center"/>
          </w:tcPr>
          <w:p w14:paraId="2ED1E22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44DE26BF"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19813DCA" w14:textId="77777777" w:rsidR="007E0169" w:rsidRPr="009236C4" w:rsidRDefault="007E0169" w:rsidP="009236C4">
            <w:pPr>
              <w:pStyle w:val="CharChar8"/>
              <w:ind w:right="-105"/>
              <w:rPr>
                <w:i w:val="0"/>
              </w:rPr>
            </w:pPr>
            <w:r w:rsidRPr="009236C4">
              <w:rPr>
                <w:i w:val="0"/>
              </w:rPr>
              <w:t>Área de drenagem contida</w:t>
            </w:r>
          </w:p>
        </w:tc>
      </w:tr>
      <w:tr w:rsidR="007E0169" w:rsidRPr="009236C4" w14:paraId="57E5453E" w14:textId="77777777" w:rsidTr="0010683E">
        <w:trPr>
          <w:cantSplit/>
        </w:trPr>
        <w:tc>
          <w:tcPr>
            <w:tcW w:w="725" w:type="pct"/>
            <w:vMerge/>
            <w:shd w:val="clear" w:color="auto" w:fill="D9D9D9" w:themeFill="background1" w:themeFillShade="D9"/>
            <w:vAlign w:val="center"/>
          </w:tcPr>
          <w:p w14:paraId="4D892D3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2977630"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279DCA8F" w14:textId="77777777" w:rsidR="007E0169" w:rsidRPr="009236C4" w:rsidRDefault="007E0169" w:rsidP="009236C4">
            <w:pPr>
              <w:pStyle w:val="CharChar8"/>
              <w:rPr>
                <w:i w:val="0"/>
              </w:rPr>
            </w:pPr>
            <w:r w:rsidRPr="009236C4">
              <w:rPr>
                <w:i w:val="0"/>
              </w:rPr>
              <w:t>EPIs usados</w:t>
            </w:r>
          </w:p>
        </w:tc>
        <w:tc>
          <w:tcPr>
            <w:tcW w:w="518" w:type="pct"/>
            <w:shd w:val="clear" w:color="auto" w:fill="D9D9D9" w:themeFill="background1" w:themeFillShade="D9"/>
            <w:vAlign w:val="center"/>
          </w:tcPr>
          <w:p w14:paraId="6B708F7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583D8972"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BCECEED" w14:textId="77777777" w:rsidR="007E0169" w:rsidRPr="009236C4" w:rsidRDefault="007E0169" w:rsidP="009236C4">
            <w:pPr>
              <w:pStyle w:val="CharChar8"/>
              <w:ind w:right="-105"/>
              <w:rPr>
                <w:i w:val="0"/>
              </w:rPr>
            </w:pPr>
            <w:r w:rsidRPr="009236C4">
              <w:rPr>
                <w:i w:val="0"/>
              </w:rPr>
              <w:t>Bigbag com liner armazenados em caçambas metálicas ou containers</w:t>
            </w:r>
          </w:p>
        </w:tc>
      </w:tr>
      <w:tr w:rsidR="007E0169" w:rsidRPr="009236C4" w14:paraId="2C5A85C4" w14:textId="77777777" w:rsidTr="0010683E">
        <w:trPr>
          <w:cantSplit/>
          <w:trHeight w:val="454"/>
        </w:trPr>
        <w:tc>
          <w:tcPr>
            <w:tcW w:w="725" w:type="pct"/>
            <w:vMerge/>
            <w:shd w:val="clear" w:color="auto" w:fill="D9D9D9" w:themeFill="background1" w:themeFillShade="D9"/>
            <w:vAlign w:val="center"/>
          </w:tcPr>
          <w:p w14:paraId="119E51FD"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01BC110F" w14:textId="77777777" w:rsidR="007E0169" w:rsidRPr="009236C4" w:rsidRDefault="007E0169" w:rsidP="009236C4">
            <w:pPr>
              <w:pStyle w:val="CharChar8"/>
              <w:rPr>
                <w:i w:val="0"/>
              </w:rPr>
            </w:pPr>
            <w:r w:rsidRPr="009236C4">
              <w:rPr>
                <w:i w:val="0"/>
              </w:rPr>
              <w:t>Atividade de contenção e recolhimento</w:t>
            </w:r>
          </w:p>
        </w:tc>
        <w:tc>
          <w:tcPr>
            <w:tcW w:w="1141" w:type="pct"/>
            <w:shd w:val="clear" w:color="auto" w:fill="D9D9D9" w:themeFill="background1" w:themeFillShade="D9"/>
            <w:vAlign w:val="center"/>
          </w:tcPr>
          <w:p w14:paraId="26E71E21" w14:textId="77777777" w:rsidR="007E0169" w:rsidRPr="009236C4" w:rsidRDefault="007E0169" w:rsidP="009236C4">
            <w:pPr>
              <w:pStyle w:val="CharChar8"/>
              <w:rPr>
                <w:i w:val="0"/>
              </w:rPr>
            </w:pPr>
            <w:r w:rsidRPr="009236C4">
              <w:rPr>
                <w:i w:val="0"/>
              </w:rPr>
              <w:t>Água oleosa recuperada</w:t>
            </w:r>
          </w:p>
        </w:tc>
        <w:tc>
          <w:tcPr>
            <w:tcW w:w="518" w:type="pct"/>
            <w:shd w:val="clear" w:color="auto" w:fill="D9D9D9" w:themeFill="background1" w:themeFillShade="D9"/>
            <w:vAlign w:val="center"/>
          </w:tcPr>
          <w:p w14:paraId="0B7B9BE1"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017C096"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A43F6A9" w14:textId="77777777" w:rsidR="007E0169" w:rsidRPr="009236C4" w:rsidRDefault="007E0169" w:rsidP="009236C4">
            <w:pPr>
              <w:pStyle w:val="CharChar8"/>
              <w:ind w:right="-105"/>
              <w:rPr>
                <w:i w:val="0"/>
              </w:rPr>
            </w:pPr>
            <w:r w:rsidRPr="009236C4">
              <w:rPr>
                <w:i w:val="0"/>
              </w:rPr>
              <w:t>Tanques metálicos</w:t>
            </w:r>
          </w:p>
        </w:tc>
      </w:tr>
      <w:tr w:rsidR="007E0169" w:rsidRPr="009236C4" w14:paraId="40DCCDF1" w14:textId="77777777" w:rsidTr="0010683E">
        <w:trPr>
          <w:cantSplit/>
          <w:trHeight w:val="454"/>
        </w:trPr>
        <w:tc>
          <w:tcPr>
            <w:tcW w:w="725" w:type="pct"/>
            <w:vMerge w:val="restart"/>
            <w:shd w:val="clear" w:color="auto" w:fill="D9D9D9" w:themeFill="background1" w:themeFillShade="D9"/>
            <w:vAlign w:val="center"/>
          </w:tcPr>
          <w:p w14:paraId="27CA77E9" w14:textId="77777777" w:rsidR="007E0169" w:rsidRPr="009236C4" w:rsidRDefault="007E0169" w:rsidP="009236C4">
            <w:pPr>
              <w:pStyle w:val="CharChar8"/>
              <w:rPr>
                <w:i w:val="0"/>
              </w:rPr>
            </w:pPr>
            <w:r w:rsidRPr="009236C4">
              <w:rPr>
                <w:i w:val="0"/>
              </w:rPr>
              <w:t>Nearshore (entre 10 e 04 milhas da costa)</w:t>
            </w:r>
          </w:p>
        </w:tc>
        <w:tc>
          <w:tcPr>
            <w:tcW w:w="932" w:type="pct"/>
            <w:vMerge w:val="restart"/>
            <w:shd w:val="clear" w:color="auto" w:fill="D9D9D9" w:themeFill="background1" w:themeFillShade="D9"/>
            <w:vAlign w:val="center"/>
          </w:tcPr>
          <w:p w14:paraId="1D66F8F8" w14:textId="77777777" w:rsidR="007E0169" w:rsidRPr="009236C4" w:rsidRDefault="007E0169" w:rsidP="009236C4">
            <w:pPr>
              <w:pStyle w:val="CharChar8"/>
              <w:rPr>
                <w:i w:val="0"/>
              </w:rPr>
            </w:pPr>
            <w:r w:rsidRPr="009236C4">
              <w:rPr>
                <w:i w:val="0"/>
              </w:rPr>
              <w:t>Atividade de contenção e recolhimento</w:t>
            </w:r>
          </w:p>
        </w:tc>
        <w:tc>
          <w:tcPr>
            <w:tcW w:w="1141" w:type="pct"/>
            <w:shd w:val="clear" w:color="auto" w:fill="D9D9D9" w:themeFill="background1" w:themeFillShade="D9"/>
            <w:vAlign w:val="center"/>
          </w:tcPr>
          <w:p w14:paraId="1269F4F9" w14:textId="77777777" w:rsidR="007E0169" w:rsidRPr="009236C4" w:rsidRDefault="007E0169" w:rsidP="009236C4">
            <w:pPr>
              <w:pStyle w:val="CharChar8"/>
              <w:rPr>
                <w:i w:val="0"/>
              </w:rPr>
            </w:pPr>
            <w:r w:rsidRPr="009236C4">
              <w:rPr>
                <w:i w:val="0"/>
              </w:rPr>
              <w:t xml:space="preserve">Emulsões </w:t>
            </w:r>
          </w:p>
        </w:tc>
        <w:tc>
          <w:tcPr>
            <w:tcW w:w="518" w:type="pct"/>
            <w:shd w:val="clear" w:color="auto" w:fill="D9D9D9" w:themeFill="background1" w:themeFillShade="D9"/>
            <w:vAlign w:val="center"/>
          </w:tcPr>
          <w:p w14:paraId="05E7B4C0"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50DD762"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1F0C95D5" w14:textId="77777777" w:rsidR="007E0169" w:rsidRPr="009236C4" w:rsidRDefault="007E0169" w:rsidP="009236C4">
            <w:pPr>
              <w:pStyle w:val="CharChar8"/>
              <w:ind w:right="-105"/>
              <w:rPr>
                <w:i w:val="0"/>
              </w:rPr>
            </w:pPr>
            <w:r w:rsidRPr="009236C4">
              <w:rPr>
                <w:i w:val="0"/>
              </w:rPr>
              <w:t>Tanques ou tambor</w:t>
            </w:r>
            <w:r w:rsidR="009236C4" w:rsidRPr="009236C4">
              <w:rPr>
                <w:i w:val="0"/>
              </w:rPr>
              <w:t>es metálicos</w:t>
            </w:r>
          </w:p>
        </w:tc>
      </w:tr>
      <w:tr w:rsidR="007E0169" w:rsidRPr="009236C4" w14:paraId="71E45448" w14:textId="77777777" w:rsidTr="0010683E">
        <w:trPr>
          <w:cantSplit/>
          <w:trHeight w:val="454"/>
        </w:trPr>
        <w:tc>
          <w:tcPr>
            <w:tcW w:w="725" w:type="pct"/>
            <w:vMerge/>
            <w:shd w:val="clear" w:color="auto" w:fill="D9D9D9" w:themeFill="background1" w:themeFillShade="D9"/>
            <w:vAlign w:val="center"/>
          </w:tcPr>
          <w:p w14:paraId="71D56DEA"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3E6A245"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61EBF912" w14:textId="77777777" w:rsidR="007E0169" w:rsidRPr="009236C4" w:rsidRDefault="007E0169" w:rsidP="009236C4">
            <w:pPr>
              <w:pStyle w:val="CharChar8"/>
              <w:rPr>
                <w:i w:val="0"/>
              </w:rPr>
            </w:pPr>
            <w:r w:rsidRPr="009236C4">
              <w:rPr>
                <w:i w:val="0"/>
              </w:rPr>
              <w:t>Água oleosa recuperada</w:t>
            </w:r>
          </w:p>
        </w:tc>
        <w:tc>
          <w:tcPr>
            <w:tcW w:w="518" w:type="pct"/>
            <w:shd w:val="clear" w:color="auto" w:fill="D9D9D9" w:themeFill="background1" w:themeFillShade="D9"/>
            <w:vAlign w:val="center"/>
          </w:tcPr>
          <w:p w14:paraId="34BF16B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1D7F30E" w14:textId="77777777" w:rsidR="007E0169" w:rsidRPr="009236C4" w:rsidRDefault="007E0169"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749421DF" w14:textId="77777777" w:rsidR="007E0169" w:rsidRPr="009236C4" w:rsidRDefault="009236C4" w:rsidP="009236C4">
            <w:pPr>
              <w:pStyle w:val="CharChar8"/>
              <w:ind w:right="-105"/>
              <w:rPr>
                <w:i w:val="0"/>
              </w:rPr>
            </w:pPr>
            <w:r w:rsidRPr="009236C4">
              <w:rPr>
                <w:i w:val="0"/>
              </w:rPr>
              <w:t>Tanques ou tambores metálicos</w:t>
            </w:r>
          </w:p>
        </w:tc>
      </w:tr>
      <w:tr w:rsidR="007E0169" w:rsidRPr="009236C4" w14:paraId="4BCD7253" w14:textId="77777777" w:rsidTr="0010683E">
        <w:trPr>
          <w:cantSplit/>
          <w:trHeight w:val="573"/>
        </w:trPr>
        <w:tc>
          <w:tcPr>
            <w:tcW w:w="725" w:type="pct"/>
            <w:vMerge/>
            <w:shd w:val="clear" w:color="auto" w:fill="D9D9D9" w:themeFill="background1" w:themeFillShade="D9"/>
            <w:vAlign w:val="center"/>
          </w:tcPr>
          <w:p w14:paraId="5F823A2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1FCD417"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B61307F" w14:textId="77777777" w:rsidR="007E0169" w:rsidRPr="009236C4" w:rsidRDefault="007E0169" w:rsidP="009236C4">
            <w:pPr>
              <w:pStyle w:val="CharChar8"/>
              <w:rPr>
                <w:i w:val="0"/>
              </w:rPr>
            </w:pPr>
            <w:r w:rsidRPr="009236C4">
              <w:rPr>
                <w:i w:val="0"/>
              </w:rPr>
              <w:t>Materiais contaminados (EPI, absorventes, lixo flutuante)</w:t>
            </w:r>
          </w:p>
        </w:tc>
        <w:tc>
          <w:tcPr>
            <w:tcW w:w="518" w:type="pct"/>
            <w:shd w:val="clear" w:color="auto" w:fill="D9D9D9" w:themeFill="background1" w:themeFillShade="D9"/>
            <w:vAlign w:val="center"/>
          </w:tcPr>
          <w:p w14:paraId="5A8E768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6667675"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43DB36AD" w14:textId="77777777" w:rsidR="007E0169" w:rsidRPr="009236C4" w:rsidRDefault="007E0169" w:rsidP="009236C4">
            <w:pPr>
              <w:pStyle w:val="CharChar8"/>
              <w:ind w:right="-105"/>
              <w:rPr>
                <w:i w:val="0"/>
              </w:rPr>
            </w:pPr>
            <w:r w:rsidRPr="009236C4">
              <w:rPr>
                <w:i w:val="0"/>
              </w:rPr>
              <w:t>Bigbags com liner armazenados em caçambas metálicas ou containers</w:t>
            </w:r>
          </w:p>
        </w:tc>
      </w:tr>
      <w:tr w:rsidR="007E0169" w:rsidRPr="009236C4" w14:paraId="5F995054" w14:textId="77777777" w:rsidTr="0010683E">
        <w:trPr>
          <w:cantSplit/>
        </w:trPr>
        <w:tc>
          <w:tcPr>
            <w:tcW w:w="725" w:type="pct"/>
            <w:vMerge w:val="restart"/>
            <w:shd w:val="clear" w:color="auto" w:fill="D9D9D9" w:themeFill="background1" w:themeFillShade="D9"/>
            <w:vAlign w:val="center"/>
          </w:tcPr>
          <w:p w14:paraId="23A7AE13"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72CDD329" w14:textId="77777777" w:rsidR="007E0169" w:rsidRPr="009236C4" w:rsidRDefault="007E0169" w:rsidP="009236C4">
            <w:pPr>
              <w:pStyle w:val="CharChar8"/>
              <w:rPr>
                <w:i w:val="0"/>
              </w:rPr>
            </w:pPr>
            <w:r w:rsidRPr="009236C4">
              <w:rPr>
                <w:i w:val="0"/>
              </w:rPr>
              <w:t>Posto de Comando de Incidentes (Escritório)</w:t>
            </w:r>
          </w:p>
        </w:tc>
        <w:tc>
          <w:tcPr>
            <w:tcW w:w="1141" w:type="pct"/>
            <w:shd w:val="clear" w:color="auto" w:fill="D9D9D9" w:themeFill="background1" w:themeFillShade="D9"/>
            <w:vAlign w:val="center"/>
          </w:tcPr>
          <w:p w14:paraId="5D2AB7F1"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4ADF6FB1"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78CCBCA7" w14:textId="77777777" w:rsidR="007E0169" w:rsidRPr="009236C4" w:rsidRDefault="007E0169" w:rsidP="009236C4">
            <w:pPr>
              <w:pStyle w:val="CharChar8"/>
              <w:ind w:right="-105"/>
              <w:rPr>
                <w:i w:val="0"/>
              </w:rPr>
            </w:pPr>
            <w:r w:rsidRPr="009236C4">
              <w:rPr>
                <w:rFonts w:ascii="Times New Roman" w:hAnsi="Times New Roman" w:cs="Times New Roman"/>
                <w:i w:val="0"/>
              </w:rPr>
              <w:t>⁪</w:t>
            </w:r>
            <w:r w:rsidR="009236C4" w:rsidRPr="009236C4">
              <w:rPr>
                <w:i w:val="0"/>
              </w:rPr>
              <w:t>Marrom</w:t>
            </w:r>
          </w:p>
        </w:tc>
        <w:tc>
          <w:tcPr>
            <w:tcW w:w="907" w:type="pct"/>
            <w:shd w:val="clear" w:color="auto" w:fill="D9D9D9" w:themeFill="background1" w:themeFillShade="D9"/>
            <w:vAlign w:val="center"/>
          </w:tcPr>
          <w:p w14:paraId="616E4D53" w14:textId="77777777" w:rsidR="007E0169" w:rsidRPr="009236C4" w:rsidRDefault="007E0169" w:rsidP="009236C4">
            <w:pPr>
              <w:pStyle w:val="CharChar8"/>
              <w:ind w:right="-105"/>
              <w:rPr>
                <w:i w:val="0"/>
              </w:rPr>
            </w:pPr>
            <w:r w:rsidRPr="009236C4">
              <w:rPr>
                <w:i w:val="0"/>
              </w:rPr>
              <w:t>Tambores metálicos com tampa</w:t>
            </w:r>
          </w:p>
        </w:tc>
      </w:tr>
      <w:tr w:rsidR="007E0169" w:rsidRPr="009236C4" w14:paraId="5B154A8E" w14:textId="77777777" w:rsidTr="0010683E">
        <w:trPr>
          <w:cantSplit/>
        </w:trPr>
        <w:tc>
          <w:tcPr>
            <w:tcW w:w="725" w:type="pct"/>
            <w:vMerge/>
            <w:shd w:val="clear" w:color="auto" w:fill="D9D9D9" w:themeFill="background1" w:themeFillShade="D9"/>
            <w:vAlign w:val="center"/>
          </w:tcPr>
          <w:p w14:paraId="17AB84E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A174CD8"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5AEBBEA7"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20FDF1C0"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49300780" w14:textId="77777777" w:rsidR="007E0169" w:rsidRPr="009236C4" w:rsidRDefault="007E0169" w:rsidP="009236C4">
            <w:pPr>
              <w:pStyle w:val="CharChar8"/>
              <w:ind w:right="-105"/>
              <w:rPr>
                <w:i w:val="0"/>
              </w:rPr>
            </w:pPr>
            <w:r w:rsidRPr="009236C4">
              <w:rPr>
                <w:i w:val="0"/>
              </w:rPr>
              <w:t>Vermelho (Plástico), Verde (Vidro), Azul (Papel/Papelão), Cinza (resíduos não recicláveis)</w:t>
            </w:r>
          </w:p>
        </w:tc>
        <w:tc>
          <w:tcPr>
            <w:tcW w:w="907" w:type="pct"/>
            <w:shd w:val="clear" w:color="auto" w:fill="D9D9D9" w:themeFill="background1" w:themeFillShade="D9"/>
            <w:vAlign w:val="center"/>
          </w:tcPr>
          <w:p w14:paraId="529C8E8B" w14:textId="77777777" w:rsidR="007E0169" w:rsidRPr="009236C4" w:rsidRDefault="007E0169" w:rsidP="009236C4">
            <w:pPr>
              <w:pStyle w:val="CharChar8"/>
              <w:ind w:right="-105"/>
              <w:rPr>
                <w:i w:val="0"/>
              </w:rPr>
            </w:pPr>
            <w:r w:rsidRPr="009236C4">
              <w:rPr>
                <w:i w:val="0"/>
              </w:rPr>
              <w:t>Sacos grandes</w:t>
            </w:r>
          </w:p>
        </w:tc>
      </w:tr>
      <w:tr w:rsidR="007E0169" w:rsidRPr="009236C4" w14:paraId="2D2C7306" w14:textId="77777777" w:rsidTr="0010683E">
        <w:trPr>
          <w:cantSplit/>
          <w:trHeight w:val="454"/>
        </w:trPr>
        <w:tc>
          <w:tcPr>
            <w:tcW w:w="725" w:type="pct"/>
            <w:vMerge/>
            <w:shd w:val="clear" w:color="auto" w:fill="D9D9D9" w:themeFill="background1" w:themeFillShade="D9"/>
            <w:vAlign w:val="center"/>
          </w:tcPr>
          <w:p w14:paraId="5AD9FE2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77F90752"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279AC21C"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7715869B"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FD9F1BB" w14:textId="77777777" w:rsidR="007E0169" w:rsidRPr="009236C4" w:rsidRDefault="007E0169" w:rsidP="009236C4">
            <w:pPr>
              <w:pStyle w:val="CharChar8"/>
              <w:ind w:right="-105"/>
              <w:rPr>
                <w:i w:val="0"/>
              </w:rPr>
            </w:pPr>
            <w:r w:rsidRPr="009236C4">
              <w:rPr>
                <w:i w:val="0"/>
              </w:rPr>
              <w:t>Branco</w:t>
            </w:r>
          </w:p>
        </w:tc>
        <w:tc>
          <w:tcPr>
            <w:tcW w:w="907" w:type="pct"/>
            <w:shd w:val="clear" w:color="auto" w:fill="D9D9D9" w:themeFill="background1" w:themeFillShade="D9"/>
            <w:vAlign w:val="center"/>
          </w:tcPr>
          <w:p w14:paraId="371B4B81" w14:textId="77777777" w:rsidR="007E0169" w:rsidRPr="009236C4" w:rsidRDefault="009236C4" w:rsidP="009236C4">
            <w:pPr>
              <w:pStyle w:val="CharChar8"/>
              <w:ind w:right="-105"/>
              <w:rPr>
                <w:i w:val="0"/>
              </w:rPr>
            </w:pPr>
            <w:r w:rsidRPr="009236C4">
              <w:rPr>
                <w:i w:val="0"/>
              </w:rPr>
              <w:t>Container especial</w:t>
            </w:r>
          </w:p>
        </w:tc>
      </w:tr>
      <w:tr w:rsidR="007E0169" w:rsidRPr="009236C4" w14:paraId="43C8AEB6" w14:textId="77777777" w:rsidTr="0010683E">
        <w:trPr>
          <w:cantSplit/>
        </w:trPr>
        <w:tc>
          <w:tcPr>
            <w:tcW w:w="725" w:type="pct"/>
            <w:vMerge w:val="restart"/>
            <w:shd w:val="clear" w:color="auto" w:fill="D9D9D9" w:themeFill="background1" w:themeFillShade="D9"/>
            <w:vAlign w:val="center"/>
          </w:tcPr>
          <w:p w14:paraId="1D457AE2"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0D87F171" w14:textId="77777777" w:rsidR="007E0169" w:rsidRPr="009236C4" w:rsidRDefault="007E0169" w:rsidP="009236C4">
            <w:pPr>
              <w:pStyle w:val="CharChar8"/>
              <w:rPr>
                <w:b/>
                <w:i w:val="0"/>
              </w:rPr>
            </w:pPr>
            <w:r w:rsidRPr="009236C4">
              <w:rPr>
                <w:i w:val="0"/>
              </w:rPr>
              <w:t>Base de apoio onshore</w:t>
            </w:r>
          </w:p>
        </w:tc>
        <w:tc>
          <w:tcPr>
            <w:tcW w:w="1141" w:type="pct"/>
            <w:shd w:val="clear" w:color="auto" w:fill="D9D9D9" w:themeFill="background1" w:themeFillShade="D9"/>
            <w:vAlign w:val="center"/>
          </w:tcPr>
          <w:p w14:paraId="33463E83" w14:textId="77777777" w:rsidR="007E0169" w:rsidRPr="009236C4" w:rsidRDefault="007E0169" w:rsidP="009236C4">
            <w:pPr>
              <w:pStyle w:val="CharChar8"/>
              <w:rPr>
                <w:i w:val="0"/>
              </w:rPr>
            </w:pPr>
            <w:r w:rsidRPr="009236C4">
              <w:rPr>
                <w:i w:val="0"/>
              </w:rPr>
              <w:t>Materiais contaminados (EPI, resíduos contaminados.)</w:t>
            </w:r>
          </w:p>
        </w:tc>
        <w:tc>
          <w:tcPr>
            <w:tcW w:w="518" w:type="pct"/>
            <w:shd w:val="clear" w:color="auto" w:fill="D9D9D9" w:themeFill="background1" w:themeFillShade="D9"/>
            <w:vAlign w:val="center"/>
          </w:tcPr>
          <w:p w14:paraId="28D905D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8C24301" w14:textId="77777777" w:rsidR="007E0169" w:rsidRPr="009236C4" w:rsidRDefault="009236C4" w:rsidP="009236C4">
            <w:pPr>
              <w:pStyle w:val="CharChar8"/>
              <w:ind w:right="-105"/>
              <w:rPr>
                <w:i w:val="0"/>
              </w:rPr>
            </w:pPr>
            <w:r w:rsidRPr="009236C4">
              <w:rPr>
                <w:i w:val="0"/>
              </w:rPr>
              <w:t>Laranja</w:t>
            </w:r>
          </w:p>
        </w:tc>
        <w:tc>
          <w:tcPr>
            <w:tcW w:w="907" w:type="pct"/>
            <w:shd w:val="clear" w:color="auto" w:fill="D9D9D9" w:themeFill="background1" w:themeFillShade="D9"/>
            <w:vAlign w:val="center"/>
          </w:tcPr>
          <w:p w14:paraId="3F9149CA" w14:textId="77777777" w:rsidR="007E0169" w:rsidRPr="009236C4" w:rsidRDefault="007E0169" w:rsidP="009236C4">
            <w:pPr>
              <w:pStyle w:val="CharChar8"/>
              <w:ind w:right="-105"/>
              <w:rPr>
                <w:i w:val="0"/>
              </w:rPr>
            </w:pPr>
            <w:r w:rsidRPr="009236C4">
              <w:rPr>
                <w:i w:val="0"/>
              </w:rPr>
              <w:t>Bigbags com liner armazenados em caçambas metálicas ou containers</w:t>
            </w:r>
          </w:p>
        </w:tc>
      </w:tr>
      <w:tr w:rsidR="007E0169" w:rsidRPr="009236C4" w14:paraId="1E25CE52" w14:textId="77777777" w:rsidTr="0010683E">
        <w:trPr>
          <w:cantSplit/>
        </w:trPr>
        <w:tc>
          <w:tcPr>
            <w:tcW w:w="725" w:type="pct"/>
            <w:vMerge/>
            <w:shd w:val="clear" w:color="auto" w:fill="D9D9D9" w:themeFill="background1" w:themeFillShade="D9"/>
            <w:vAlign w:val="center"/>
          </w:tcPr>
          <w:p w14:paraId="04E35E47"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21A47B5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3E1BD51A"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4CCB17E4"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266070AE" w14:textId="77777777" w:rsidR="007E0169" w:rsidRPr="009236C4" w:rsidRDefault="007E0169" w:rsidP="009236C4">
            <w:pPr>
              <w:pStyle w:val="CharChar8"/>
              <w:ind w:right="-105"/>
              <w:rPr>
                <w:i w:val="0"/>
              </w:rPr>
            </w:pPr>
            <w:r w:rsidRPr="009236C4">
              <w:rPr>
                <w:rFonts w:ascii="Times New Roman" w:hAnsi="Times New Roman" w:cs="Times New Roman"/>
                <w:i w:val="0"/>
              </w:rPr>
              <w:t>⁪</w:t>
            </w:r>
            <w:r w:rsidR="009236C4" w:rsidRPr="009236C4">
              <w:rPr>
                <w:i w:val="0"/>
              </w:rPr>
              <w:t>Marrom</w:t>
            </w:r>
          </w:p>
        </w:tc>
        <w:tc>
          <w:tcPr>
            <w:tcW w:w="907" w:type="pct"/>
            <w:shd w:val="clear" w:color="auto" w:fill="D9D9D9" w:themeFill="background1" w:themeFillShade="D9"/>
            <w:vAlign w:val="center"/>
          </w:tcPr>
          <w:p w14:paraId="5CCF776F" w14:textId="77777777" w:rsidR="007E0169" w:rsidRPr="009236C4" w:rsidRDefault="007E0169" w:rsidP="009236C4">
            <w:pPr>
              <w:pStyle w:val="CharChar8"/>
              <w:ind w:right="-105"/>
              <w:rPr>
                <w:i w:val="0"/>
              </w:rPr>
            </w:pPr>
            <w:r w:rsidRPr="009236C4">
              <w:rPr>
                <w:i w:val="0"/>
              </w:rPr>
              <w:t>Tambores metálicos com tampa</w:t>
            </w:r>
          </w:p>
        </w:tc>
      </w:tr>
      <w:tr w:rsidR="007E0169" w:rsidRPr="009236C4" w14:paraId="68AA9CBC" w14:textId="77777777" w:rsidTr="0010683E">
        <w:trPr>
          <w:cantSplit/>
        </w:trPr>
        <w:tc>
          <w:tcPr>
            <w:tcW w:w="725" w:type="pct"/>
            <w:vMerge/>
            <w:shd w:val="clear" w:color="auto" w:fill="D9D9D9" w:themeFill="background1" w:themeFillShade="D9"/>
            <w:vAlign w:val="center"/>
          </w:tcPr>
          <w:p w14:paraId="2B68CFF8"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6EFF2F10"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EBD6E13"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5434B315"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04C700DA" w14:textId="77777777" w:rsidR="007E0169" w:rsidRPr="009236C4" w:rsidRDefault="007E0169" w:rsidP="009236C4">
            <w:pPr>
              <w:pStyle w:val="CharChar8"/>
              <w:rPr>
                <w:i w:val="0"/>
              </w:rPr>
            </w:pPr>
            <w:r w:rsidRPr="009236C4">
              <w:rPr>
                <w:i w:val="0"/>
              </w:rPr>
              <w:t xml:space="preserve"> Vermelho (Plástico), Verde (Vidro), </w:t>
            </w:r>
          </w:p>
          <w:p w14:paraId="617864F7" w14:textId="77777777" w:rsidR="007E0169" w:rsidRPr="009236C4" w:rsidRDefault="007E0169" w:rsidP="009236C4">
            <w:pPr>
              <w:pStyle w:val="CharChar8"/>
              <w:rPr>
                <w:i w:val="0"/>
              </w:rPr>
            </w:pPr>
            <w:r w:rsidRPr="009236C4">
              <w:rPr>
                <w:i w:val="0"/>
              </w:rPr>
              <w:t>Azul (Papel/Papelão), Cinza (resíduos não recicláveis)</w:t>
            </w:r>
          </w:p>
        </w:tc>
        <w:tc>
          <w:tcPr>
            <w:tcW w:w="907" w:type="pct"/>
            <w:shd w:val="clear" w:color="auto" w:fill="D9D9D9" w:themeFill="background1" w:themeFillShade="D9"/>
            <w:vAlign w:val="center"/>
          </w:tcPr>
          <w:p w14:paraId="62C6334B" w14:textId="77777777" w:rsidR="007E0169" w:rsidRPr="009236C4" w:rsidRDefault="007E0169" w:rsidP="009236C4">
            <w:pPr>
              <w:pStyle w:val="CharChar8"/>
              <w:rPr>
                <w:i w:val="0"/>
              </w:rPr>
            </w:pPr>
            <w:r w:rsidRPr="009236C4">
              <w:rPr>
                <w:i w:val="0"/>
              </w:rPr>
              <w:t>Sacos grandes</w:t>
            </w:r>
          </w:p>
        </w:tc>
      </w:tr>
      <w:tr w:rsidR="007E0169" w:rsidRPr="009236C4" w14:paraId="673E9DF6" w14:textId="77777777" w:rsidTr="0010683E">
        <w:trPr>
          <w:cantSplit/>
          <w:trHeight w:val="454"/>
        </w:trPr>
        <w:tc>
          <w:tcPr>
            <w:tcW w:w="725" w:type="pct"/>
            <w:vMerge/>
            <w:shd w:val="clear" w:color="auto" w:fill="D9D9D9" w:themeFill="background1" w:themeFillShade="D9"/>
            <w:vAlign w:val="center"/>
          </w:tcPr>
          <w:p w14:paraId="744BC5FD"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19F7781E"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5C7DE74"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1FADF3E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6F722CF2" w14:textId="77777777" w:rsidR="007E0169" w:rsidRPr="009236C4" w:rsidRDefault="007E0169" w:rsidP="009236C4">
            <w:pPr>
              <w:pStyle w:val="CharChar8"/>
              <w:rPr>
                <w:i w:val="0"/>
              </w:rPr>
            </w:pPr>
            <w:r w:rsidRPr="009236C4">
              <w:rPr>
                <w:i w:val="0"/>
              </w:rPr>
              <w:t>Branco</w:t>
            </w:r>
          </w:p>
        </w:tc>
        <w:tc>
          <w:tcPr>
            <w:tcW w:w="907" w:type="pct"/>
            <w:shd w:val="clear" w:color="auto" w:fill="D9D9D9" w:themeFill="background1" w:themeFillShade="D9"/>
            <w:vAlign w:val="center"/>
          </w:tcPr>
          <w:p w14:paraId="0A3325D2" w14:textId="77777777" w:rsidR="007E0169" w:rsidRPr="009236C4" w:rsidRDefault="007E0169" w:rsidP="009236C4">
            <w:pPr>
              <w:pStyle w:val="CharChar8"/>
              <w:rPr>
                <w:i w:val="0"/>
              </w:rPr>
            </w:pPr>
            <w:r w:rsidRPr="009236C4">
              <w:rPr>
                <w:i w:val="0"/>
              </w:rPr>
              <w:t xml:space="preserve">Container especial </w:t>
            </w:r>
          </w:p>
        </w:tc>
      </w:tr>
      <w:tr w:rsidR="007E0169" w:rsidRPr="009236C4" w14:paraId="1B6E5442" w14:textId="77777777" w:rsidTr="0010683E">
        <w:trPr>
          <w:cantSplit/>
        </w:trPr>
        <w:tc>
          <w:tcPr>
            <w:tcW w:w="725" w:type="pct"/>
            <w:vMerge w:val="restart"/>
            <w:shd w:val="clear" w:color="auto" w:fill="D9D9D9" w:themeFill="background1" w:themeFillShade="D9"/>
            <w:vAlign w:val="center"/>
          </w:tcPr>
          <w:p w14:paraId="683EDACE" w14:textId="77777777" w:rsidR="007E0169" w:rsidRPr="009236C4" w:rsidRDefault="007E0169" w:rsidP="009236C4">
            <w:pPr>
              <w:pStyle w:val="CharChar8"/>
              <w:rPr>
                <w:i w:val="0"/>
              </w:rPr>
            </w:pPr>
            <w:r w:rsidRPr="009236C4">
              <w:rPr>
                <w:i w:val="0"/>
              </w:rPr>
              <w:t>Instalações de suporte onshore</w:t>
            </w:r>
          </w:p>
        </w:tc>
        <w:tc>
          <w:tcPr>
            <w:tcW w:w="932" w:type="pct"/>
            <w:shd w:val="clear" w:color="auto" w:fill="D9D9D9" w:themeFill="background1" w:themeFillShade="D9"/>
            <w:vAlign w:val="center"/>
          </w:tcPr>
          <w:p w14:paraId="4E5CF504"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5F306EAC"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60129C9E"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450F34F6" w14:textId="77777777" w:rsidR="007E0169" w:rsidRPr="009236C4" w:rsidRDefault="007E0169" w:rsidP="009236C4">
            <w:pPr>
              <w:pStyle w:val="CharChar8"/>
              <w:rPr>
                <w:i w:val="0"/>
              </w:rPr>
            </w:pPr>
            <w:r w:rsidRPr="009236C4">
              <w:rPr>
                <w:rFonts w:ascii="Times New Roman" w:hAnsi="Times New Roman" w:cs="Times New Roman"/>
                <w:i w:val="0"/>
              </w:rPr>
              <w:t>⁪</w:t>
            </w:r>
            <w:r w:rsidRPr="009236C4">
              <w:rPr>
                <w:i w:val="0"/>
              </w:rPr>
              <w:t>Marrom</w:t>
            </w:r>
          </w:p>
        </w:tc>
        <w:tc>
          <w:tcPr>
            <w:tcW w:w="907" w:type="pct"/>
            <w:shd w:val="clear" w:color="auto" w:fill="D9D9D9" w:themeFill="background1" w:themeFillShade="D9"/>
            <w:vAlign w:val="center"/>
          </w:tcPr>
          <w:p w14:paraId="736F99DB" w14:textId="77777777" w:rsidR="007E0169" w:rsidRPr="009236C4" w:rsidRDefault="007E0169" w:rsidP="009236C4">
            <w:pPr>
              <w:pStyle w:val="CharChar8"/>
              <w:rPr>
                <w:i w:val="0"/>
              </w:rPr>
            </w:pPr>
            <w:r w:rsidRPr="009236C4">
              <w:rPr>
                <w:i w:val="0"/>
              </w:rPr>
              <w:t>Tambores metálicos com tampa</w:t>
            </w:r>
          </w:p>
        </w:tc>
      </w:tr>
      <w:tr w:rsidR="007E0169" w:rsidRPr="009236C4" w14:paraId="6CA2EF55" w14:textId="77777777" w:rsidTr="0010683E">
        <w:trPr>
          <w:cantSplit/>
        </w:trPr>
        <w:tc>
          <w:tcPr>
            <w:tcW w:w="725" w:type="pct"/>
            <w:vMerge/>
            <w:shd w:val="clear" w:color="auto" w:fill="D9D9D9" w:themeFill="background1" w:themeFillShade="D9"/>
            <w:vAlign w:val="center"/>
          </w:tcPr>
          <w:p w14:paraId="72A31874"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75EE07FC"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47B5337A"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0D849C93"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3377714B" w14:textId="77777777" w:rsidR="007E0169" w:rsidRPr="009236C4" w:rsidRDefault="007E0169" w:rsidP="009236C4">
            <w:pPr>
              <w:pStyle w:val="CharChar8"/>
              <w:rPr>
                <w:i w:val="0"/>
              </w:rPr>
            </w:pPr>
            <w:r w:rsidRPr="009236C4">
              <w:rPr>
                <w:i w:val="0"/>
              </w:rPr>
              <w:t>Vermelho (Plástico), Verde (Vidro), Azul (Papel/Papelão), Cinza (resíduos não recicláveis)</w:t>
            </w:r>
          </w:p>
        </w:tc>
        <w:tc>
          <w:tcPr>
            <w:tcW w:w="907" w:type="pct"/>
            <w:shd w:val="clear" w:color="auto" w:fill="D9D9D9" w:themeFill="background1" w:themeFillShade="D9"/>
            <w:vAlign w:val="center"/>
          </w:tcPr>
          <w:p w14:paraId="08422570" w14:textId="77777777" w:rsidR="007E0169" w:rsidRPr="009236C4" w:rsidRDefault="007E0169" w:rsidP="009236C4">
            <w:pPr>
              <w:pStyle w:val="CharChar8"/>
              <w:rPr>
                <w:i w:val="0"/>
              </w:rPr>
            </w:pPr>
            <w:r w:rsidRPr="009236C4">
              <w:rPr>
                <w:i w:val="0"/>
              </w:rPr>
              <w:t>Sacos grandes armazenados em caçambas de metal</w:t>
            </w:r>
          </w:p>
        </w:tc>
      </w:tr>
      <w:tr w:rsidR="007E0169" w:rsidRPr="009236C4" w14:paraId="22AA7188" w14:textId="77777777" w:rsidTr="0010683E">
        <w:trPr>
          <w:cantSplit/>
          <w:trHeight w:val="1006"/>
        </w:trPr>
        <w:tc>
          <w:tcPr>
            <w:tcW w:w="725" w:type="pct"/>
            <w:vMerge w:val="restart"/>
            <w:shd w:val="clear" w:color="auto" w:fill="D9D9D9" w:themeFill="background1" w:themeFillShade="D9"/>
            <w:vAlign w:val="center"/>
          </w:tcPr>
          <w:p w14:paraId="41C4922E"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2D28C3C2" w14:textId="77777777" w:rsidR="007E0169" w:rsidRPr="009236C4" w:rsidRDefault="007E0169" w:rsidP="009236C4">
            <w:pPr>
              <w:pStyle w:val="CharChar8"/>
              <w:rPr>
                <w:i w:val="0"/>
              </w:rPr>
            </w:pPr>
            <w:r w:rsidRPr="009236C4">
              <w:rPr>
                <w:i w:val="0"/>
              </w:rPr>
              <w:t>Área(s) de Apoio às Operações</w:t>
            </w:r>
          </w:p>
        </w:tc>
        <w:tc>
          <w:tcPr>
            <w:tcW w:w="1141" w:type="pct"/>
            <w:shd w:val="clear" w:color="auto" w:fill="D9D9D9" w:themeFill="background1" w:themeFillShade="D9"/>
            <w:vAlign w:val="center"/>
          </w:tcPr>
          <w:p w14:paraId="0FEAA32D" w14:textId="77777777" w:rsidR="007E0169" w:rsidRPr="009236C4" w:rsidRDefault="007E0169" w:rsidP="009236C4">
            <w:pPr>
              <w:pStyle w:val="CharChar8"/>
              <w:rPr>
                <w:i w:val="0"/>
              </w:rPr>
            </w:pPr>
            <w:r w:rsidRPr="009236C4">
              <w:rPr>
                <w:i w:val="0"/>
              </w:rPr>
              <w:t>Resíduo Perigoso</w:t>
            </w:r>
          </w:p>
        </w:tc>
        <w:tc>
          <w:tcPr>
            <w:tcW w:w="518" w:type="pct"/>
            <w:shd w:val="clear" w:color="auto" w:fill="D9D9D9" w:themeFill="background1" w:themeFillShade="D9"/>
            <w:vAlign w:val="center"/>
          </w:tcPr>
          <w:p w14:paraId="3782A39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9CA4161" w14:textId="77777777" w:rsidR="007E0169" w:rsidRPr="009236C4" w:rsidRDefault="007E0169" w:rsidP="009236C4">
            <w:pPr>
              <w:pStyle w:val="CharChar8"/>
              <w:rPr>
                <w:i w:val="0"/>
              </w:rPr>
            </w:pPr>
            <w:r w:rsidRPr="009236C4">
              <w:rPr>
                <w:i w:val="0"/>
              </w:rPr>
              <w:t xml:space="preserve">Laranja </w:t>
            </w:r>
          </w:p>
        </w:tc>
        <w:tc>
          <w:tcPr>
            <w:tcW w:w="907" w:type="pct"/>
            <w:shd w:val="clear" w:color="auto" w:fill="D9D9D9" w:themeFill="background1" w:themeFillShade="D9"/>
            <w:vAlign w:val="center"/>
          </w:tcPr>
          <w:p w14:paraId="4F3AED32" w14:textId="77777777" w:rsidR="007E0169" w:rsidRPr="009236C4" w:rsidRDefault="007E0169" w:rsidP="009236C4">
            <w:pPr>
              <w:pStyle w:val="CharChar8"/>
              <w:rPr>
                <w:i w:val="0"/>
              </w:rPr>
            </w:pPr>
            <w:r w:rsidRPr="009236C4">
              <w:rPr>
                <w:i w:val="0"/>
              </w:rPr>
              <w:t>Bigbags com liner armazenados em caçambas metálicas ou containers</w:t>
            </w:r>
          </w:p>
        </w:tc>
      </w:tr>
      <w:tr w:rsidR="007E0169" w:rsidRPr="009236C4" w14:paraId="5E454FBB" w14:textId="77777777" w:rsidTr="0010683E">
        <w:trPr>
          <w:cantSplit/>
        </w:trPr>
        <w:tc>
          <w:tcPr>
            <w:tcW w:w="725" w:type="pct"/>
            <w:vMerge/>
            <w:shd w:val="clear" w:color="auto" w:fill="D9D9D9" w:themeFill="background1" w:themeFillShade="D9"/>
            <w:vAlign w:val="center"/>
          </w:tcPr>
          <w:p w14:paraId="7FD22420"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C0E8E5"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2B36A09"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67F7DB18"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A9D236D" w14:textId="77777777" w:rsidR="007E0169" w:rsidRPr="009236C4" w:rsidRDefault="007E0169" w:rsidP="009236C4">
            <w:pPr>
              <w:pStyle w:val="CharChar8"/>
              <w:rPr>
                <w:i w:val="0"/>
              </w:rPr>
            </w:pPr>
            <w:r w:rsidRPr="009236C4">
              <w:rPr>
                <w:i w:val="0"/>
              </w:rPr>
              <w:t>Branco</w:t>
            </w:r>
          </w:p>
        </w:tc>
        <w:tc>
          <w:tcPr>
            <w:tcW w:w="907" w:type="pct"/>
            <w:shd w:val="clear" w:color="auto" w:fill="D9D9D9" w:themeFill="background1" w:themeFillShade="D9"/>
            <w:vAlign w:val="center"/>
          </w:tcPr>
          <w:p w14:paraId="6964E22A" w14:textId="77777777" w:rsidR="007E0169" w:rsidRPr="009236C4" w:rsidRDefault="007E0169" w:rsidP="009236C4">
            <w:pPr>
              <w:pStyle w:val="CharChar8"/>
              <w:rPr>
                <w:i w:val="0"/>
              </w:rPr>
            </w:pPr>
            <w:r w:rsidRPr="009236C4">
              <w:rPr>
                <w:i w:val="0"/>
              </w:rPr>
              <w:t>Containers especiais</w:t>
            </w:r>
          </w:p>
        </w:tc>
      </w:tr>
      <w:tr w:rsidR="007E0169" w:rsidRPr="009236C4" w14:paraId="192F0664" w14:textId="77777777" w:rsidTr="0010683E">
        <w:trPr>
          <w:cantSplit/>
        </w:trPr>
        <w:tc>
          <w:tcPr>
            <w:tcW w:w="725" w:type="pct"/>
            <w:vMerge/>
            <w:shd w:val="clear" w:color="auto" w:fill="D9D9D9" w:themeFill="background1" w:themeFillShade="D9"/>
            <w:vAlign w:val="center"/>
          </w:tcPr>
          <w:p w14:paraId="2410970C"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2B7F603B" w14:textId="77777777" w:rsidR="007E0169" w:rsidRPr="009236C4" w:rsidRDefault="007E0169" w:rsidP="009236C4">
            <w:pPr>
              <w:pStyle w:val="CharChar8"/>
              <w:rPr>
                <w:i w:val="0"/>
              </w:rPr>
            </w:pPr>
            <w:r w:rsidRPr="009236C4">
              <w:rPr>
                <w:i w:val="0"/>
              </w:rPr>
              <w:t>Área de descontaminação de pessoal e equipamentos</w:t>
            </w:r>
          </w:p>
        </w:tc>
        <w:tc>
          <w:tcPr>
            <w:tcW w:w="1141" w:type="pct"/>
            <w:shd w:val="clear" w:color="auto" w:fill="D9D9D9" w:themeFill="background1" w:themeFillShade="D9"/>
            <w:vAlign w:val="center"/>
          </w:tcPr>
          <w:p w14:paraId="509B8C1A" w14:textId="77777777" w:rsidR="007E0169" w:rsidRPr="009236C4" w:rsidRDefault="007E0169" w:rsidP="009236C4">
            <w:pPr>
              <w:pStyle w:val="CharChar8"/>
              <w:rPr>
                <w:i w:val="0"/>
              </w:rPr>
            </w:pPr>
            <w:r w:rsidRPr="009236C4">
              <w:rPr>
                <w:i w:val="0"/>
              </w:rPr>
              <w:t>Material contaminado (EPI, efluentes oleosos, material conta</w:t>
            </w:r>
            <w:r w:rsidR="009236C4">
              <w:rPr>
                <w:i w:val="0"/>
              </w:rPr>
              <w:t>m</w:t>
            </w:r>
            <w:r w:rsidRPr="009236C4">
              <w:rPr>
                <w:i w:val="0"/>
              </w:rPr>
              <w:t>inado, absorventes, etc.)</w:t>
            </w:r>
          </w:p>
        </w:tc>
        <w:tc>
          <w:tcPr>
            <w:tcW w:w="518" w:type="pct"/>
            <w:shd w:val="clear" w:color="auto" w:fill="D9D9D9" w:themeFill="background1" w:themeFillShade="D9"/>
            <w:vAlign w:val="center"/>
          </w:tcPr>
          <w:p w14:paraId="7A5AA506"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279C062" w14:textId="77777777" w:rsidR="007E0169" w:rsidRPr="009236C4" w:rsidRDefault="007E0169" w:rsidP="009236C4">
            <w:pPr>
              <w:pStyle w:val="CharChar8"/>
              <w:rPr>
                <w:i w:val="0"/>
              </w:rPr>
            </w:pPr>
            <w:r w:rsidRPr="009236C4">
              <w:rPr>
                <w:i w:val="0"/>
              </w:rPr>
              <w:t xml:space="preserve">Laranja </w:t>
            </w:r>
          </w:p>
        </w:tc>
        <w:tc>
          <w:tcPr>
            <w:tcW w:w="907" w:type="pct"/>
            <w:shd w:val="clear" w:color="auto" w:fill="D9D9D9" w:themeFill="background1" w:themeFillShade="D9"/>
            <w:vAlign w:val="center"/>
          </w:tcPr>
          <w:p w14:paraId="13D623FB" w14:textId="77777777" w:rsidR="007E0169" w:rsidRPr="009236C4" w:rsidRDefault="007E0169" w:rsidP="009236C4">
            <w:pPr>
              <w:pStyle w:val="CharChar8"/>
              <w:rPr>
                <w:i w:val="0"/>
              </w:rPr>
            </w:pPr>
            <w:r w:rsidRPr="009236C4">
              <w:rPr>
                <w:i w:val="0"/>
              </w:rPr>
              <w:t>Bigbags com liner armazenados em caçambas metálicas ou container</w:t>
            </w:r>
          </w:p>
        </w:tc>
      </w:tr>
      <w:tr w:rsidR="007E0169" w:rsidRPr="009236C4" w14:paraId="7180E911" w14:textId="77777777" w:rsidTr="0010683E">
        <w:trPr>
          <w:cantSplit/>
          <w:trHeight w:val="454"/>
        </w:trPr>
        <w:tc>
          <w:tcPr>
            <w:tcW w:w="725" w:type="pct"/>
            <w:vMerge/>
            <w:shd w:val="clear" w:color="auto" w:fill="D9D9D9" w:themeFill="background1" w:themeFillShade="D9"/>
            <w:vAlign w:val="center"/>
          </w:tcPr>
          <w:p w14:paraId="3C14E945" w14:textId="77777777" w:rsidR="007E0169" w:rsidRPr="009236C4" w:rsidRDefault="007E0169" w:rsidP="009236C4">
            <w:pPr>
              <w:pStyle w:val="CharChar8"/>
              <w:rPr>
                <w:i w:val="0"/>
              </w:rPr>
            </w:pPr>
          </w:p>
        </w:tc>
        <w:tc>
          <w:tcPr>
            <w:tcW w:w="932" w:type="pct"/>
            <w:vMerge w:val="restart"/>
            <w:shd w:val="clear" w:color="auto" w:fill="D9D9D9" w:themeFill="background1" w:themeFillShade="D9"/>
            <w:vAlign w:val="center"/>
          </w:tcPr>
          <w:p w14:paraId="0945C5B9" w14:textId="77777777" w:rsidR="007E0169" w:rsidRPr="009236C4" w:rsidRDefault="007E0169" w:rsidP="009236C4">
            <w:pPr>
              <w:pStyle w:val="CharChar8"/>
              <w:rPr>
                <w:i w:val="0"/>
              </w:rPr>
            </w:pPr>
            <w:r w:rsidRPr="009236C4">
              <w:rPr>
                <w:i w:val="0"/>
              </w:rPr>
              <w:t>Estação central de descontaminação de equipamentos, veículos e barreiras</w:t>
            </w:r>
          </w:p>
        </w:tc>
        <w:tc>
          <w:tcPr>
            <w:tcW w:w="1141" w:type="pct"/>
            <w:shd w:val="clear" w:color="auto" w:fill="D9D9D9" w:themeFill="background1" w:themeFillShade="D9"/>
            <w:vAlign w:val="center"/>
          </w:tcPr>
          <w:p w14:paraId="54BF12E3" w14:textId="77777777" w:rsidR="007E0169" w:rsidRPr="009236C4" w:rsidRDefault="007E0169" w:rsidP="009236C4">
            <w:pPr>
              <w:pStyle w:val="CharChar8"/>
              <w:rPr>
                <w:i w:val="0"/>
              </w:rPr>
            </w:pPr>
            <w:r w:rsidRPr="009236C4">
              <w:rPr>
                <w:i w:val="0"/>
              </w:rPr>
              <w:t>Água Oleosa</w:t>
            </w:r>
          </w:p>
        </w:tc>
        <w:tc>
          <w:tcPr>
            <w:tcW w:w="518" w:type="pct"/>
            <w:shd w:val="clear" w:color="auto" w:fill="D9D9D9" w:themeFill="background1" w:themeFillShade="D9"/>
            <w:vAlign w:val="center"/>
          </w:tcPr>
          <w:p w14:paraId="41446FA6"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97BFD55"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24B29167" w14:textId="77777777" w:rsidR="007E0169" w:rsidRPr="009236C4" w:rsidRDefault="009236C4" w:rsidP="009236C4">
            <w:pPr>
              <w:pStyle w:val="CharChar8"/>
              <w:rPr>
                <w:i w:val="0"/>
              </w:rPr>
            </w:pPr>
            <w:r>
              <w:rPr>
                <w:i w:val="0"/>
              </w:rPr>
              <w:t>Tanques ou tambores metálicos</w:t>
            </w:r>
          </w:p>
        </w:tc>
      </w:tr>
      <w:tr w:rsidR="007E0169" w:rsidRPr="009236C4" w14:paraId="2529398A" w14:textId="77777777" w:rsidTr="0010683E">
        <w:trPr>
          <w:cantSplit/>
          <w:trHeight w:val="454"/>
        </w:trPr>
        <w:tc>
          <w:tcPr>
            <w:tcW w:w="725" w:type="pct"/>
            <w:vMerge/>
            <w:shd w:val="clear" w:color="auto" w:fill="D9D9D9" w:themeFill="background1" w:themeFillShade="D9"/>
            <w:vAlign w:val="center"/>
          </w:tcPr>
          <w:p w14:paraId="797A2A68"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5EB9D416"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1A0A3705" w14:textId="77777777" w:rsidR="007E0169" w:rsidRPr="009236C4" w:rsidRDefault="007E0169" w:rsidP="009236C4">
            <w:pPr>
              <w:pStyle w:val="CharChar8"/>
              <w:rPr>
                <w:i w:val="0"/>
              </w:rPr>
            </w:pPr>
            <w:r w:rsidRPr="009236C4">
              <w:rPr>
                <w:i w:val="0"/>
              </w:rPr>
              <w:t>Material contaminado</w:t>
            </w:r>
          </w:p>
        </w:tc>
        <w:tc>
          <w:tcPr>
            <w:tcW w:w="518" w:type="pct"/>
            <w:shd w:val="clear" w:color="auto" w:fill="D9D9D9" w:themeFill="background1" w:themeFillShade="D9"/>
            <w:vAlign w:val="center"/>
          </w:tcPr>
          <w:p w14:paraId="14ED8B4B"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80572DE"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04149873" w14:textId="77777777" w:rsidR="007E0169" w:rsidRPr="009236C4" w:rsidRDefault="007E0169" w:rsidP="009236C4">
            <w:pPr>
              <w:pStyle w:val="CharChar8"/>
              <w:rPr>
                <w:i w:val="0"/>
              </w:rPr>
            </w:pPr>
            <w:r w:rsidRPr="009236C4">
              <w:rPr>
                <w:i w:val="0"/>
              </w:rPr>
              <w:t>Bigbags com liner</w:t>
            </w:r>
          </w:p>
        </w:tc>
      </w:tr>
      <w:tr w:rsidR="007E0169" w:rsidRPr="009236C4" w14:paraId="2DE405B8" w14:textId="77777777" w:rsidTr="0010683E">
        <w:trPr>
          <w:cantSplit/>
          <w:trHeight w:val="454"/>
        </w:trPr>
        <w:tc>
          <w:tcPr>
            <w:tcW w:w="725" w:type="pct"/>
            <w:vMerge/>
            <w:shd w:val="clear" w:color="auto" w:fill="D9D9D9" w:themeFill="background1" w:themeFillShade="D9"/>
            <w:vAlign w:val="center"/>
          </w:tcPr>
          <w:p w14:paraId="39911ABB" w14:textId="77777777" w:rsidR="007E0169" w:rsidRPr="009236C4" w:rsidRDefault="007E0169" w:rsidP="009236C4">
            <w:pPr>
              <w:pStyle w:val="CharChar8"/>
              <w:rPr>
                <w:i w:val="0"/>
              </w:rPr>
            </w:pPr>
          </w:p>
        </w:tc>
        <w:tc>
          <w:tcPr>
            <w:tcW w:w="932" w:type="pct"/>
            <w:shd w:val="clear" w:color="auto" w:fill="D9D9D9" w:themeFill="background1" w:themeFillShade="D9"/>
            <w:vAlign w:val="center"/>
          </w:tcPr>
          <w:p w14:paraId="0EBB493C" w14:textId="77777777" w:rsidR="007E0169" w:rsidRPr="009236C4" w:rsidRDefault="007E0169" w:rsidP="009236C4">
            <w:pPr>
              <w:pStyle w:val="CharChar8"/>
              <w:rPr>
                <w:i w:val="0"/>
              </w:rPr>
            </w:pPr>
            <w:r w:rsidRPr="009236C4">
              <w:rPr>
                <w:i w:val="0"/>
              </w:rPr>
              <w:t>Estação de descontaminação de barco</w:t>
            </w:r>
          </w:p>
        </w:tc>
        <w:tc>
          <w:tcPr>
            <w:tcW w:w="1141" w:type="pct"/>
            <w:shd w:val="clear" w:color="auto" w:fill="D9D9D9" w:themeFill="background1" w:themeFillShade="D9"/>
            <w:vAlign w:val="center"/>
          </w:tcPr>
          <w:p w14:paraId="41F53958" w14:textId="77777777" w:rsidR="007E0169" w:rsidRPr="009236C4" w:rsidRDefault="007E0169" w:rsidP="009236C4">
            <w:pPr>
              <w:pStyle w:val="CharChar8"/>
              <w:rPr>
                <w:i w:val="0"/>
              </w:rPr>
            </w:pPr>
            <w:r w:rsidRPr="009236C4">
              <w:rPr>
                <w:i w:val="0"/>
              </w:rPr>
              <w:t>Efluente oleoso</w:t>
            </w:r>
          </w:p>
        </w:tc>
        <w:tc>
          <w:tcPr>
            <w:tcW w:w="518" w:type="pct"/>
            <w:shd w:val="clear" w:color="auto" w:fill="D9D9D9" w:themeFill="background1" w:themeFillShade="D9"/>
            <w:vAlign w:val="center"/>
          </w:tcPr>
          <w:p w14:paraId="77A5C7CC"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DEECD5A"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3D48D36E" w14:textId="77777777" w:rsidR="007E0169" w:rsidRPr="009236C4" w:rsidRDefault="009236C4" w:rsidP="009236C4">
            <w:pPr>
              <w:pStyle w:val="CharChar8"/>
              <w:rPr>
                <w:i w:val="0"/>
              </w:rPr>
            </w:pPr>
            <w:r>
              <w:rPr>
                <w:i w:val="0"/>
              </w:rPr>
              <w:t>Tanques ou tambores metálicos</w:t>
            </w:r>
          </w:p>
        </w:tc>
      </w:tr>
      <w:tr w:rsidR="007E0169" w:rsidRPr="009236C4" w14:paraId="18708F13" w14:textId="77777777" w:rsidTr="0010683E">
        <w:trPr>
          <w:cantSplit/>
        </w:trPr>
        <w:tc>
          <w:tcPr>
            <w:tcW w:w="725" w:type="pct"/>
            <w:vMerge/>
            <w:shd w:val="clear" w:color="auto" w:fill="D9D9D9" w:themeFill="background1" w:themeFillShade="D9"/>
            <w:vAlign w:val="center"/>
          </w:tcPr>
          <w:p w14:paraId="1FBC26C2" w14:textId="77777777" w:rsidR="007E0169" w:rsidRPr="009236C4" w:rsidRDefault="007E0169" w:rsidP="009236C4">
            <w:pPr>
              <w:pStyle w:val="CharChar8"/>
              <w:rPr>
                <w:i w:val="0"/>
              </w:rPr>
            </w:pPr>
          </w:p>
        </w:tc>
        <w:tc>
          <w:tcPr>
            <w:tcW w:w="932" w:type="pct"/>
            <w:vMerge w:val="restart"/>
            <w:shd w:val="clear" w:color="auto" w:fill="D9D9D9" w:themeFill="background1" w:themeFillShade="D9"/>
            <w:vAlign w:val="center"/>
          </w:tcPr>
          <w:p w14:paraId="10279BD3"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5A919BBB" w14:textId="77777777" w:rsidR="007E0169" w:rsidRPr="009236C4" w:rsidRDefault="007E0169" w:rsidP="009236C4">
            <w:pPr>
              <w:pStyle w:val="CharChar8"/>
              <w:rPr>
                <w:i w:val="0"/>
              </w:rPr>
            </w:pPr>
            <w:r w:rsidRPr="009236C4">
              <w:rPr>
                <w:i w:val="0"/>
              </w:rPr>
              <w:t>Resíduos de alimentos orgânicos</w:t>
            </w:r>
          </w:p>
        </w:tc>
        <w:tc>
          <w:tcPr>
            <w:tcW w:w="518" w:type="pct"/>
            <w:shd w:val="clear" w:color="auto" w:fill="D9D9D9" w:themeFill="background1" w:themeFillShade="D9"/>
            <w:vAlign w:val="center"/>
          </w:tcPr>
          <w:p w14:paraId="1F1049F9" w14:textId="77777777" w:rsidR="007E0169" w:rsidRPr="009236C4" w:rsidRDefault="007E0169" w:rsidP="009236C4">
            <w:pPr>
              <w:pStyle w:val="CharChar8"/>
              <w:rPr>
                <w:i w:val="0"/>
              </w:rPr>
            </w:pPr>
            <w:r w:rsidRPr="009236C4">
              <w:rPr>
                <w:i w:val="0"/>
              </w:rPr>
              <w:t>Classe II A</w:t>
            </w:r>
          </w:p>
        </w:tc>
        <w:tc>
          <w:tcPr>
            <w:tcW w:w="777" w:type="pct"/>
            <w:shd w:val="clear" w:color="auto" w:fill="D9D9D9" w:themeFill="background1" w:themeFillShade="D9"/>
            <w:vAlign w:val="center"/>
          </w:tcPr>
          <w:p w14:paraId="4EF2A4A8" w14:textId="77777777" w:rsidR="007E0169" w:rsidRPr="009236C4" w:rsidRDefault="007E0169" w:rsidP="009236C4">
            <w:pPr>
              <w:pStyle w:val="CharChar8"/>
              <w:rPr>
                <w:i w:val="0"/>
              </w:rPr>
            </w:pPr>
            <w:r w:rsidRPr="009236C4">
              <w:rPr>
                <w:rFonts w:ascii="Times New Roman" w:hAnsi="Times New Roman" w:cs="Times New Roman"/>
                <w:i w:val="0"/>
              </w:rPr>
              <w:t>⁪</w:t>
            </w:r>
            <w:r w:rsidRPr="009236C4">
              <w:rPr>
                <w:i w:val="0"/>
              </w:rPr>
              <w:t>Marrom</w:t>
            </w:r>
          </w:p>
        </w:tc>
        <w:tc>
          <w:tcPr>
            <w:tcW w:w="907" w:type="pct"/>
            <w:shd w:val="clear" w:color="auto" w:fill="D9D9D9" w:themeFill="background1" w:themeFillShade="D9"/>
            <w:vAlign w:val="center"/>
          </w:tcPr>
          <w:p w14:paraId="4DA39AA5" w14:textId="77777777" w:rsidR="007E0169" w:rsidRPr="009236C4" w:rsidRDefault="007E0169" w:rsidP="009236C4">
            <w:pPr>
              <w:pStyle w:val="CharChar8"/>
              <w:rPr>
                <w:i w:val="0"/>
              </w:rPr>
            </w:pPr>
            <w:r w:rsidRPr="009236C4">
              <w:rPr>
                <w:i w:val="0"/>
              </w:rPr>
              <w:t>Tambores metálicos co-bertos com revestimentos</w:t>
            </w:r>
          </w:p>
        </w:tc>
      </w:tr>
      <w:tr w:rsidR="007E0169" w:rsidRPr="009236C4" w14:paraId="4A54EB0A" w14:textId="77777777" w:rsidTr="0010683E">
        <w:trPr>
          <w:cantSplit/>
        </w:trPr>
        <w:tc>
          <w:tcPr>
            <w:tcW w:w="725" w:type="pct"/>
            <w:vMerge/>
            <w:shd w:val="clear" w:color="auto" w:fill="D9D9D9" w:themeFill="background1" w:themeFillShade="D9"/>
            <w:vAlign w:val="center"/>
          </w:tcPr>
          <w:p w14:paraId="312D8B4B"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458959"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75B2F1A5" w14:textId="77777777" w:rsidR="007E0169" w:rsidRPr="009236C4" w:rsidRDefault="007E0169" w:rsidP="009236C4">
            <w:pPr>
              <w:pStyle w:val="CharChar8"/>
              <w:rPr>
                <w:i w:val="0"/>
              </w:rPr>
            </w:pPr>
            <w:r w:rsidRPr="009236C4">
              <w:rPr>
                <w:i w:val="0"/>
              </w:rPr>
              <w:t>Água Negra e Cinza</w:t>
            </w:r>
          </w:p>
        </w:tc>
        <w:tc>
          <w:tcPr>
            <w:tcW w:w="518" w:type="pct"/>
            <w:shd w:val="clear" w:color="auto" w:fill="D9D9D9" w:themeFill="background1" w:themeFillShade="D9"/>
            <w:vAlign w:val="center"/>
          </w:tcPr>
          <w:p w14:paraId="6CED50BB" w14:textId="77777777" w:rsidR="007E0169" w:rsidRPr="009236C4" w:rsidRDefault="007E0169" w:rsidP="009236C4">
            <w:pPr>
              <w:pStyle w:val="CharChar8"/>
              <w:rPr>
                <w:i w:val="0"/>
              </w:rPr>
            </w:pPr>
            <w:r w:rsidRPr="009236C4">
              <w:rPr>
                <w:i w:val="0"/>
              </w:rPr>
              <w:t>-</w:t>
            </w:r>
          </w:p>
        </w:tc>
        <w:tc>
          <w:tcPr>
            <w:tcW w:w="777" w:type="pct"/>
            <w:shd w:val="clear" w:color="auto" w:fill="D9D9D9" w:themeFill="background1" w:themeFillShade="D9"/>
            <w:vAlign w:val="center"/>
          </w:tcPr>
          <w:p w14:paraId="673F17A2" w14:textId="77777777" w:rsidR="007E0169" w:rsidRPr="009236C4" w:rsidRDefault="009236C4" w:rsidP="009236C4">
            <w:pPr>
              <w:pStyle w:val="CharChar8"/>
              <w:rPr>
                <w:i w:val="0"/>
              </w:rPr>
            </w:pPr>
            <w:r>
              <w:rPr>
                <w:i w:val="0"/>
              </w:rPr>
              <w:t>-</w:t>
            </w:r>
          </w:p>
        </w:tc>
        <w:tc>
          <w:tcPr>
            <w:tcW w:w="907" w:type="pct"/>
            <w:shd w:val="clear" w:color="auto" w:fill="D9D9D9" w:themeFill="background1" w:themeFillShade="D9"/>
            <w:vAlign w:val="center"/>
          </w:tcPr>
          <w:p w14:paraId="7A7A8BDF" w14:textId="77777777" w:rsidR="007E0169" w:rsidRPr="009236C4" w:rsidRDefault="007E0169" w:rsidP="009236C4">
            <w:pPr>
              <w:pStyle w:val="CharChar8"/>
              <w:rPr>
                <w:i w:val="0"/>
              </w:rPr>
            </w:pPr>
            <w:r w:rsidRPr="009236C4">
              <w:rPr>
                <w:i w:val="0"/>
              </w:rPr>
              <w:t>Tanques</w:t>
            </w:r>
          </w:p>
        </w:tc>
      </w:tr>
      <w:tr w:rsidR="007E0169" w:rsidRPr="009236C4" w14:paraId="44D09B95" w14:textId="77777777" w:rsidTr="0010683E">
        <w:trPr>
          <w:cantSplit/>
        </w:trPr>
        <w:tc>
          <w:tcPr>
            <w:tcW w:w="725" w:type="pct"/>
            <w:vMerge w:val="restart"/>
            <w:shd w:val="clear" w:color="auto" w:fill="D9D9D9" w:themeFill="background1" w:themeFillShade="D9"/>
            <w:vAlign w:val="center"/>
          </w:tcPr>
          <w:p w14:paraId="36C9B061"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72805998"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40FA0CB0" w14:textId="77777777" w:rsidR="007E0169" w:rsidRPr="009236C4" w:rsidRDefault="007E0169" w:rsidP="009236C4">
            <w:pPr>
              <w:pStyle w:val="CharChar8"/>
              <w:rPr>
                <w:i w:val="0"/>
              </w:rPr>
            </w:pPr>
            <w:r w:rsidRPr="009236C4">
              <w:rPr>
                <w:i w:val="0"/>
              </w:rPr>
              <w:t>Efluente oleoso de lavagem de animais</w:t>
            </w:r>
          </w:p>
        </w:tc>
        <w:tc>
          <w:tcPr>
            <w:tcW w:w="518" w:type="pct"/>
            <w:shd w:val="clear" w:color="auto" w:fill="D9D9D9" w:themeFill="background1" w:themeFillShade="D9"/>
            <w:vAlign w:val="center"/>
          </w:tcPr>
          <w:p w14:paraId="53C58824"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5C049C80"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37F4C905" w14:textId="77777777" w:rsidR="007E0169" w:rsidRPr="009236C4" w:rsidRDefault="009236C4" w:rsidP="009236C4">
            <w:pPr>
              <w:pStyle w:val="CharChar8"/>
              <w:rPr>
                <w:i w:val="0"/>
              </w:rPr>
            </w:pPr>
            <w:r>
              <w:rPr>
                <w:i w:val="0"/>
              </w:rPr>
              <w:t>Tanques ou tambores metálicos</w:t>
            </w:r>
          </w:p>
        </w:tc>
      </w:tr>
      <w:tr w:rsidR="007E0169" w:rsidRPr="009236C4" w14:paraId="54A37E72" w14:textId="77777777" w:rsidTr="0010683E">
        <w:trPr>
          <w:cantSplit/>
        </w:trPr>
        <w:tc>
          <w:tcPr>
            <w:tcW w:w="725" w:type="pct"/>
            <w:vMerge/>
            <w:shd w:val="clear" w:color="auto" w:fill="D9D9D9" w:themeFill="background1" w:themeFillShade="D9"/>
            <w:vAlign w:val="center"/>
          </w:tcPr>
          <w:p w14:paraId="11ED8A02"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60D4314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4772BC91" w14:textId="77777777" w:rsidR="007E0169" w:rsidRPr="009236C4" w:rsidRDefault="007E0169" w:rsidP="009236C4">
            <w:pPr>
              <w:pStyle w:val="CharChar8"/>
              <w:rPr>
                <w:i w:val="0"/>
              </w:rPr>
            </w:pPr>
            <w:r w:rsidRPr="009236C4">
              <w:rPr>
                <w:i w:val="0"/>
              </w:rPr>
              <w:t>Resíduos Domésticos Não Perigosos</w:t>
            </w:r>
          </w:p>
        </w:tc>
        <w:tc>
          <w:tcPr>
            <w:tcW w:w="518" w:type="pct"/>
            <w:shd w:val="clear" w:color="auto" w:fill="D9D9D9" w:themeFill="background1" w:themeFillShade="D9"/>
            <w:vAlign w:val="center"/>
          </w:tcPr>
          <w:p w14:paraId="17B8EFBA" w14:textId="77777777" w:rsidR="007E0169" w:rsidRPr="009236C4" w:rsidRDefault="007E0169" w:rsidP="009236C4">
            <w:pPr>
              <w:pStyle w:val="CharChar8"/>
              <w:rPr>
                <w:i w:val="0"/>
              </w:rPr>
            </w:pPr>
            <w:r w:rsidRPr="009236C4">
              <w:rPr>
                <w:i w:val="0"/>
              </w:rPr>
              <w:t>Classe II B</w:t>
            </w:r>
          </w:p>
        </w:tc>
        <w:tc>
          <w:tcPr>
            <w:tcW w:w="777" w:type="pct"/>
            <w:shd w:val="clear" w:color="auto" w:fill="D9D9D9" w:themeFill="background1" w:themeFillShade="D9"/>
            <w:vAlign w:val="center"/>
          </w:tcPr>
          <w:p w14:paraId="2CD17F60" w14:textId="77777777" w:rsidR="007E0169" w:rsidRPr="009236C4" w:rsidRDefault="007E0169" w:rsidP="009236C4">
            <w:pPr>
              <w:pStyle w:val="CharChar8"/>
              <w:rPr>
                <w:i w:val="0"/>
              </w:rPr>
            </w:pPr>
            <w:r w:rsidRPr="009236C4">
              <w:rPr>
                <w:i w:val="0"/>
              </w:rPr>
              <w:t xml:space="preserve">Vermelho (Plástico), Verde (Vidro), </w:t>
            </w:r>
          </w:p>
          <w:p w14:paraId="7C104051" w14:textId="77777777" w:rsidR="007E0169" w:rsidRPr="009236C4" w:rsidRDefault="007E0169" w:rsidP="009236C4">
            <w:pPr>
              <w:pStyle w:val="CharChar8"/>
              <w:rPr>
                <w:i w:val="0"/>
              </w:rPr>
            </w:pPr>
            <w:r w:rsidRPr="009236C4">
              <w:rPr>
                <w:i w:val="0"/>
              </w:rPr>
              <w:t>Azul (Papel/Papelão), Cinza (resíduos não recicláveis)</w:t>
            </w:r>
          </w:p>
        </w:tc>
        <w:tc>
          <w:tcPr>
            <w:tcW w:w="907" w:type="pct"/>
            <w:shd w:val="clear" w:color="auto" w:fill="D9D9D9" w:themeFill="background1" w:themeFillShade="D9"/>
            <w:vAlign w:val="center"/>
          </w:tcPr>
          <w:p w14:paraId="16805758" w14:textId="77777777" w:rsidR="007E0169" w:rsidRPr="009236C4" w:rsidRDefault="009236C4" w:rsidP="009236C4">
            <w:pPr>
              <w:pStyle w:val="CharChar8"/>
              <w:rPr>
                <w:i w:val="0"/>
              </w:rPr>
            </w:pPr>
            <w:r>
              <w:rPr>
                <w:i w:val="0"/>
              </w:rPr>
              <w:t>Bigbags</w:t>
            </w:r>
          </w:p>
        </w:tc>
      </w:tr>
      <w:tr w:rsidR="007E0169" w:rsidRPr="009236C4" w14:paraId="3A5EBAC2" w14:textId="77777777" w:rsidTr="0010683E">
        <w:trPr>
          <w:cantSplit/>
          <w:trHeight w:val="949"/>
        </w:trPr>
        <w:tc>
          <w:tcPr>
            <w:tcW w:w="725" w:type="pct"/>
            <w:vMerge w:val="restart"/>
            <w:shd w:val="clear" w:color="auto" w:fill="D9D9D9" w:themeFill="background1" w:themeFillShade="D9"/>
            <w:vAlign w:val="center"/>
          </w:tcPr>
          <w:p w14:paraId="1F36AD17" w14:textId="77777777" w:rsidR="007E0169" w:rsidRPr="009236C4" w:rsidRDefault="007E0169" w:rsidP="009236C4">
            <w:pPr>
              <w:pStyle w:val="CharChar8"/>
              <w:rPr>
                <w:i w:val="0"/>
              </w:rPr>
            </w:pPr>
            <w:r w:rsidRPr="009236C4">
              <w:rPr>
                <w:i w:val="0"/>
              </w:rPr>
              <w:t>Instalações de suporte onshore</w:t>
            </w:r>
          </w:p>
        </w:tc>
        <w:tc>
          <w:tcPr>
            <w:tcW w:w="932" w:type="pct"/>
            <w:vMerge w:val="restart"/>
            <w:shd w:val="clear" w:color="auto" w:fill="D9D9D9" w:themeFill="background1" w:themeFillShade="D9"/>
            <w:vAlign w:val="center"/>
          </w:tcPr>
          <w:p w14:paraId="0F9AFE63" w14:textId="77777777" w:rsidR="007E0169" w:rsidRPr="009236C4" w:rsidRDefault="007E0169" w:rsidP="009236C4">
            <w:pPr>
              <w:pStyle w:val="CharChar8"/>
              <w:rPr>
                <w:i w:val="0"/>
              </w:rPr>
            </w:pPr>
            <w:r w:rsidRPr="009236C4">
              <w:rPr>
                <w:i w:val="0"/>
              </w:rPr>
              <w:t>Centros de Tratamento da Vida Selvagem</w:t>
            </w:r>
          </w:p>
        </w:tc>
        <w:tc>
          <w:tcPr>
            <w:tcW w:w="1141" w:type="pct"/>
            <w:shd w:val="clear" w:color="auto" w:fill="D9D9D9" w:themeFill="background1" w:themeFillShade="D9"/>
            <w:vAlign w:val="center"/>
          </w:tcPr>
          <w:p w14:paraId="481DC3D4" w14:textId="77777777" w:rsidR="007E0169" w:rsidRPr="009236C4" w:rsidRDefault="007E0169" w:rsidP="009236C4">
            <w:pPr>
              <w:pStyle w:val="CharChar8"/>
              <w:rPr>
                <w:i w:val="0"/>
              </w:rPr>
            </w:pPr>
            <w:r w:rsidRPr="009236C4">
              <w:rPr>
                <w:i w:val="0"/>
              </w:rPr>
              <w:t>Resíduos Sólidos Perigosos</w:t>
            </w:r>
          </w:p>
        </w:tc>
        <w:tc>
          <w:tcPr>
            <w:tcW w:w="518" w:type="pct"/>
            <w:shd w:val="clear" w:color="auto" w:fill="D9D9D9" w:themeFill="background1" w:themeFillShade="D9"/>
            <w:vAlign w:val="center"/>
          </w:tcPr>
          <w:p w14:paraId="38EE67C5"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2D0FBC8C"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4FC10161" w14:textId="77777777" w:rsidR="007E0169" w:rsidRPr="009236C4" w:rsidRDefault="007E0169" w:rsidP="009236C4">
            <w:pPr>
              <w:pStyle w:val="CharChar8"/>
              <w:rPr>
                <w:i w:val="0"/>
              </w:rPr>
            </w:pPr>
            <w:r w:rsidRPr="009236C4">
              <w:rPr>
                <w:i w:val="0"/>
              </w:rPr>
              <w:t>Bigbags com liners armazenados em caçambas metálicas ou containers</w:t>
            </w:r>
          </w:p>
        </w:tc>
      </w:tr>
      <w:tr w:rsidR="007E0169" w:rsidRPr="009236C4" w14:paraId="4DA60560" w14:textId="77777777" w:rsidTr="0010683E">
        <w:trPr>
          <w:cantSplit/>
          <w:trHeight w:val="454"/>
        </w:trPr>
        <w:tc>
          <w:tcPr>
            <w:tcW w:w="725" w:type="pct"/>
            <w:vMerge/>
            <w:shd w:val="clear" w:color="auto" w:fill="D9D9D9" w:themeFill="background1" w:themeFillShade="D9"/>
            <w:vAlign w:val="center"/>
          </w:tcPr>
          <w:p w14:paraId="5F2F7A1E"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3B6CC257"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56685D98" w14:textId="77777777" w:rsidR="007E0169" w:rsidRPr="009236C4" w:rsidRDefault="007E0169" w:rsidP="009236C4">
            <w:pPr>
              <w:pStyle w:val="CharChar8"/>
              <w:rPr>
                <w:i w:val="0"/>
              </w:rPr>
            </w:pPr>
            <w:r w:rsidRPr="009236C4">
              <w:rPr>
                <w:i w:val="0"/>
              </w:rPr>
              <w:t>Resíduos Médicos e Drogas Controladas</w:t>
            </w:r>
          </w:p>
        </w:tc>
        <w:tc>
          <w:tcPr>
            <w:tcW w:w="518" w:type="pct"/>
            <w:shd w:val="clear" w:color="auto" w:fill="D9D9D9" w:themeFill="background1" w:themeFillShade="D9"/>
            <w:vAlign w:val="center"/>
          </w:tcPr>
          <w:p w14:paraId="7CDB6FD3"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095DE92B" w14:textId="77777777" w:rsidR="007E0169" w:rsidRPr="009236C4" w:rsidRDefault="009236C4" w:rsidP="009236C4">
            <w:pPr>
              <w:pStyle w:val="CharChar8"/>
              <w:rPr>
                <w:i w:val="0"/>
              </w:rPr>
            </w:pPr>
            <w:r>
              <w:rPr>
                <w:i w:val="0"/>
              </w:rPr>
              <w:t>Branco</w:t>
            </w:r>
          </w:p>
        </w:tc>
        <w:tc>
          <w:tcPr>
            <w:tcW w:w="907" w:type="pct"/>
            <w:shd w:val="clear" w:color="auto" w:fill="D9D9D9" w:themeFill="background1" w:themeFillShade="D9"/>
            <w:vAlign w:val="center"/>
          </w:tcPr>
          <w:p w14:paraId="72C6BF4E" w14:textId="77777777" w:rsidR="007E0169" w:rsidRPr="009236C4" w:rsidRDefault="007E0169" w:rsidP="009236C4">
            <w:pPr>
              <w:pStyle w:val="CharChar8"/>
              <w:rPr>
                <w:i w:val="0"/>
              </w:rPr>
            </w:pPr>
            <w:r w:rsidRPr="009236C4">
              <w:rPr>
                <w:i w:val="0"/>
              </w:rPr>
              <w:t>Containers Especiais</w:t>
            </w:r>
          </w:p>
        </w:tc>
      </w:tr>
      <w:tr w:rsidR="007E0169" w:rsidRPr="009236C4" w14:paraId="706FE24E" w14:textId="77777777" w:rsidTr="0010683E">
        <w:trPr>
          <w:cantSplit/>
        </w:trPr>
        <w:tc>
          <w:tcPr>
            <w:tcW w:w="725" w:type="pct"/>
            <w:vMerge/>
            <w:shd w:val="clear" w:color="auto" w:fill="D9D9D9" w:themeFill="background1" w:themeFillShade="D9"/>
            <w:vAlign w:val="center"/>
          </w:tcPr>
          <w:p w14:paraId="75291F65"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45A658A2"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19A30AE8" w14:textId="77777777" w:rsidR="007E0169" w:rsidRPr="009236C4" w:rsidRDefault="007E0169" w:rsidP="009236C4">
            <w:pPr>
              <w:pStyle w:val="CharChar8"/>
              <w:rPr>
                <w:i w:val="0"/>
              </w:rPr>
            </w:pPr>
            <w:r w:rsidRPr="009236C4">
              <w:rPr>
                <w:i w:val="0"/>
              </w:rPr>
              <w:t>Carcaças de animais</w:t>
            </w:r>
          </w:p>
        </w:tc>
        <w:tc>
          <w:tcPr>
            <w:tcW w:w="518" w:type="pct"/>
            <w:shd w:val="clear" w:color="auto" w:fill="D9D9D9" w:themeFill="background1" w:themeFillShade="D9"/>
            <w:vAlign w:val="center"/>
          </w:tcPr>
          <w:p w14:paraId="1EE627C5"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7E9080F6" w14:textId="77777777" w:rsidR="007E0169" w:rsidRPr="009236C4" w:rsidRDefault="009236C4" w:rsidP="009236C4">
            <w:pPr>
              <w:pStyle w:val="CharChar8"/>
              <w:rPr>
                <w:i w:val="0"/>
              </w:rPr>
            </w:pPr>
            <w:r>
              <w:rPr>
                <w:i w:val="0"/>
              </w:rPr>
              <w:t>Laranja</w:t>
            </w:r>
          </w:p>
        </w:tc>
        <w:tc>
          <w:tcPr>
            <w:tcW w:w="907" w:type="pct"/>
            <w:shd w:val="clear" w:color="auto" w:fill="D9D9D9" w:themeFill="background1" w:themeFillShade="D9"/>
            <w:vAlign w:val="center"/>
          </w:tcPr>
          <w:p w14:paraId="08B059C0" w14:textId="77777777" w:rsidR="007E0169" w:rsidRPr="009236C4" w:rsidRDefault="007E0169" w:rsidP="009236C4">
            <w:pPr>
              <w:pStyle w:val="CharChar8"/>
              <w:rPr>
                <w:i w:val="0"/>
              </w:rPr>
            </w:pPr>
            <w:r w:rsidRPr="009236C4">
              <w:rPr>
                <w:i w:val="0"/>
              </w:rPr>
              <w:t>Bigbags com liners armazenados em caçambas metálicas ou containers</w:t>
            </w:r>
          </w:p>
        </w:tc>
      </w:tr>
      <w:tr w:rsidR="007E0169" w:rsidRPr="009236C4" w14:paraId="1FF58B5F" w14:textId="77777777" w:rsidTr="0010683E">
        <w:trPr>
          <w:cantSplit/>
        </w:trPr>
        <w:tc>
          <w:tcPr>
            <w:tcW w:w="725" w:type="pct"/>
            <w:vMerge/>
            <w:shd w:val="clear" w:color="auto" w:fill="D9D9D9" w:themeFill="background1" w:themeFillShade="D9"/>
            <w:vAlign w:val="center"/>
          </w:tcPr>
          <w:p w14:paraId="0F49B616" w14:textId="77777777" w:rsidR="007E0169" w:rsidRPr="009236C4" w:rsidRDefault="007E0169" w:rsidP="009236C4">
            <w:pPr>
              <w:pStyle w:val="CharChar8"/>
              <w:rPr>
                <w:i w:val="0"/>
              </w:rPr>
            </w:pPr>
          </w:p>
        </w:tc>
        <w:tc>
          <w:tcPr>
            <w:tcW w:w="932" w:type="pct"/>
            <w:vMerge/>
            <w:shd w:val="clear" w:color="auto" w:fill="D9D9D9" w:themeFill="background1" w:themeFillShade="D9"/>
            <w:vAlign w:val="center"/>
          </w:tcPr>
          <w:p w14:paraId="19DB2543" w14:textId="77777777" w:rsidR="007E0169" w:rsidRPr="009236C4" w:rsidRDefault="007E0169" w:rsidP="009236C4">
            <w:pPr>
              <w:pStyle w:val="CharChar8"/>
              <w:rPr>
                <w:i w:val="0"/>
              </w:rPr>
            </w:pPr>
          </w:p>
        </w:tc>
        <w:tc>
          <w:tcPr>
            <w:tcW w:w="1141" w:type="pct"/>
            <w:shd w:val="clear" w:color="auto" w:fill="D9D9D9" w:themeFill="background1" w:themeFillShade="D9"/>
            <w:vAlign w:val="center"/>
          </w:tcPr>
          <w:p w14:paraId="073148D2" w14:textId="77777777" w:rsidR="007E0169" w:rsidRPr="009236C4" w:rsidRDefault="007E0169" w:rsidP="009236C4">
            <w:pPr>
              <w:pStyle w:val="CharChar8"/>
              <w:rPr>
                <w:i w:val="0"/>
              </w:rPr>
            </w:pPr>
            <w:r w:rsidRPr="009236C4">
              <w:rPr>
                <w:i w:val="0"/>
              </w:rPr>
              <w:t>EPI descartado</w:t>
            </w:r>
          </w:p>
        </w:tc>
        <w:tc>
          <w:tcPr>
            <w:tcW w:w="518" w:type="pct"/>
            <w:shd w:val="clear" w:color="auto" w:fill="D9D9D9" w:themeFill="background1" w:themeFillShade="D9"/>
            <w:vAlign w:val="center"/>
          </w:tcPr>
          <w:p w14:paraId="08C34CBA" w14:textId="77777777" w:rsidR="007E0169" w:rsidRPr="009236C4" w:rsidRDefault="007E0169" w:rsidP="009236C4">
            <w:pPr>
              <w:pStyle w:val="CharChar8"/>
              <w:rPr>
                <w:i w:val="0"/>
              </w:rPr>
            </w:pPr>
            <w:r w:rsidRPr="009236C4">
              <w:rPr>
                <w:i w:val="0"/>
              </w:rPr>
              <w:t>Classe I</w:t>
            </w:r>
          </w:p>
        </w:tc>
        <w:tc>
          <w:tcPr>
            <w:tcW w:w="777" w:type="pct"/>
            <w:shd w:val="clear" w:color="auto" w:fill="D9D9D9" w:themeFill="background1" w:themeFillShade="D9"/>
            <w:vAlign w:val="center"/>
          </w:tcPr>
          <w:p w14:paraId="47632408" w14:textId="77777777" w:rsidR="007E0169" w:rsidRPr="009236C4" w:rsidRDefault="007E0169" w:rsidP="009236C4">
            <w:pPr>
              <w:pStyle w:val="CharChar8"/>
              <w:rPr>
                <w:i w:val="0"/>
              </w:rPr>
            </w:pPr>
            <w:r w:rsidRPr="009236C4">
              <w:rPr>
                <w:i w:val="0"/>
              </w:rPr>
              <w:t>Laranja</w:t>
            </w:r>
          </w:p>
        </w:tc>
        <w:tc>
          <w:tcPr>
            <w:tcW w:w="907" w:type="pct"/>
            <w:shd w:val="clear" w:color="auto" w:fill="D9D9D9" w:themeFill="background1" w:themeFillShade="D9"/>
            <w:vAlign w:val="center"/>
          </w:tcPr>
          <w:p w14:paraId="416A240B" w14:textId="77777777" w:rsidR="007E0169" w:rsidRPr="009236C4" w:rsidRDefault="007E0169" w:rsidP="009236C4">
            <w:pPr>
              <w:pStyle w:val="CharChar8"/>
              <w:rPr>
                <w:i w:val="0"/>
              </w:rPr>
            </w:pPr>
            <w:r w:rsidRPr="009236C4">
              <w:rPr>
                <w:i w:val="0"/>
              </w:rPr>
              <w:t>Bigbags com liner armazenados em caçambas metálicas ou contêineres</w:t>
            </w:r>
          </w:p>
        </w:tc>
      </w:tr>
      <w:tr w:rsidR="007E0169" w:rsidRPr="009236C4" w14:paraId="0F0E09B7" w14:textId="77777777" w:rsidTr="0010683E">
        <w:trPr>
          <w:cantSplit/>
        </w:trPr>
        <w:tc>
          <w:tcPr>
            <w:tcW w:w="5000" w:type="pct"/>
            <w:gridSpan w:val="6"/>
            <w:shd w:val="clear" w:color="auto" w:fill="FFFFFF" w:themeFill="background1"/>
          </w:tcPr>
          <w:p w14:paraId="29F07908" w14:textId="77777777" w:rsidR="007E0169" w:rsidRPr="009236C4" w:rsidRDefault="007E0169" w:rsidP="009236C4">
            <w:pPr>
              <w:pStyle w:val="CharChar8"/>
              <w:jc w:val="left"/>
              <w:rPr>
                <w:b/>
                <w:i w:val="0"/>
              </w:rPr>
            </w:pPr>
            <w:r w:rsidRPr="009236C4">
              <w:rPr>
                <w:b/>
                <w:i w:val="0"/>
              </w:rPr>
              <w:t>Observações:</w:t>
            </w:r>
          </w:p>
          <w:p w14:paraId="095FE042" w14:textId="77777777" w:rsidR="007E0169" w:rsidRPr="009236C4" w:rsidRDefault="007E0169" w:rsidP="00EA2A77">
            <w:pPr>
              <w:pStyle w:val="CharChar8"/>
              <w:numPr>
                <w:ilvl w:val="0"/>
                <w:numId w:val="24"/>
              </w:numPr>
              <w:jc w:val="left"/>
              <w:rPr>
                <w:i w:val="0"/>
              </w:rPr>
            </w:pPr>
            <w:r w:rsidRPr="009236C4">
              <w:rPr>
                <w:i w:val="0"/>
              </w:rPr>
              <w:t>Diferentes tipos de resíduos devem ser segregados</w:t>
            </w:r>
            <w:r w:rsidR="009236C4">
              <w:rPr>
                <w:i w:val="0"/>
              </w:rPr>
              <w:t xml:space="preserve"> e armazenados separadamente; e</w:t>
            </w:r>
          </w:p>
          <w:p w14:paraId="3E2AE7DE" w14:textId="77777777" w:rsidR="007E0169" w:rsidRPr="009236C4" w:rsidRDefault="007E0169" w:rsidP="00EA2A77">
            <w:pPr>
              <w:pStyle w:val="CharChar8"/>
              <w:numPr>
                <w:ilvl w:val="0"/>
                <w:numId w:val="24"/>
              </w:numPr>
              <w:jc w:val="left"/>
              <w:rPr>
                <w:i w:val="0"/>
              </w:rPr>
            </w:pPr>
            <w:r w:rsidRPr="009236C4">
              <w:rPr>
                <w:i w:val="0"/>
              </w:rPr>
              <w:t>Containers com resíduos Classe I não devem ser colocados diretamente em contato com o solo; superfície impermeável e/ou coberta por lona impermeável é necessária para prevenir qualquer contaminação residual.</w:t>
            </w:r>
          </w:p>
        </w:tc>
      </w:tr>
    </w:tbl>
    <w:p w14:paraId="289771B2" w14:textId="77777777" w:rsidR="007E0169" w:rsidRDefault="007E0169">
      <w:pPr>
        <w:spacing w:before="0" w:after="200" w:line="276" w:lineRule="auto"/>
        <w:jc w:val="left"/>
        <w:sectPr w:rsidR="007E0169" w:rsidSect="00656D39">
          <w:headerReference w:type="default" r:id="rId78"/>
          <w:footerReference w:type="default" r:id="rId79"/>
          <w:pgSz w:w="16838" w:h="11906" w:orient="landscape" w:code="9"/>
          <w:pgMar w:top="1418" w:right="1418" w:bottom="1418" w:left="1418" w:header="170" w:footer="0" w:gutter="0"/>
          <w:cols w:space="708"/>
          <w:docGrid w:linePitch="360"/>
        </w:sectPr>
      </w:pPr>
    </w:p>
    <w:p w14:paraId="54F186B0" w14:textId="77777777" w:rsidR="0077170A" w:rsidRPr="00EC0293" w:rsidRDefault="0077170A" w:rsidP="009D01BE">
      <w:pPr>
        <w:pStyle w:val="Heading1"/>
      </w:pPr>
      <w:bookmarkStart w:id="272" w:name="_Toc523833915"/>
      <w:r w:rsidRPr="00EC0293">
        <w:lastRenderedPageBreak/>
        <w:t xml:space="preserve">MANUTENÇÃO DA </w:t>
      </w:r>
      <w:r w:rsidR="002D4EAC" w:rsidRPr="00EC0293">
        <w:t>RESPOSTA POR 30 DIAS</w:t>
      </w:r>
      <w:bookmarkEnd w:id="272"/>
    </w:p>
    <w:p w14:paraId="50C903A6" w14:textId="77777777" w:rsidR="000C2F25" w:rsidRPr="000C2F25" w:rsidRDefault="000C2F25" w:rsidP="009236C4">
      <w:pPr>
        <w:pStyle w:val="tier1Itext"/>
      </w:pPr>
      <w:r w:rsidRPr="000C2F25">
        <w:t>A duração da resposta a um eventual incidente é influenciada por diferentes fatores, devendo ser avaliada continuamente pelos membros da IMT, a fim de que garantir o devido dimensionamento de recursos, e manutenção das ações de resposta. É válido relembrar que ao receber a comunicação inicial do incidente, é procedimento da BP realizar a avaliação do impacto potencial desta ocorrência e dimensionar a sua resposta para o resultado desta avaliação (</w:t>
      </w:r>
      <w:r w:rsidRPr="000C2F25">
        <w:rPr>
          <w:i/>
        </w:rPr>
        <w:t>over-react</w:t>
      </w:r>
      <w:r w:rsidR="009236C4">
        <w:t>).</w:t>
      </w:r>
    </w:p>
    <w:p w14:paraId="4A9DDEDB" w14:textId="77777777" w:rsidR="000C2F25" w:rsidRPr="000C2F25" w:rsidRDefault="000C2F25" w:rsidP="009236C4">
      <w:pPr>
        <w:pStyle w:val="tier1Itext"/>
      </w:pPr>
      <w:r w:rsidRPr="000C2F25">
        <w:t>Assim sendo, no planejamento de resposta a um incidente de derramamento de óleo que se projeta por um período maior que o comumente envolvido nas ocorrências mais frequentes, é de suma importância que se identifiquem mecanismos de manutenção da capacidade desta resposta no que tange aos recursos humanos e materiais.</w:t>
      </w:r>
    </w:p>
    <w:p w14:paraId="257B5273" w14:textId="77777777" w:rsidR="0077170A" w:rsidRPr="009E316F" w:rsidRDefault="0077170A" w:rsidP="009D01BE">
      <w:pPr>
        <w:pStyle w:val="Heading2"/>
        <w:rPr>
          <w:lang w:val="pt-BR"/>
        </w:rPr>
      </w:pPr>
      <w:bookmarkStart w:id="273" w:name="_Toc523833916"/>
      <w:r w:rsidRPr="009E316F">
        <w:rPr>
          <w:lang w:val="pt-BR"/>
        </w:rPr>
        <w:t>Manutenção da Estrutura Organizacional de Resposta</w:t>
      </w:r>
      <w:bookmarkEnd w:id="273"/>
    </w:p>
    <w:p w14:paraId="0716C5EB" w14:textId="224F2CCB" w:rsidR="000C2F25" w:rsidRPr="000C2F25" w:rsidRDefault="000C2F25" w:rsidP="009236C4">
      <w:pPr>
        <w:pStyle w:val="tier1Itext"/>
      </w:pPr>
      <w:r w:rsidRPr="000C2F25">
        <w:t xml:space="preserve">A fim de realizar a devida manutenção da </w:t>
      </w:r>
      <w:r w:rsidR="00CA3980">
        <w:t>estrutura de resposta</w:t>
      </w:r>
      <w:r w:rsidRPr="000C2F25">
        <w:t xml:space="preserve">, deverá ser estabelecido um sistema de rotação entre os membros de cada </w:t>
      </w:r>
      <w:r w:rsidR="00D17185">
        <w:t>posição</w:t>
      </w:r>
      <w:r w:rsidR="00D17185" w:rsidRPr="000C2F25">
        <w:t xml:space="preserve"> </w:t>
      </w:r>
      <w:r w:rsidRPr="000C2F25">
        <w:t>especifica, evitando a fadiga e permitindo a manutenção da eficiência e s</w:t>
      </w:r>
      <w:r w:rsidR="009236C4">
        <w:t>egurança nas ações de resposta.</w:t>
      </w:r>
    </w:p>
    <w:p w14:paraId="0FB38E6F" w14:textId="77777777" w:rsidR="000C2F25" w:rsidRPr="000C2F25" w:rsidRDefault="000C2F25" w:rsidP="009236C4">
      <w:pPr>
        <w:pStyle w:val="tier1Itext"/>
      </w:pPr>
      <w:r w:rsidRPr="000C2F25">
        <w:t xml:space="preserve">Uma vez estabelecido o sistema de rotação, a passagem de serviço entre as </w:t>
      </w:r>
      <w:r w:rsidR="00D17185">
        <w:t>posições</w:t>
      </w:r>
      <w:r w:rsidR="00D17185" w:rsidRPr="000C2F25">
        <w:t xml:space="preserve"> </w:t>
      </w:r>
      <w:r w:rsidRPr="000C2F25">
        <w:t>(</w:t>
      </w:r>
      <w:r w:rsidRPr="000C2F25">
        <w:rPr>
          <w:i/>
        </w:rPr>
        <w:t>handover</w:t>
      </w:r>
      <w:r w:rsidRPr="000C2F25">
        <w:t xml:space="preserve">) deverá ocorrer, sempre que possível, considerando-se um período </w:t>
      </w:r>
      <w:r w:rsidR="009B51A1">
        <w:t xml:space="preserve">de </w:t>
      </w:r>
      <w:r w:rsidRPr="000C2F25">
        <w:t>transição (entre 30 e 60 minutos, denominado “</w:t>
      </w:r>
      <w:r w:rsidRPr="001F002C">
        <w:rPr>
          <w:i/>
        </w:rPr>
        <w:t>overlay</w:t>
      </w:r>
      <w:r w:rsidRPr="000C2F25">
        <w:t xml:space="preserve">”) antes da hora real da passagem, para garantir a adequada transferência de comando da </w:t>
      </w:r>
      <w:r w:rsidR="00D17185">
        <w:t>posição</w:t>
      </w:r>
      <w:r w:rsidRPr="000C2F25">
        <w:t>. Deve ser procedimento de todos os membros que entrarem no time de resposta, a consulta aos dados do ICS 201 no painel de situação do ICP, assim que adentrarem o recinto.</w:t>
      </w:r>
    </w:p>
    <w:p w14:paraId="766BE56E" w14:textId="77777777" w:rsidR="000C2F25" w:rsidRPr="000C2F25" w:rsidRDefault="000C2F25" w:rsidP="009236C4">
      <w:pPr>
        <w:pStyle w:val="tier1Itext"/>
      </w:pPr>
      <w:r w:rsidRPr="000C2F25">
        <w:t xml:space="preserve">A passagem de serviço deverá ser acompanhada de um </w:t>
      </w:r>
      <w:r w:rsidRPr="000C2F25">
        <w:rPr>
          <w:i/>
        </w:rPr>
        <w:t>briefing</w:t>
      </w:r>
      <w:r w:rsidRPr="000C2F25">
        <w:t xml:space="preserve"> que poderá ser feito de forma oral e/ou por escrito, sendo a última a estratégia preferencial. Nas </w:t>
      </w:r>
      <w:r w:rsidR="00D17185">
        <w:t>posições</w:t>
      </w:r>
      <w:r w:rsidR="00D17185" w:rsidRPr="000C2F25">
        <w:t xml:space="preserve"> </w:t>
      </w:r>
      <w:r w:rsidRPr="000C2F25">
        <w:t>de comando, sugere-se que sejam feitas cópias do</w:t>
      </w:r>
      <w:r w:rsidR="009B51A1">
        <w:t>s formulários</w:t>
      </w:r>
      <w:r w:rsidRPr="000C2F25">
        <w:t xml:space="preserve"> ICS 214 elaborados durante o turno em curso para que sejam deixadas com o novo membro, de forma a servir de referência para consulta. Estas cópias deverão ser destruídas durante o turno do novo membro, de forma a não gerar dúvidas quanto à documentação </w:t>
      </w:r>
      <w:r w:rsidR="00563EE2">
        <w:t>produzida</w:t>
      </w:r>
      <w:r w:rsidR="00563EE2" w:rsidRPr="000C2F25">
        <w:t xml:space="preserve"> </w:t>
      </w:r>
      <w:r w:rsidRPr="000C2F25">
        <w:t>na resposta.</w:t>
      </w:r>
    </w:p>
    <w:p w14:paraId="244D9424" w14:textId="77777777" w:rsidR="000C2F25" w:rsidRPr="000C2F25" w:rsidRDefault="000C2F25" w:rsidP="009236C4">
      <w:pPr>
        <w:pStyle w:val="tier1Itext"/>
      </w:pPr>
      <w:r w:rsidRPr="000C2F25">
        <w:t xml:space="preserve">O </w:t>
      </w:r>
      <w:r w:rsidRPr="000C2F25">
        <w:rPr>
          <w:i/>
        </w:rPr>
        <w:t>briefing</w:t>
      </w:r>
      <w:r w:rsidRPr="000C2F25">
        <w:t xml:space="preserve"> da passagem de serviço deve cobrir </w:t>
      </w:r>
      <w:r w:rsidR="00563EE2">
        <w:t>o status do incidente e sua resposta</w:t>
      </w:r>
      <w:r w:rsidRPr="000C2F25">
        <w:t xml:space="preserve">, bem como as ações e </w:t>
      </w:r>
      <w:r w:rsidR="00D17185">
        <w:t xml:space="preserve">posições </w:t>
      </w:r>
      <w:r w:rsidR="00563EE2">
        <w:t>e</w:t>
      </w:r>
      <w:r w:rsidRPr="000C2F25">
        <w:t xml:space="preserve">specificas da </w:t>
      </w:r>
      <w:r w:rsidR="00563EE2">
        <w:t>equipe</w:t>
      </w:r>
      <w:r w:rsidRPr="000C2F25">
        <w:t>. Com o intuito de facilitar a passagem de serviço, são listados a seguir alguns itens passíveis de serem abordados:</w:t>
      </w:r>
    </w:p>
    <w:p w14:paraId="4F38E133" w14:textId="77777777" w:rsidR="000C2F25" w:rsidRPr="000C2F25" w:rsidRDefault="000C2F25"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Cambria" w:hAnsi="Cambria"/>
        </w:rPr>
      </w:pPr>
      <w:r w:rsidRPr="000C2F25">
        <w:rPr>
          <w:rFonts w:ascii="Cambria" w:hAnsi="Cambria"/>
        </w:rPr>
        <w:t>Situação geral do incidente e das ações</w:t>
      </w:r>
      <w:r w:rsidR="00563EE2">
        <w:rPr>
          <w:rFonts w:ascii="Cambria" w:hAnsi="Cambria"/>
        </w:rPr>
        <w:t xml:space="preserve"> de</w:t>
      </w:r>
      <w:r w:rsidRPr="000C2F25">
        <w:rPr>
          <w:rFonts w:ascii="Cambria" w:hAnsi="Cambria"/>
        </w:rPr>
        <w:t xml:space="preserve"> resposta:</w:t>
      </w:r>
    </w:p>
    <w:p w14:paraId="54243D3D"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066" w:hanging="357"/>
        <w:rPr>
          <w:rFonts w:ascii="Cambria" w:hAnsi="Cambria"/>
        </w:rPr>
      </w:pPr>
      <w:r w:rsidRPr="000C2F25">
        <w:rPr>
          <w:rFonts w:ascii="Cambria" w:hAnsi="Cambria"/>
        </w:rPr>
        <w:lastRenderedPageBreak/>
        <w:t>Cenário acidental;</w:t>
      </w:r>
    </w:p>
    <w:p w14:paraId="0D4E3397"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Prioridades e objetivos d</w:t>
      </w:r>
      <w:r w:rsidR="008C4AD2">
        <w:rPr>
          <w:rFonts w:ascii="Cambria" w:hAnsi="Cambria"/>
        </w:rPr>
        <w:t>a</w:t>
      </w:r>
      <w:r w:rsidRPr="000C2F25">
        <w:rPr>
          <w:rFonts w:ascii="Cambria" w:hAnsi="Cambria"/>
        </w:rPr>
        <w:t xml:space="preserve"> resposta;</w:t>
      </w:r>
    </w:p>
    <w:p w14:paraId="0C1DE6F3"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Tarefas/plano de ação de resposta atual;</w:t>
      </w:r>
    </w:p>
    <w:p w14:paraId="7231A98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Estrutura organizacional mobilizada até o momento;</w:t>
      </w:r>
    </w:p>
    <w:p w14:paraId="7640A0A9"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Instalações mobilizadas; e</w:t>
      </w:r>
    </w:p>
    <w:p w14:paraId="28607BB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066" w:hanging="357"/>
        <w:rPr>
          <w:rFonts w:ascii="Cambria" w:hAnsi="Cambria"/>
        </w:rPr>
      </w:pPr>
      <w:r w:rsidRPr="000C2F25">
        <w:rPr>
          <w:rFonts w:ascii="Cambria" w:hAnsi="Cambria"/>
        </w:rPr>
        <w:t>Procedimentos de resposta (compartilhamento das informações, formulários a serem utilizados, reuniões, dentre outros).</w:t>
      </w:r>
    </w:p>
    <w:p w14:paraId="1875F85D" w14:textId="77777777" w:rsidR="000C2F25" w:rsidRPr="000C2F25" w:rsidRDefault="000C2F25"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240" w:line="360" w:lineRule="auto"/>
        <w:ind w:left="714" w:hanging="357"/>
        <w:rPr>
          <w:rFonts w:ascii="Cambria" w:hAnsi="Cambria"/>
        </w:rPr>
      </w:pPr>
      <w:r w:rsidRPr="000C2F25">
        <w:rPr>
          <w:rFonts w:ascii="Cambria" w:hAnsi="Cambria"/>
        </w:rPr>
        <w:t>Situação da equipe e ações especificas da função:</w:t>
      </w:r>
    </w:p>
    <w:p w14:paraId="00C5D112"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1066" w:hanging="357"/>
        <w:rPr>
          <w:rFonts w:ascii="Cambria" w:hAnsi="Cambria"/>
        </w:rPr>
      </w:pPr>
      <w:r w:rsidRPr="000C2F25">
        <w:rPr>
          <w:rFonts w:ascii="Cambria" w:hAnsi="Cambria"/>
        </w:rPr>
        <w:t xml:space="preserve">Principais ações concluídas pela </w:t>
      </w:r>
      <w:r w:rsidR="00D17185">
        <w:rPr>
          <w:rFonts w:ascii="Cambria" w:hAnsi="Cambria"/>
        </w:rPr>
        <w:t>posição</w:t>
      </w:r>
      <w:r w:rsidRPr="000C2F25">
        <w:rPr>
          <w:rFonts w:ascii="Cambria" w:hAnsi="Cambria"/>
        </w:rPr>
        <w:t>;</w:t>
      </w:r>
    </w:p>
    <w:p w14:paraId="3FF2456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Ações abertas/em andamento pela </w:t>
      </w:r>
      <w:r w:rsidR="00D17185">
        <w:rPr>
          <w:rFonts w:ascii="Cambria" w:hAnsi="Cambria"/>
        </w:rPr>
        <w:t>posição</w:t>
      </w:r>
      <w:r w:rsidRPr="000C2F25">
        <w:rPr>
          <w:rFonts w:ascii="Cambria" w:hAnsi="Cambria"/>
        </w:rPr>
        <w:t>;</w:t>
      </w:r>
    </w:p>
    <w:p w14:paraId="4C5C69AA"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Comunicações internas e externas realizadas pela </w:t>
      </w:r>
      <w:r w:rsidR="00D17185">
        <w:rPr>
          <w:rFonts w:ascii="Cambria" w:hAnsi="Cambria"/>
        </w:rPr>
        <w:t>posição</w:t>
      </w:r>
      <w:r w:rsidRPr="000C2F25">
        <w:rPr>
          <w:rFonts w:ascii="Cambria" w:hAnsi="Cambria"/>
        </w:rPr>
        <w:t>;</w:t>
      </w:r>
    </w:p>
    <w:p w14:paraId="104E7262"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Restrições ou limitações relacionadas à área de atuação da </w:t>
      </w:r>
      <w:r w:rsidR="00D17185">
        <w:rPr>
          <w:rFonts w:ascii="Cambria" w:hAnsi="Cambria"/>
        </w:rPr>
        <w:t>posição</w:t>
      </w:r>
      <w:r w:rsidRPr="000C2F25">
        <w:rPr>
          <w:rFonts w:ascii="Cambria" w:hAnsi="Cambria"/>
        </w:rPr>
        <w:t>;</w:t>
      </w:r>
    </w:p>
    <w:p w14:paraId="2C86C1FD"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 xml:space="preserve">Potencial do incidente relacionado à área de atuação da </w:t>
      </w:r>
      <w:r w:rsidR="00D17185">
        <w:rPr>
          <w:rFonts w:ascii="Cambria" w:hAnsi="Cambria"/>
        </w:rPr>
        <w:t>posição</w:t>
      </w:r>
      <w:r w:rsidRPr="000C2F25">
        <w:rPr>
          <w:rFonts w:ascii="Cambria" w:hAnsi="Cambria"/>
        </w:rPr>
        <w:t>;</w:t>
      </w:r>
    </w:p>
    <w:p w14:paraId="48CCDD14"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Recursos solicitados/necessários;</w:t>
      </w:r>
    </w:p>
    <w:p w14:paraId="764A1DC1"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1066" w:hanging="357"/>
        <w:rPr>
          <w:rFonts w:ascii="Cambria" w:hAnsi="Cambria"/>
        </w:rPr>
      </w:pPr>
      <w:r w:rsidRPr="000C2F25">
        <w:rPr>
          <w:rFonts w:ascii="Cambria" w:hAnsi="Cambria"/>
        </w:rPr>
        <w:t>Atribuições dos recursos; e</w:t>
      </w:r>
    </w:p>
    <w:p w14:paraId="14647EFC" w14:textId="77777777" w:rsidR="000C2F25" w:rsidRPr="000C2F25" w:rsidRDefault="000C2F25" w:rsidP="00EA2A77">
      <w:pPr>
        <w:pStyle w:val="OCEBullet"/>
        <w:numPr>
          <w:ilvl w:val="1"/>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1066" w:hanging="357"/>
        <w:rPr>
          <w:rFonts w:ascii="Cambria" w:hAnsi="Cambria"/>
        </w:rPr>
      </w:pPr>
      <w:r w:rsidRPr="000C2F25">
        <w:rPr>
          <w:rFonts w:ascii="Cambria" w:hAnsi="Cambria"/>
        </w:rPr>
        <w:t>Delegação de autoridade/li</w:t>
      </w:r>
      <w:r w:rsidR="009236C4">
        <w:rPr>
          <w:rFonts w:ascii="Cambria" w:hAnsi="Cambria"/>
        </w:rPr>
        <w:t xml:space="preserve">mites de competência da </w:t>
      </w:r>
      <w:r w:rsidR="00D17185">
        <w:rPr>
          <w:rFonts w:ascii="Cambria" w:hAnsi="Cambria"/>
        </w:rPr>
        <w:t>posição</w:t>
      </w:r>
      <w:r w:rsidR="009236C4">
        <w:rPr>
          <w:rFonts w:ascii="Cambria" w:hAnsi="Cambria"/>
        </w:rPr>
        <w:t>.</w:t>
      </w:r>
    </w:p>
    <w:p w14:paraId="6E684569" w14:textId="545458BD" w:rsidR="000C2F25" w:rsidRPr="000C2F25" w:rsidRDefault="000C2F25" w:rsidP="00801EF6">
      <w:pPr>
        <w:pStyle w:val="tier1Itext"/>
      </w:pPr>
      <w:r w:rsidRPr="000C2F25">
        <w:t xml:space="preserve">Conforme apresentado anteriormente, a BP possui um procedimento corporativo de suporte </w:t>
      </w:r>
      <w:r w:rsidR="00D17185">
        <w:t>às</w:t>
      </w:r>
      <w:r w:rsidR="00D17185" w:rsidRPr="000C2F25">
        <w:t xml:space="preserve"> </w:t>
      </w:r>
      <w:r w:rsidR="00D17185">
        <w:t>equipes</w:t>
      </w:r>
      <w:r w:rsidR="00D17185" w:rsidRPr="000C2F25">
        <w:t xml:space="preserve"> </w:t>
      </w:r>
      <w:r w:rsidRPr="000C2F25">
        <w:t xml:space="preserve">de emergência de suas operações no mundo. </w:t>
      </w:r>
      <w:r w:rsidR="00D17185">
        <w:t>A</w:t>
      </w:r>
      <w:r w:rsidR="00D17185" w:rsidRPr="000C2F25">
        <w:t xml:space="preserve"> </w:t>
      </w:r>
      <w:r w:rsidRPr="000C2F25">
        <w:t>chamad</w:t>
      </w:r>
      <w:r w:rsidR="00674347">
        <w:t>a</w:t>
      </w:r>
      <w:r w:rsidRPr="000C2F25">
        <w:t xml:space="preserve"> </w:t>
      </w:r>
      <w:r w:rsidRPr="000C2F25">
        <w:rPr>
          <w:i/>
        </w:rPr>
        <w:t>Mutual Response Team</w:t>
      </w:r>
      <w:r w:rsidRPr="000C2F25">
        <w:t xml:space="preserve"> (MRT) é </w:t>
      </w:r>
      <w:r w:rsidR="00D17185" w:rsidRPr="000C2F25">
        <w:t>compo</w:t>
      </w:r>
      <w:r w:rsidR="00D17185">
        <w:t>s</w:t>
      </w:r>
      <w:r w:rsidR="00D17185" w:rsidRPr="000C2F25">
        <w:t>t</w:t>
      </w:r>
      <w:r w:rsidR="00D17185">
        <w:t>a</w:t>
      </w:r>
      <w:r w:rsidR="00D17185" w:rsidRPr="000C2F25">
        <w:t xml:space="preserve"> </w:t>
      </w:r>
      <w:r w:rsidRPr="000C2F25">
        <w:t xml:space="preserve">por profissionais da empresa totalmente adaptados e treinados no ICS e que também possuem funções técnicas específicas (coordenadores de resposta, especialistas em técnicas de combate, etc). </w:t>
      </w:r>
      <w:r w:rsidR="00D17185">
        <w:t>A</w:t>
      </w:r>
      <w:r w:rsidR="00D17185" w:rsidRPr="000C2F25">
        <w:t xml:space="preserve"> </w:t>
      </w:r>
      <w:r w:rsidRPr="000C2F25">
        <w:t xml:space="preserve">MRT conta com membros de outros negócios da BP no país </w:t>
      </w:r>
      <w:r w:rsidRPr="00CA3980">
        <w:rPr>
          <w:color w:val="FF0000"/>
        </w:rPr>
        <w:t xml:space="preserve">e </w:t>
      </w:r>
      <w:r w:rsidR="00CA3980" w:rsidRPr="00CA3980">
        <w:rPr>
          <w:color w:val="FF0000"/>
        </w:rPr>
        <w:t>no mundo</w:t>
      </w:r>
      <w:r w:rsidRPr="000C2F25">
        <w:t>, que prontamente são contatados e mobilizados aqueles disponíveis.</w:t>
      </w:r>
    </w:p>
    <w:p w14:paraId="313BD25E" w14:textId="7ABFA0F5" w:rsidR="000C2F25" w:rsidRPr="000C2F25" w:rsidRDefault="000C2F25" w:rsidP="00801EF6">
      <w:pPr>
        <w:pStyle w:val="tier1Itext"/>
      </w:pPr>
      <w:r w:rsidRPr="000C2F25">
        <w:t>Além disto, a empresa possui contratos globais de atendimento com organizações de resposta à emergência (TRG, EMSI, Witt|O’Brien’s), que podem prover pessoal treinado em ICS e especialistas para as várias funções, podendo ser ativados a qualquer momento e garantindo a disponibilidade no ICP em até 48 horas após a mobilização.</w:t>
      </w:r>
    </w:p>
    <w:p w14:paraId="5F02387D" w14:textId="77777777" w:rsidR="0077170A" w:rsidRPr="009E316F" w:rsidRDefault="0077170A" w:rsidP="009D01BE">
      <w:pPr>
        <w:pStyle w:val="Heading2"/>
        <w:rPr>
          <w:lang w:val="pt-BR"/>
        </w:rPr>
      </w:pPr>
      <w:bookmarkStart w:id="274" w:name="_Toc523833917"/>
      <w:r w:rsidRPr="009E316F">
        <w:rPr>
          <w:lang w:val="pt-BR"/>
        </w:rPr>
        <w:t>Manutenção dos Recursos Táticos de Resposta e da Capacidade de Armazenamento Temporário</w:t>
      </w:r>
      <w:bookmarkEnd w:id="274"/>
    </w:p>
    <w:p w14:paraId="733DF32A" w14:textId="77777777" w:rsidR="000C2F25" w:rsidRDefault="000C2F25" w:rsidP="00801EF6">
      <w:pPr>
        <w:pStyle w:val="tier1Itext"/>
      </w:pPr>
      <w:r w:rsidRPr="000C2F25">
        <w:t>A fim de garantir a continuidade da capacidade de resposta em um incidente com derramamento de óleo no mar, além da EOR também deverão ser considerados aspectos relativos à manutenção dos recursos táticos, e seus elementos relacionados às técnicas utilizadas na resposta.</w:t>
      </w:r>
    </w:p>
    <w:p w14:paraId="2AA697B5" w14:textId="77777777" w:rsidR="000C2F25" w:rsidRPr="000C2F25" w:rsidRDefault="000C2F25" w:rsidP="00EA2A77">
      <w:pPr>
        <w:pStyle w:val="tier1Itext"/>
        <w:numPr>
          <w:ilvl w:val="0"/>
          <w:numId w:val="10"/>
        </w:numPr>
      </w:pPr>
      <w:r w:rsidRPr="000C2F25">
        <w:lastRenderedPageBreak/>
        <w:t>Manutenção dos recursos táticos de resposta</w:t>
      </w:r>
    </w:p>
    <w:p w14:paraId="5416C18F" w14:textId="77777777" w:rsidR="000C2F25" w:rsidRPr="000C2F25" w:rsidRDefault="000C2F25" w:rsidP="00801EF6">
      <w:pPr>
        <w:pStyle w:val="tier1Itext"/>
      </w:pPr>
      <w:r w:rsidRPr="000C2F25">
        <w:t>A devida manutenção dos recursos táticos de resposta irá garantir a capacidade permanente da empresa em desenvolver os diferentes procedimentos operacionais de resposta descritos no presente documento, conforme a evolução do cenário acidental.</w:t>
      </w:r>
    </w:p>
    <w:p w14:paraId="080C7DBE" w14:textId="4074A761" w:rsidR="000C2F25" w:rsidRPr="000C2F25" w:rsidRDefault="000C2F25" w:rsidP="00801EF6">
      <w:pPr>
        <w:pStyle w:val="tier1Itext"/>
      </w:pPr>
      <w:r w:rsidRPr="000C2F25">
        <w:t xml:space="preserve">No tocante à manutenção das técnicas da resposta realizadas pelas embarcações (dedicada de resposta ou de apoio), cujas atividades são regidas por suas autonomias operacionais (caracterizadas pela disponibilidade de combustível, água e víveres, manutenção e reparo, tempo de deslocamento até a sonda ou a base de apoio) e de participação na resposta (necessidade de alívio dos tanques de água oleosa coletada, reabastecimento de dispersantes químicos, manutenção/reparos de equipamentos de resposta, entre outros), a BP Energy considera a estratégia de contratação de embarcações adicionais provenientes do mercado </w:t>
      </w:r>
      <w:r w:rsidRPr="000C2F25">
        <w:rPr>
          <w:i/>
        </w:rPr>
        <w:t>spot</w:t>
      </w:r>
      <w:r w:rsidRPr="000C2F25">
        <w:t xml:space="preserve"> local (Belém e Macapá), </w:t>
      </w:r>
      <w:r w:rsidRPr="008D718C">
        <w:rPr>
          <w:highlight w:val="lightGray"/>
        </w:rPr>
        <w:t>ou outro</w:t>
      </w:r>
      <w:r w:rsidR="00CA3980" w:rsidRPr="008D718C">
        <w:rPr>
          <w:highlight w:val="lightGray"/>
        </w:rPr>
        <w:t>, incluindo do exterior, em áreas com operações de E&amp;P no Caribe</w:t>
      </w:r>
      <w:r w:rsidRPr="000C2F25">
        <w:t>. Tal capacidade de contratação é garantida através do monitoramento contínuo de agentes marítimos (</w:t>
      </w:r>
      <w:r w:rsidRPr="000C2F25">
        <w:rPr>
          <w:i/>
        </w:rPr>
        <w:t>brokers</w:t>
      </w:r>
      <w:r w:rsidRPr="000C2F25">
        <w:t xml:space="preserve">), que emitem relatórios periódicos indicando a disponibilidade de vários tipos de embarcações </w:t>
      </w:r>
      <w:r w:rsidRPr="00D31874">
        <w:rPr>
          <w:highlight w:val="lightGray"/>
        </w:rPr>
        <w:t>n</w:t>
      </w:r>
      <w:r w:rsidR="00CA3980" w:rsidRPr="00D31874">
        <w:rPr>
          <w:highlight w:val="lightGray"/>
        </w:rPr>
        <w:t>estes</w:t>
      </w:r>
      <w:r w:rsidRPr="00CA3980">
        <w:rPr>
          <w:color w:val="FF0000"/>
        </w:rPr>
        <w:t xml:space="preserve"> </w:t>
      </w:r>
      <w:r w:rsidRPr="000C2F25">
        <w:t>mercados.</w:t>
      </w:r>
    </w:p>
    <w:p w14:paraId="62409FFD" w14:textId="01D8EA27" w:rsidR="000C2F25" w:rsidRPr="000C2F25" w:rsidRDefault="000C2F25" w:rsidP="00801EF6">
      <w:pPr>
        <w:pStyle w:val="tier1Itext"/>
      </w:pPr>
      <w:r w:rsidRPr="000C2F25">
        <w:t xml:space="preserve">Caso sejam contratadas embarcações adicionais para a resposta, os recursos humanos (pessoal treinado em operar os equipamentos de resposta e coordenadores de resposta a serem embarcados) serão providos pelas </w:t>
      </w:r>
      <w:r w:rsidR="00D17185">
        <w:t>OSROs</w:t>
      </w:r>
      <w:r w:rsidRPr="000C2F25">
        <w:t xml:space="preserve"> já sob contrato, responsáveis pela manutenção e reparo de equipamentos (</w:t>
      </w:r>
      <w:r w:rsidRPr="000C2F25">
        <w:rPr>
          <w:i/>
        </w:rPr>
        <w:t>e.g.</w:t>
      </w:r>
      <w:r w:rsidRPr="000C2F25">
        <w:t xml:space="preserve"> barreiras, unidades de força, </w:t>
      </w:r>
      <w:r w:rsidR="007C38DE">
        <w:t>bombas</w:t>
      </w:r>
      <w:r w:rsidRPr="000C2F25">
        <w:t xml:space="preserve">, etc.) danificados envolvidos na operação. Elas também proverão estes serviços para parte do inventário de equipamentos de resposta a emergência da BP Energy, que </w:t>
      </w:r>
      <w:r w:rsidR="00D17185">
        <w:t>estará</w:t>
      </w:r>
      <w:r w:rsidR="00D17185" w:rsidRPr="000C2F25">
        <w:t xml:space="preserve"> </w:t>
      </w:r>
      <w:r w:rsidRPr="000C2F25">
        <w:t xml:space="preserve">parcialmente mobilizado </w:t>
      </w:r>
      <w:r w:rsidR="00D17185">
        <w:t>n</w:t>
      </w:r>
      <w:r w:rsidRPr="000C2F25">
        <w:t>a base de Belém, a fim de auxiliar as atividades no Bloco FZA-M-59 e agilizar a mobilização de recursos adicionais, caso necessária.</w:t>
      </w:r>
    </w:p>
    <w:p w14:paraId="64468F10" w14:textId="77777777" w:rsidR="000C2F25" w:rsidRPr="000C2F25" w:rsidRDefault="000C2F25" w:rsidP="00EA2A77">
      <w:pPr>
        <w:pStyle w:val="tier1Itext"/>
        <w:keepNext/>
        <w:numPr>
          <w:ilvl w:val="0"/>
          <w:numId w:val="10"/>
        </w:numPr>
        <w:ind w:left="714" w:hanging="357"/>
      </w:pPr>
      <w:r w:rsidRPr="000C2F25">
        <w:t>Manutenção da capacidade de armazenamento temporário</w:t>
      </w:r>
    </w:p>
    <w:p w14:paraId="01EB5712" w14:textId="77777777" w:rsidR="000C2F25" w:rsidRPr="000C2F25" w:rsidRDefault="000C2F25" w:rsidP="00696B30">
      <w:pPr>
        <w:pStyle w:val="tier1Itext"/>
      </w:pPr>
      <w:r w:rsidRPr="000C2F25">
        <w:t xml:space="preserve">A manutenção da estratégia de contenção e recolhimento por uma embarcação de resposta está diretamente atrelada à forma eficaz de sua </w:t>
      </w:r>
      <w:r w:rsidR="001F002C">
        <w:t>execução</w:t>
      </w:r>
      <w:r w:rsidRPr="000C2F25">
        <w:t xml:space="preserve"> (identificação, concentração e recolhimento das manchas de óleo) e da sua capacidade de armazenamento de água oleosa. Uma vez atingida a capacidade limite de armazenamento, se faz necessário interromper as operações de modo a realizar o alívio dos tanques, a fim de permitir o reingresso desta embarcação na atividade de resposta em questão.</w:t>
      </w:r>
    </w:p>
    <w:p w14:paraId="3C78037D" w14:textId="6E48880A" w:rsidR="000C2F25" w:rsidRPr="000C2F25" w:rsidRDefault="00161970" w:rsidP="00696B30">
      <w:pPr>
        <w:pStyle w:val="tier1Itext"/>
      </w:pPr>
      <w:r>
        <w:lastRenderedPageBreak/>
        <w:t>Considerando</w:t>
      </w:r>
      <w:r w:rsidR="000C2F25" w:rsidRPr="000C2F25">
        <w:t xml:space="preserve"> </w:t>
      </w:r>
      <w:r>
        <w:t xml:space="preserve">que eventos de maior magnitude podem levar ao saturamento da capacidade de armazenamento, e consequente </w:t>
      </w:r>
      <w:r w:rsidR="000C2F25" w:rsidRPr="000C2F25">
        <w:t>redução da eficiência da técnica</w:t>
      </w:r>
      <w:r>
        <w:t>,</w:t>
      </w:r>
      <w:r w:rsidR="000C2F25" w:rsidRPr="000C2F25">
        <w:t xml:space="preserve"> é importante que estas embarcações de resposta possam permanece</w:t>
      </w:r>
      <w:r w:rsidR="0098035D">
        <w:t>9</w:t>
      </w:r>
      <w:r w:rsidR="000C2F25" w:rsidRPr="000C2F25">
        <w:t xml:space="preserve">r operantes pelo maior tempo possível. </w:t>
      </w:r>
      <w:r w:rsidR="00286062">
        <w:t>No entanto, o somatório do</w:t>
      </w:r>
      <w:r w:rsidR="000C2F25" w:rsidRPr="000C2F25">
        <w:t xml:space="preserve"> tempo de deslocamento entre a região do Bloco e a base de apoio</w:t>
      </w:r>
      <w:r w:rsidR="00D17185">
        <w:t>,</w:t>
      </w:r>
      <w:r w:rsidR="000C2F25" w:rsidRPr="000C2F25">
        <w:t xml:space="preserve"> </w:t>
      </w:r>
      <w:r w:rsidR="00D17185">
        <w:t xml:space="preserve">somado </w:t>
      </w:r>
      <w:r w:rsidR="00286062">
        <w:t>com o tempo necessário à</w:t>
      </w:r>
      <w:r w:rsidR="000C2F25" w:rsidRPr="000C2F25">
        <w:t xml:space="preserve"> descontaminação desta embarcação</w:t>
      </w:r>
      <w:r w:rsidR="00D17185">
        <w:t>,</w:t>
      </w:r>
      <w:r w:rsidR="00286062">
        <w:t xml:space="preserve"> </w:t>
      </w:r>
      <w:r w:rsidR="000C2F25" w:rsidRPr="000C2F25">
        <w:t>tem o potencial de alijá-la da resposta por um significativo período.</w:t>
      </w:r>
    </w:p>
    <w:p w14:paraId="632AA3DC" w14:textId="576F0A0C" w:rsidR="000C2F25" w:rsidRPr="000C2F25" w:rsidRDefault="000C2F25" w:rsidP="00696B30">
      <w:pPr>
        <w:pStyle w:val="tier1Itext"/>
      </w:pPr>
      <w:r w:rsidRPr="000C2F25">
        <w:t>Assim sendo, no tocante à manutenção da capacidade de armazenamento, além da potencial contratação de embarcações de resposta complementares (descrita no item anterior), e da realização da técnica de decantação (</w:t>
      </w:r>
      <w:r w:rsidRPr="00A8331C">
        <w:t xml:space="preserve">descrita ano item </w:t>
      </w:r>
      <w:r w:rsidR="00696B30" w:rsidRPr="00A8331C">
        <w:fldChar w:fldCharType="begin"/>
      </w:r>
      <w:r w:rsidR="00696B30" w:rsidRPr="00A8331C">
        <w:instrText xml:space="preserve"> REF _Ref414548967 \r \h </w:instrText>
      </w:r>
      <w:r w:rsidR="00A8331C">
        <w:instrText xml:space="preserve"> \* MERGEFORMAT </w:instrText>
      </w:r>
      <w:r w:rsidR="00696B30" w:rsidRPr="00A8331C">
        <w:fldChar w:fldCharType="separate"/>
      </w:r>
      <w:r w:rsidR="00897470">
        <w:t>8.4.</w:t>
      </w:r>
      <w:r w:rsidR="00E17AA0">
        <w:t>1</w:t>
      </w:r>
      <w:r w:rsidR="00696B30" w:rsidRPr="00A8331C">
        <w:fldChar w:fldCharType="end"/>
      </w:r>
      <w:r w:rsidR="00CA3980">
        <w:t xml:space="preserve"> </w:t>
      </w:r>
      <w:r w:rsidR="00CA3980" w:rsidRPr="00E17AA0">
        <w:rPr>
          <w:highlight w:val="lightGray"/>
        </w:rPr>
        <w:t>e se autorizada pelo órgão ambiental competente</w:t>
      </w:r>
      <w:r w:rsidRPr="00A8331C">
        <w:t>), quando</w:t>
      </w:r>
      <w:r w:rsidRPr="000C2F25">
        <w:t xml:space="preserve"> a gravidade do incidente assim demandar, está prevista pela BP Energy a contratação em mercado </w:t>
      </w:r>
      <w:r w:rsidRPr="000C2F25">
        <w:rPr>
          <w:i/>
        </w:rPr>
        <w:t>spot</w:t>
      </w:r>
      <w:r w:rsidRPr="000C2F25">
        <w:t xml:space="preserve"> local ou em outras bacias,</w:t>
      </w:r>
      <w:r w:rsidRPr="000C2F25">
        <w:rPr>
          <w:i/>
        </w:rPr>
        <w:t xml:space="preserve"> </w:t>
      </w:r>
      <w:r w:rsidRPr="000C2F25">
        <w:t>através de agentes marítimos, de um navio aliviador – embarcação DP dotada de grande capacidade de tancagem para efluentes oleosos. Serão consideradas também opções de contratação na região do Caribe, em função das maiores disponibilidade e proximidade, devendo ser gerenciadas as expedições de importação sob a ativação da emergência.</w:t>
      </w:r>
    </w:p>
    <w:p w14:paraId="75DD0A68" w14:textId="4813B8A8" w:rsidR="000C2F25" w:rsidRPr="000C2F25" w:rsidRDefault="000C2F25" w:rsidP="00696B30">
      <w:pPr>
        <w:pStyle w:val="tier1Itext"/>
      </w:pPr>
      <w:r w:rsidRPr="000C2F25">
        <w:t>O tempo de chegada e mobilização necessário para a embarcação de alívio (10 a 20 dias) será cobert</w:t>
      </w:r>
      <w:r w:rsidR="00286062">
        <w:t>o</w:t>
      </w:r>
      <w:r w:rsidRPr="000C2F25">
        <w:t xml:space="preserve"> na estrutura d</w:t>
      </w:r>
      <w:r w:rsidR="00286062">
        <w:t>e</w:t>
      </w:r>
      <w:r w:rsidRPr="000C2F25">
        <w:t xml:space="preserve"> resposta pela autonomia operacional inicial das embarcações e por procedimentos logísticos de operação com o suporte da sonda (abastecimentos e alívios para tanques disponíveis)</w:t>
      </w:r>
      <w:r w:rsidR="00D17185">
        <w:t>, caso esta esteja operacional</w:t>
      </w:r>
      <w:r w:rsidRPr="000C2F25">
        <w:t>.</w:t>
      </w:r>
      <w:r w:rsidR="007C38DE">
        <w:t xml:space="preserve"> Nesta embarcação </w:t>
      </w:r>
      <w:r w:rsidR="00CA3980" w:rsidRPr="00E17AA0">
        <w:rPr>
          <w:highlight w:val="lightGray"/>
        </w:rPr>
        <w:t>de alívio poderá ser</w:t>
      </w:r>
      <w:r w:rsidR="007C38DE" w:rsidRPr="00E17AA0">
        <w:rPr>
          <w:highlight w:val="lightGray"/>
        </w:rPr>
        <w:t xml:space="preserve"> mobilizad</w:t>
      </w:r>
      <w:r w:rsidR="00CA3980" w:rsidRPr="00E17AA0">
        <w:rPr>
          <w:highlight w:val="lightGray"/>
        </w:rPr>
        <w:t>o</w:t>
      </w:r>
      <w:r w:rsidR="007C38DE">
        <w:t xml:space="preserve"> um equipamento que permita a filtragem da mistura oleosa armazenada, de forma a segregar o óleo e gerar efluente dentro do padrão operacional de descarte autorizado em legislação (15 ppm), nos moldes dos que são usados para tratamento de água de produção </w:t>
      </w:r>
      <w:r w:rsidR="007C38DE" w:rsidRPr="007C38DE">
        <w:rPr>
          <w:i/>
        </w:rPr>
        <w:t>off spec</w:t>
      </w:r>
      <w:r w:rsidR="007C38DE">
        <w:t xml:space="preserve">.  Isto contribuirá </w:t>
      </w:r>
      <w:r w:rsidR="00CA3980" w:rsidRPr="00E17AA0">
        <w:rPr>
          <w:highlight w:val="lightGray"/>
        </w:rPr>
        <w:t>ainda mais</w:t>
      </w:r>
      <w:r w:rsidR="00CA3980" w:rsidRPr="00E17AA0">
        <w:t xml:space="preserve"> </w:t>
      </w:r>
      <w:r w:rsidR="007C38DE">
        <w:t xml:space="preserve">para </w:t>
      </w:r>
      <w:r w:rsidR="00CA3980" w:rsidRPr="00E17AA0">
        <w:t>o</w:t>
      </w:r>
      <w:r w:rsidR="00CA3980" w:rsidRPr="00CA3980">
        <w:rPr>
          <w:color w:val="FF0000"/>
        </w:rPr>
        <w:t xml:space="preserve"> </w:t>
      </w:r>
      <w:r w:rsidR="007C38DE">
        <w:t>aumento da autonomia deste recurso.</w:t>
      </w:r>
    </w:p>
    <w:p w14:paraId="3BE52FAB" w14:textId="77777777" w:rsidR="000C2F25" w:rsidRPr="000C2F25" w:rsidRDefault="000C2F25" w:rsidP="00696B30">
      <w:pPr>
        <w:pStyle w:val="tier1Itext"/>
      </w:pPr>
      <w:r w:rsidRPr="000C2F25">
        <w:t>O planejamento e execução das operações de transferência deverão ser feitos por profissionais capacitados e habilitados, segui</w:t>
      </w:r>
      <w:r w:rsidR="00286062">
        <w:t>n</w:t>
      </w:r>
      <w:r w:rsidRPr="000C2F25">
        <w:t>do os procedimentos de segurança e de transferência específicos das instalações a serem utilizadas, bem como as outras normas e padrões aplicáveis.</w:t>
      </w:r>
    </w:p>
    <w:p w14:paraId="62627E92" w14:textId="7E7CFFFC" w:rsidR="000C2F25" w:rsidRDefault="000C2F25" w:rsidP="00696B30">
      <w:pPr>
        <w:pStyle w:val="tier1Itext"/>
      </w:pPr>
      <w:r w:rsidRPr="000C2F25">
        <w:rPr>
          <w:rFonts w:cstheme="majorHAnsi"/>
        </w:rPr>
        <w:lastRenderedPageBreak/>
        <w:t xml:space="preserve">Como anteriormente dito em relação à recursos humanos, além </w:t>
      </w:r>
      <w:r w:rsidR="00C347D8" w:rsidRPr="000C2F25">
        <w:rPr>
          <w:rFonts w:cstheme="majorHAnsi"/>
        </w:rPr>
        <w:t>d</w:t>
      </w:r>
      <w:r w:rsidR="00C347D8">
        <w:rPr>
          <w:rFonts w:cstheme="majorHAnsi"/>
        </w:rPr>
        <w:t>as</w:t>
      </w:r>
      <w:r w:rsidR="00C347D8" w:rsidRPr="000C2F25">
        <w:rPr>
          <w:rFonts w:cstheme="majorHAnsi"/>
        </w:rPr>
        <w:t xml:space="preserve"> </w:t>
      </w:r>
      <w:r w:rsidRPr="000C2F25">
        <w:rPr>
          <w:rFonts w:cstheme="majorHAnsi"/>
        </w:rPr>
        <w:t>alternativas apresentadas</w:t>
      </w:r>
      <w:r w:rsidRPr="000C2F25">
        <w:t>, no que se refere a equipamentos e materiais de resposta adicionais (técnic</w:t>
      </w:r>
      <w:r w:rsidR="00161970">
        <w:t>os</w:t>
      </w:r>
      <w:r w:rsidRPr="000C2F25">
        <w:t xml:space="preserve"> habilitad</w:t>
      </w:r>
      <w:r w:rsidR="00161970">
        <w:t>os</w:t>
      </w:r>
      <w:r w:rsidRPr="000C2F25">
        <w:t>), estes também podem ser ativados de outras empresas de petróleo (através de Acordos de Compartilhamento de Equipamentos de Resposta) e diferentes OSROs</w:t>
      </w:r>
      <w:r w:rsidR="00656D39">
        <w:t xml:space="preserve"> </w:t>
      </w:r>
      <w:r w:rsidRPr="000C2F25">
        <w:t xml:space="preserve">no país e no mundo, com as quais a BP mantém contratos globais de atendimento, principalmente a </w:t>
      </w:r>
      <w:r w:rsidRPr="000C2F25">
        <w:rPr>
          <w:i/>
        </w:rPr>
        <w:t>Oil Spill Response Limited</w:t>
      </w:r>
      <w:r w:rsidRPr="000C2F25">
        <w:t xml:space="preserve"> (OSRL), empresa com recursos e equipes na região do Caribe e principal respondedora no </w:t>
      </w:r>
      <w:r w:rsidRPr="000C2F25">
        <w:rPr>
          <w:i/>
        </w:rPr>
        <w:t>Caribbean Island OPRC Plan</w:t>
      </w:r>
      <w:r w:rsidRPr="000C2F25">
        <w:t xml:space="preserve"> (Plano Regional de Resposta e Cooperação a</w:t>
      </w:r>
      <w:r w:rsidR="00696B30">
        <w:t xml:space="preserve"> Vazamentos de Óleo no Caribe).</w:t>
      </w:r>
    </w:p>
    <w:p w14:paraId="1C757510" w14:textId="0C4C45FE" w:rsidR="00CA3980" w:rsidRPr="008D718C" w:rsidRDefault="00CA3980" w:rsidP="00696B30">
      <w:pPr>
        <w:pStyle w:val="tier1Itext"/>
        <w:rPr>
          <w:highlight w:val="lightGray"/>
        </w:rPr>
      </w:pPr>
      <w:r w:rsidRPr="008D718C">
        <w:rPr>
          <w:highlight w:val="lightGray"/>
        </w:rPr>
        <w:t xml:space="preserve">A OSRL tem capacidade operacional e de conhecimento da região, que lhe permite mobilizar recursos de respostas para diversas localidades no Caribe, já tendo mapeado </w:t>
      </w:r>
      <w:r w:rsidR="00F75569" w:rsidRPr="008D718C">
        <w:rPr>
          <w:highlight w:val="lightGray"/>
        </w:rPr>
        <w:t xml:space="preserve">recursos de suporte à operação em vários </w:t>
      </w:r>
      <w:r w:rsidR="00C47BB1" w:rsidRPr="008D718C">
        <w:rPr>
          <w:highlight w:val="lightGray"/>
        </w:rPr>
        <w:t xml:space="preserve">deste </w:t>
      </w:r>
      <w:r w:rsidR="00F75569" w:rsidRPr="008D718C">
        <w:rPr>
          <w:highlight w:val="lightGray"/>
        </w:rPr>
        <w:t xml:space="preserve">locais e </w:t>
      </w:r>
      <w:r w:rsidRPr="008D718C">
        <w:rPr>
          <w:highlight w:val="lightGray"/>
        </w:rPr>
        <w:t xml:space="preserve">os trâmites que permitem </w:t>
      </w:r>
      <w:r w:rsidR="00F75569" w:rsidRPr="008D718C">
        <w:rPr>
          <w:highlight w:val="lightGray"/>
        </w:rPr>
        <w:t>uma movimentação transfronteiriça, quando necessária.</w:t>
      </w:r>
      <w:r w:rsidR="00C47BB1" w:rsidRPr="008D718C">
        <w:rPr>
          <w:highlight w:val="lightGray"/>
        </w:rPr>
        <w:t xml:space="preserve"> </w:t>
      </w:r>
      <w:r w:rsidR="00C4748A" w:rsidRPr="008D718C">
        <w:rPr>
          <w:highlight w:val="lightGray"/>
        </w:rPr>
        <w:t>Isto permite projetar que, em qualquer área/país que possa haver interação com a deriva de mancha, sejam mobilizados, quando necessários, recursos e pessoal para as estratégias de combate e/ou limpeza de áreas afetadas; sempre de acordo com os padrões e técnicas autorizadas pela legislação local.</w:t>
      </w:r>
    </w:p>
    <w:p w14:paraId="0BDA9FF5" w14:textId="1B449FF7" w:rsidR="006F18B8" w:rsidRPr="008D718C" w:rsidRDefault="006F18B8" w:rsidP="00696B30">
      <w:pPr>
        <w:pStyle w:val="tier1Itext"/>
      </w:pPr>
      <w:r w:rsidRPr="008D718C">
        <w:rPr>
          <w:highlight w:val="lightGray"/>
        </w:rPr>
        <w:t>Cabe lembrar também que a BP tem uma ampla presença em campos de produção em Trinidad &amp; Tobago, que em caso de necessidade de combate de uma deriva para a região central do Caribe, poderá ser utilizado como um ponto de apoio das operações</w:t>
      </w:r>
      <w:r w:rsidR="00391611" w:rsidRPr="008D718C">
        <w:rPr>
          <w:highlight w:val="lightGray"/>
        </w:rPr>
        <w:t>, contando inclusive com recursos já contratados localmente e com facilidades de deslocamento transfronteiriços em virtude dos acordos entre os países da região.</w:t>
      </w:r>
    </w:p>
    <w:p w14:paraId="222ACF26" w14:textId="77777777" w:rsidR="00F75569" w:rsidRPr="00F75569" w:rsidRDefault="00F75569" w:rsidP="00696B30">
      <w:pPr>
        <w:pStyle w:val="tier1Itext"/>
        <w:rPr>
          <w:color w:val="FF0000"/>
        </w:rPr>
      </w:pPr>
    </w:p>
    <w:p w14:paraId="779EA3DE" w14:textId="77777777" w:rsidR="0077170A" w:rsidRPr="00CA3980" w:rsidRDefault="0077170A" w:rsidP="009D01BE">
      <w:pPr>
        <w:pStyle w:val="Heading1"/>
        <w:rPr>
          <w:lang w:val="pt-BR"/>
        </w:rPr>
      </w:pPr>
      <w:bookmarkStart w:id="275" w:name="_Ref414455058"/>
      <w:bookmarkStart w:id="276" w:name="_Ref414455170"/>
      <w:bookmarkStart w:id="277" w:name="_Ref414456392"/>
      <w:bookmarkStart w:id="278" w:name="_Toc523833918"/>
      <w:r w:rsidRPr="00CA3980">
        <w:rPr>
          <w:lang w:val="pt-BR"/>
        </w:rPr>
        <w:t>ENCERRAMENTO DAS AÇÕES DE RESPOSTA</w:t>
      </w:r>
      <w:bookmarkEnd w:id="275"/>
      <w:bookmarkEnd w:id="276"/>
      <w:bookmarkEnd w:id="277"/>
      <w:bookmarkEnd w:id="278"/>
    </w:p>
    <w:p w14:paraId="1C016D04" w14:textId="73E4E8AC" w:rsidR="008738F8" w:rsidRPr="008738F8" w:rsidRDefault="008738F8" w:rsidP="00696B30">
      <w:pPr>
        <w:pStyle w:val="tier1Itext"/>
      </w:pPr>
      <w:r w:rsidRPr="008738F8">
        <w:t>A decisão para se determinar o encerramento das operações de respostas a emergências com base na situação corrente do incidente e das ações de resposta</w:t>
      </w:r>
      <w:r w:rsidRPr="008738F8">
        <w:rPr>
          <w:sz w:val="20"/>
        </w:rPr>
        <w:t xml:space="preserve"> </w:t>
      </w:r>
      <w:r w:rsidRPr="008738F8">
        <w:t xml:space="preserve">deve ser tomada pelo IC (ou delegado), em concordância com o(s) representante(s) da(s) Agência(s) Governamental(is) </w:t>
      </w:r>
      <w:r w:rsidR="007C38DE">
        <w:t xml:space="preserve">(GAA) </w:t>
      </w:r>
      <w:r w:rsidRPr="008738F8">
        <w:t>ou pelo UC (Comando Unificado), se estabelecido. No caso da instituição do relatório de acompanhamento diário do incidente, esta análise e a solicitação formal deverão ser apresentadas no documento encaminhado às autoridades competentes, para sua ciência e aprovação.</w:t>
      </w:r>
    </w:p>
    <w:p w14:paraId="7DC0058C" w14:textId="77777777" w:rsidR="008738F8" w:rsidRPr="008738F8" w:rsidRDefault="008738F8" w:rsidP="00696B30">
      <w:pPr>
        <w:pStyle w:val="tier1Itext"/>
      </w:pPr>
      <w:r w:rsidRPr="008738F8">
        <w:t>Diversos indicadores podem ser utilizados para apoiar esta decisão, tais como:</w:t>
      </w:r>
    </w:p>
    <w:p w14:paraId="4AA1B68F"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after="0" w:line="360" w:lineRule="auto"/>
        <w:ind w:left="714" w:hanging="357"/>
        <w:rPr>
          <w:rFonts w:asciiTheme="majorHAnsi" w:hAnsiTheme="majorHAnsi"/>
        </w:rPr>
      </w:pPr>
      <w:r w:rsidRPr="008738F8">
        <w:rPr>
          <w:rFonts w:asciiTheme="majorHAnsi" w:hAnsiTheme="majorHAnsi"/>
        </w:rPr>
        <w:t xml:space="preserve">Quando os resultados das ações de monitoramento indicarem que as operações de resposta não estão sendo mais eficientes e/ou necessárias pela inexistência de óleo livre visível na água ou costa; como nas operações de contenção e recolhimento, onde o OSC </w:t>
      </w:r>
      <w:r w:rsidRPr="008738F8">
        <w:rPr>
          <w:rFonts w:asciiTheme="majorHAnsi" w:hAnsiTheme="majorHAnsi"/>
        </w:rPr>
        <w:lastRenderedPageBreak/>
        <w:t xml:space="preserve">Delegado, junto com os capitães das embarcações dedicada e de suporte deverão avaliar a viabilidade de continuação desta técnica de acordo com o escopo da segurança e eficiência da recuperação (condições ambientais e características do óleo na superfície da mancha), lembrando que a dispersão mecânica e o monitoramento devem ser </w:t>
      </w:r>
      <w:r w:rsidR="0045015F">
        <w:rPr>
          <w:rFonts w:asciiTheme="majorHAnsi" w:hAnsiTheme="majorHAnsi"/>
        </w:rPr>
        <w:t xml:space="preserve">mantidos </w:t>
      </w:r>
      <w:r w:rsidRPr="008738F8">
        <w:rPr>
          <w:rFonts w:asciiTheme="majorHAnsi" w:hAnsiTheme="majorHAnsi"/>
        </w:rPr>
        <w:t>enquanto a mancha estiver visível;</w:t>
      </w:r>
    </w:p>
    <w:p w14:paraId="38E5589A"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0" w:line="360" w:lineRule="auto"/>
        <w:ind w:left="714" w:hanging="357"/>
        <w:rPr>
          <w:rFonts w:asciiTheme="majorHAnsi" w:hAnsiTheme="majorHAnsi"/>
        </w:rPr>
      </w:pPr>
      <w:r w:rsidRPr="008738F8">
        <w:rPr>
          <w:rFonts w:asciiTheme="majorHAnsi" w:hAnsiTheme="majorHAnsi"/>
        </w:rPr>
        <w:t xml:space="preserve">Não ocorrência de novos </w:t>
      </w:r>
      <w:r w:rsidR="0045015F">
        <w:rPr>
          <w:rFonts w:asciiTheme="majorHAnsi" w:hAnsiTheme="majorHAnsi"/>
        </w:rPr>
        <w:t>exemplares</w:t>
      </w:r>
      <w:r w:rsidRPr="008738F8">
        <w:rPr>
          <w:rFonts w:asciiTheme="majorHAnsi" w:hAnsiTheme="majorHAnsi"/>
        </w:rPr>
        <w:t xml:space="preserve"> da fauna impactados, </w:t>
      </w:r>
      <w:r w:rsidR="0045015F">
        <w:rPr>
          <w:rFonts w:asciiTheme="majorHAnsi" w:hAnsiTheme="majorHAnsi"/>
        </w:rPr>
        <w:t>além de os</w:t>
      </w:r>
      <w:r w:rsidRPr="008738F8">
        <w:rPr>
          <w:rFonts w:asciiTheme="majorHAnsi" w:hAnsiTheme="majorHAnsi"/>
        </w:rPr>
        <w:t xml:space="preserve"> existentes </w:t>
      </w:r>
      <w:r w:rsidR="0045015F">
        <w:rPr>
          <w:rFonts w:asciiTheme="majorHAnsi" w:hAnsiTheme="majorHAnsi"/>
        </w:rPr>
        <w:t>já terem todos sido</w:t>
      </w:r>
      <w:r w:rsidRPr="008738F8">
        <w:rPr>
          <w:rFonts w:asciiTheme="majorHAnsi" w:hAnsiTheme="majorHAnsi"/>
        </w:rPr>
        <w:t xml:space="preserve"> capturados e encaminhados ao processo de reabilitação, conforme indicado no plano específico;</w:t>
      </w:r>
    </w:p>
    <w:p w14:paraId="5184DED1" w14:textId="77777777" w:rsidR="008738F8" w:rsidRPr="008738F8" w:rsidRDefault="008738F8" w:rsidP="00EA2A77">
      <w:pPr>
        <w:pStyle w:val="OCEBullet"/>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spacing w:before="0" w:after="240" w:line="360" w:lineRule="auto"/>
        <w:ind w:left="714" w:hanging="357"/>
        <w:rPr>
          <w:rFonts w:asciiTheme="majorHAnsi" w:hAnsiTheme="majorHAnsi"/>
        </w:rPr>
      </w:pPr>
      <w:r w:rsidRPr="008738F8">
        <w:rPr>
          <w:rFonts w:asciiTheme="majorHAnsi" w:hAnsiTheme="majorHAnsi"/>
        </w:rPr>
        <w:t>Os critérios de limpeza da costa acordados (</w:t>
      </w:r>
      <w:r w:rsidRPr="008738F8">
        <w:rPr>
          <w:rFonts w:asciiTheme="majorHAnsi" w:hAnsiTheme="majorHAnsi"/>
          <w:i/>
        </w:rPr>
        <w:t>endpoints</w:t>
      </w:r>
      <w:r w:rsidRPr="008738F8">
        <w:rPr>
          <w:rFonts w:asciiTheme="majorHAnsi" w:hAnsiTheme="majorHAnsi"/>
        </w:rPr>
        <w:t xml:space="preserve">) foram alcançados e </w:t>
      </w:r>
      <w:r w:rsidR="003B5E27">
        <w:rPr>
          <w:rFonts w:asciiTheme="majorHAnsi" w:hAnsiTheme="majorHAnsi"/>
        </w:rPr>
        <w:t>existir</w:t>
      </w:r>
      <w:r w:rsidR="003B5E27" w:rsidRPr="008738F8">
        <w:rPr>
          <w:rFonts w:asciiTheme="majorHAnsi" w:hAnsiTheme="majorHAnsi"/>
        </w:rPr>
        <w:t xml:space="preserve"> </w:t>
      </w:r>
      <w:r w:rsidRPr="008738F8">
        <w:rPr>
          <w:rFonts w:asciiTheme="majorHAnsi" w:hAnsiTheme="majorHAnsi"/>
        </w:rPr>
        <w:t xml:space="preserve">o consenso que ações/tentativas de limpeza adicionais </w:t>
      </w:r>
      <w:r w:rsidR="003B5E27" w:rsidRPr="008738F8">
        <w:rPr>
          <w:rFonts w:asciiTheme="majorHAnsi" w:hAnsiTheme="majorHAnsi"/>
        </w:rPr>
        <w:t>causar</w:t>
      </w:r>
      <w:r w:rsidR="003B5E27">
        <w:rPr>
          <w:rFonts w:asciiTheme="majorHAnsi" w:hAnsiTheme="majorHAnsi"/>
        </w:rPr>
        <w:t>ão</w:t>
      </w:r>
      <w:r w:rsidR="003B5E27" w:rsidRPr="008738F8">
        <w:rPr>
          <w:rFonts w:asciiTheme="majorHAnsi" w:hAnsiTheme="majorHAnsi"/>
        </w:rPr>
        <w:t xml:space="preserve"> </w:t>
      </w:r>
      <w:r w:rsidRPr="008738F8">
        <w:rPr>
          <w:rFonts w:asciiTheme="majorHAnsi" w:hAnsiTheme="majorHAnsi"/>
        </w:rPr>
        <w:t>mais dano que benefício ao ambiente impactado.</w:t>
      </w:r>
    </w:p>
    <w:p w14:paraId="7164CDB7" w14:textId="2FBF02C6" w:rsidR="008738F8" w:rsidRPr="008738F8" w:rsidRDefault="008738F8" w:rsidP="00696B30">
      <w:pPr>
        <w:pStyle w:val="tier1Itext"/>
      </w:pPr>
      <w:r w:rsidRPr="008738F8">
        <w:t xml:space="preserve">Após a </w:t>
      </w:r>
      <w:r w:rsidRPr="008738F8">
        <w:rPr>
          <w:rFonts w:cstheme="majorHAnsi"/>
        </w:rPr>
        <w:t>decisão</w:t>
      </w:r>
      <w:r w:rsidRPr="008738F8">
        <w:t xml:space="preserve"> pelo encerramento, as seções de Planejamento e Logística providenciarão a desmobilização do pessoal, equipamentos e materiais empregados nas ações de resposta</w:t>
      </w:r>
      <w:r w:rsidRPr="00752220">
        <w:t>.</w:t>
      </w:r>
    </w:p>
    <w:p w14:paraId="4334E4DC" w14:textId="77777777" w:rsidR="008738F8" w:rsidRPr="008738F8" w:rsidRDefault="008738F8" w:rsidP="00696B30">
      <w:pPr>
        <w:pStyle w:val="tier1Itext"/>
      </w:pPr>
      <w:r w:rsidRPr="008738F8">
        <w:rPr>
          <w:rFonts w:cstheme="majorHAnsi"/>
        </w:rPr>
        <w:t>Equipamentos</w:t>
      </w:r>
      <w:r w:rsidRPr="008738F8">
        <w:t xml:space="preserve"> (barreiras de contenção, coletores, etc) contaminados com óleo devido a</w:t>
      </w:r>
      <w:r w:rsidR="0045015F">
        <w:t>s</w:t>
      </w:r>
      <w:r w:rsidRPr="008738F8">
        <w:t xml:space="preserve"> ações de resposta devem ser transportados pelas embarcações para a área designada em terra. </w:t>
      </w:r>
      <w:r w:rsidR="0045015F">
        <w:t>Em</w:t>
      </w:r>
      <w:r w:rsidRPr="008738F8">
        <w:t xml:space="preserve"> local apropriado, os equipamentos serão descontaminados e os resíduos gerados coletados e descartados de acordo com as diretrizes do Plano de Gestão de Resíduos. O LSC (ou pessoa designada) e o Líder da Unidade RC&amp;E serão responsáveis por garantir que todos os resíduos da resposta sejam dispostos apropriadamente.</w:t>
      </w:r>
    </w:p>
    <w:p w14:paraId="5F3C9DAB" w14:textId="77777777" w:rsidR="008738F8" w:rsidRPr="008738F8" w:rsidRDefault="008738F8" w:rsidP="00696B30">
      <w:pPr>
        <w:pStyle w:val="tier1Itext"/>
        <w:rPr>
          <w:szCs w:val="22"/>
        </w:rPr>
      </w:pPr>
      <w:r w:rsidRPr="008738F8">
        <w:t xml:space="preserve">Uma vez concluída as ações de desmobilização e descontaminação dos recursos, os membros da IMT e da TRT deverão assegurar que as instalações e equipamentos mobilizados e materiais gastos sejam restabelecidos conforme descrito nos planos e procedimentos da empresa, </w:t>
      </w:r>
      <w:r w:rsidRPr="008738F8">
        <w:rPr>
          <w:szCs w:val="22"/>
        </w:rPr>
        <w:t>a fim de assegurar sua prontidão.</w:t>
      </w:r>
    </w:p>
    <w:p w14:paraId="3379897B" w14:textId="77777777" w:rsidR="008738F8" w:rsidRPr="008738F8" w:rsidRDefault="008738F8" w:rsidP="00696B30">
      <w:pPr>
        <w:pStyle w:val="tier1Itext"/>
      </w:pPr>
      <w:r w:rsidRPr="008738F8">
        <w:t>É importante ressaltar que dependendo das consequências do incidente e dos indicadores utilizados para o encerramento das operações de resposta, qualquer ação pós-emergência para o monitoramento e/ou avaliação de danos em áreas afetadas deve ser decidida pelo UC ou IC junto com os representantes da agência ambiental e representantes locais dos municípios dessas áreas. Estas ações poderão ser realizadas com o apoio de especialistas e em acordo ou com participação de representantes dos órgãos ambientais competentes.</w:t>
      </w:r>
    </w:p>
    <w:p w14:paraId="589BFDC9" w14:textId="77777777" w:rsidR="0077170A" w:rsidRPr="009E316F" w:rsidRDefault="0077170A" w:rsidP="009D01BE">
      <w:pPr>
        <w:pStyle w:val="Heading2"/>
        <w:rPr>
          <w:lang w:val="pt-BR"/>
        </w:rPr>
      </w:pPr>
      <w:bookmarkStart w:id="279" w:name="_Toc523833919"/>
      <w:r w:rsidRPr="009E316F">
        <w:rPr>
          <w:lang w:val="pt-BR"/>
        </w:rPr>
        <w:lastRenderedPageBreak/>
        <w:t>Relatório de Encerramento das Ações de Resposta</w:t>
      </w:r>
      <w:bookmarkEnd w:id="279"/>
    </w:p>
    <w:p w14:paraId="7363FA82" w14:textId="77777777" w:rsidR="008738F8" w:rsidRPr="008738F8" w:rsidRDefault="008738F8" w:rsidP="0019174C">
      <w:pPr>
        <w:pStyle w:val="tier1Itext"/>
      </w:pPr>
      <w:r w:rsidRPr="008738F8">
        <w:t xml:space="preserve">Uma vez que a resposta ao incidente seja formalmente encerrada, o Chefe da Seção de Planejamento ou pessoa designada </w:t>
      </w:r>
      <w:r w:rsidRPr="00752220">
        <w:t>deverá coordenar a elaboração de um relatório de análise crítica de desempenho do PEI, conforme descrito n</w:t>
      </w:r>
      <w:r w:rsidR="00752220" w:rsidRPr="00752220">
        <w:t>o</w:t>
      </w:r>
      <w:r w:rsidRPr="00752220">
        <w:t xml:space="preserve"> </w:t>
      </w:r>
      <w:r w:rsidR="00752220" w:rsidRPr="00752220">
        <w:t>item</w:t>
      </w:r>
      <w:r w:rsidRPr="00752220">
        <w:t xml:space="preserve"> </w:t>
      </w:r>
      <w:r w:rsidR="00752220" w:rsidRPr="00752220">
        <w:fldChar w:fldCharType="begin"/>
      </w:r>
      <w:r w:rsidR="00752220" w:rsidRPr="00752220">
        <w:instrText xml:space="preserve"> REF _Ref414627640 \r \h </w:instrText>
      </w:r>
      <w:r w:rsidR="00752220">
        <w:instrText xml:space="preserve"> \* MERGEFORMAT </w:instrText>
      </w:r>
      <w:r w:rsidR="00752220" w:rsidRPr="00752220">
        <w:fldChar w:fldCharType="separate"/>
      </w:r>
      <w:r w:rsidR="00897470">
        <w:t>7.2.2</w:t>
      </w:r>
      <w:r w:rsidR="00752220" w:rsidRPr="00752220">
        <w:fldChar w:fldCharType="end"/>
      </w:r>
      <w:r w:rsidRPr="00752220">
        <w:t>. Desta</w:t>
      </w:r>
      <w:r w:rsidRPr="008738F8">
        <w:t xml:space="preserve"> força tarefa deverão fazer parte, ainda que não exclusivamente, o</w:t>
      </w:r>
      <w:r w:rsidRPr="008738F8">
        <w:rPr>
          <w:rFonts w:cstheme="majorHAnsi"/>
        </w:rPr>
        <w:t xml:space="preserve"> Líder da Unidade RC&amp;E, o OSC, o Líder da Unidade de Situação e o Líder da Unidade de Documentação, com membros de suas unidades. </w:t>
      </w:r>
    </w:p>
    <w:p w14:paraId="5D8E3C0B" w14:textId="77777777" w:rsidR="008738F8" w:rsidRPr="008738F8" w:rsidRDefault="008738F8" w:rsidP="0019174C">
      <w:pPr>
        <w:pStyle w:val="tier1Itext"/>
      </w:pPr>
      <w:r w:rsidRPr="008738F8">
        <w:t>Este relatório deverá ser analisado e aprovado pelo IC ou delegado, e encaminhado ao órgão ambiental competente em até 30 dias após o término das ações de resposta, conforme estipulado na Resolução CONAMA nº 398/08.</w:t>
      </w:r>
    </w:p>
    <w:p w14:paraId="34A264B6" w14:textId="5728883E" w:rsidR="008738F8" w:rsidRPr="008738F8" w:rsidRDefault="008738F8" w:rsidP="00723A97">
      <w:pPr>
        <w:pStyle w:val="tier1Itext"/>
      </w:pPr>
      <w:r w:rsidRPr="008738F8">
        <w:t>Os relatórios elaborados para a ANP e Marinha, bem como aqueles pertinentes no caso da utilização da aplicação de dispersantes químicos, deverão ser também elaborados e entregues nos prazos regulamentares, conforme mostrado no</w:t>
      </w:r>
      <w:r w:rsidR="0019174C">
        <w:t xml:space="preserve"> </w:t>
      </w:r>
      <w:r w:rsidR="0019174C" w:rsidRPr="0019174C">
        <w:rPr>
          <w:b/>
        </w:rPr>
        <w:t xml:space="preserve">APÊNDICE </w:t>
      </w:r>
      <w:r w:rsidR="00D7095B">
        <w:rPr>
          <w:b/>
        </w:rPr>
        <w:t>D</w:t>
      </w:r>
      <w:r w:rsidRPr="008738F8">
        <w:t>.</w:t>
      </w:r>
    </w:p>
    <w:p w14:paraId="54FE777A" w14:textId="77777777" w:rsidR="008738F8" w:rsidRDefault="008738F8" w:rsidP="00723A97">
      <w:pPr>
        <w:pStyle w:val="tier1Itext"/>
      </w:pPr>
      <w:r w:rsidRPr="008738F8">
        <w:t xml:space="preserve">Ao final do processo, o Coordenador de CCMER deverá proceder com as reuniões para a identificação e registro de lições aprendidas na resposta ao incidente, e a elaboração do plano de ação para implementação das ações definidas e para a revisão do Plano de Emergência </w:t>
      </w:r>
      <w:r w:rsidR="0019174C">
        <w:t>Individual, quando pertinentes.</w:t>
      </w:r>
    </w:p>
    <w:p w14:paraId="413A6999" w14:textId="77777777" w:rsidR="0077170A" w:rsidRPr="009E316F" w:rsidRDefault="0077170A" w:rsidP="009D01BE">
      <w:pPr>
        <w:pStyle w:val="Heading1"/>
        <w:rPr>
          <w:lang w:val="pt-BR"/>
        </w:rPr>
      </w:pPr>
      <w:bookmarkStart w:id="280" w:name="_Ref414612816"/>
      <w:bookmarkStart w:id="281" w:name="_Ref414613023"/>
      <w:bookmarkStart w:id="282" w:name="_Toc523833920"/>
      <w:r w:rsidRPr="009E316F">
        <w:rPr>
          <w:lang w:val="pt-BR"/>
        </w:rPr>
        <w:t>RESPONSÁVEIS TÉCNICOS PELA ELABORAÇÃO DO PEI</w:t>
      </w:r>
      <w:bookmarkEnd w:id="280"/>
      <w:bookmarkEnd w:id="281"/>
      <w:bookmarkEnd w:id="282"/>
    </w:p>
    <w:p w14:paraId="78F1EA18" w14:textId="324FE29C" w:rsidR="00241AFC" w:rsidRDefault="00BE50FC" w:rsidP="005F089B">
      <w:pPr>
        <w:pStyle w:val="tier1Itext"/>
      </w:pPr>
      <w:r w:rsidRPr="00EE0E12">
        <w:t>Abaixo</w:t>
      </w:r>
      <w:r w:rsidR="00AD6624">
        <w:t xml:space="preserve"> na </w:t>
      </w:r>
      <w:r w:rsidR="00AD6624" w:rsidRPr="00EE0E12">
        <w:rPr>
          <w:b/>
        </w:rPr>
        <w:fldChar w:fldCharType="begin"/>
      </w:r>
      <w:r w:rsidR="00AD6624" w:rsidRPr="00EE0E12">
        <w:rPr>
          <w:b/>
        </w:rPr>
        <w:instrText xml:space="preserve"> REF _Ref414370138 \h </w:instrText>
      </w:r>
      <w:r w:rsidR="00AD6624">
        <w:rPr>
          <w:b/>
        </w:rPr>
        <w:instrText xml:space="preserve"> \* MERGEFORMAT </w:instrText>
      </w:r>
      <w:r w:rsidR="00AD6624" w:rsidRPr="00EE0E12">
        <w:rPr>
          <w:b/>
        </w:rPr>
      </w:r>
      <w:r w:rsidR="00AD6624" w:rsidRPr="00EE0E12">
        <w:rPr>
          <w:b/>
        </w:rPr>
        <w:fldChar w:fldCharType="separate"/>
      </w:r>
      <w:r w:rsidR="00D7095B" w:rsidRPr="00D7095B">
        <w:rPr>
          <w:b/>
        </w:rPr>
        <w:t xml:space="preserve">Tabela </w:t>
      </w:r>
      <w:r w:rsidR="00D7095B" w:rsidRPr="00D7095B">
        <w:rPr>
          <w:b/>
          <w:noProof/>
        </w:rPr>
        <w:t>19</w:t>
      </w:r>
      <w:r w:rsidR="00AD6624" w:rsidRPr="00EE0E12">
        <w:rPr>
          <w:b/>
        </w:rPr>
        <w:fldChar w:fldCharType="end"/>
      </w:r>
      <w:r w:rsidRPr="00EE0E12">
        <w:rPr>
          <w:b/>
        </w:rPr>
        <w:t xml:space="preserve"> </w:t>
      </w:r>
      <w:r w:rsidR="00D7095B">
        <w:t xml:space="preserve">é </w:t>
      </w:r>
      <w:r w:rsidRPr="00EE0E12">
        <w:t>referenciado o responsáve</w:t>
      </w:r>
      <w:r w:rsidR="00D7095B">
        <w:t>l</w:t>
      </w:r>
      <w:r w:rsidRPr="00EE0E12">
        <w:t xml:space="preserve"> técnico envolvido na elaboração d</w:t>
      </w:r>
      <w:r w:rsidR="00D7095B">
        <w:t>a presente versão d</w:t>
      </w:r>
      <w:r w:rsidRPr="00EE0E12">
        <w:t xml:space="preserve">o </w:t>
      </w:r>
      <w:r w:rsidR="00D7095B">
        <w:t>Plano</w:t>
      </w:r>
      <w:r w:rsidRPr="00EE0E12">
        <w:t>, informando sua área de formação e registro técnico.</w:t>
      </w:r>
    </w:p>
    <w:tbl>
      <w:tblPr>
        <w:tblW w:w="5000" w:type="pct"/>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left w:w="70" w:type="dxa"/>
          <w:right w:w="70" w:type="dxa"/>
        </w:tblCellMar>
        <w:tblLook w:val="0000" w:firstRow="0" w:lastRow="0" w:firstColumn="0" w:lastColumn="0" w:noHBand="0" w:noVBand="0"/>
      </w:tblPr>
      <w:tblGrid>
        <w:gridCol w:w="1818"/>
        <w:gridCol w:w="1129"/>
        <w:gridCol w:w="1389"/>
        <w:gridCol w:w="1215"/>
        <w:gridCol w:w="1341"/>
        <w:gridCol w:w="2148"/>
      </w:tblGrid>
      <w:tr w:rsidR="00C4748A" w:rsidRPr="005F089B" w14:paraId="163ED531" w14:textId="77777777" w:rsidTr="00D63951">
        <w:trPr>
          <w:cantSplit/>
          <w:trHeight w:val="397"/>
          <w:tblHeader/>
          <w:jc w:val="center"/>
        </w:trPr>
        <w:tc>
          <w:tcPr>
            <w:tcW w:w="5000" w:type="pct"/>
            <w:gridSpan w:val="6"/>
            <w:shd w:val="clear" w:color="auto" w:fill="auto"/>
            <w:vAlign w:val="bottom"/>
          </w:tcPr>
          <w:p w14:paraId="38A11211" w14:textId="77777777" w:rsidR="00C4748A" w:rsidRPr="005F089B" w:rsidRDefault="00C4748A" w:rsidP="00D63951">
            <w:pPr>
              <w:spacing w:before="0" w:line="240" w:lineRule="auto"/>
              <w:jc w:val="left"/>
              <w:rPr>
                <w:rFonts w:asciiTheme="majorHAnsi" w:hAnsiTheme="majorHAnsi" w:cs="Arial"/>
                <w:b/>
                <w:bCs/>
                <w:color w:val="FFFFFF"/>
                <w:sz w:val="20"/>
                <w:szCs w:val="20"/>
              </w:rPr>
            </w:pPr>
            <w:bookmarkStart w:id="283" w:name="_Ref414370138"/>
            <w:bookmarkStart w:id="284" w:name="_Toc523834051"/>
            <w:r w:rsidRPr="005F089B">
              <w:rPr>
                <w:rFonts w:asciiTheme="majorHAnsi" w:hAnsiTheme="majorHAnsi"/>
                <w:b/>
                <w:sz w:val="20"/>
                <w:szCs w:val="20"/>
              </w:rPr>
              <w:t xml:space="preserve">Tabela </w:t>
            </w:r>
            <w:r w:rsidRPr="005F089B">
              <w:rPr>
                <w:rFonts w:asciiTheme="majorHAnsi" w:hAnsiTheme="majorHAnsi"/>
                <w:b/>
                <w:sz w:val="20"/>
                <w:szCs w:val="20"/>
              </w:rPr>
              <w:fldChar w:fldCharType="begin"/>
            </w:r>
            <w:r w:rsidRPr="005F089B">
              <w:rPr>
                <w:rFonts w:asciiTheme="majorHAnsi" w:hAnsiTheme="majorHAnsi"/>
                <w:b/>
                <w:sz w:val="20"/>
                <w:szCs w:val="20"/>
              </w:rPr>
              <w:instrText xml:space="preserve"> SEQ Tabela \* ARABIC </w:instrText>
            </w:r>
            <w:r w:rsidRPr="005F089B">
              <w:rPr>
                <w:rFonts w:asciiTheme="majorHAnsi" w:hAnsiTheme="majorHAnsi"/>
                <w:b/>
                <w:sz w:val="20"/>
                <w:szCs w:val="20"/>
              </w:rPr>
              <w:fldChar w:fldCharType="separate"/>
            </w:r>
            <w:r>
              <w:rPr>
                <w:rFonts w:asciiTheme="majorHAnsi" w:hAnsiTheme="majorHAnsi"/>
                <w:b/>
                <w:noProof/>
                <w:sz w:val="20"/>
                <w:szCs w:val="20"/>
              </w:rPr>
              <w:t>19</w:t>
            </w:r>
            <w:r w:rsidRPr="005F089B">
              <w:rPr>
                <w:rFonts w:asciiTheme="majorHAnsi" w:hAnsiTheme="majorHAnsi"/>
                <w:b/>
                <w:noProof/>
                <w:sz w:val="20"/>
                <w:szCs w:val="20"/>
              </w:rPr>
              <w:fldChar w:fldCharType="end"/>
            </w:r>
            <w:bookmarkEnd w:id="283"/>
            <w:r>
              <w:rPr>
                <w:rFonts w:asciiTheme="majorHAnsi" w:hAnsiTheme="majorHAnsi"/>
                <w:b/>
                <w:sz w:val="20"/>
                <w:szCs w:val="20"/>
              </w:rPr>
              <w:t>:</w:t>
            </w:r>
            <w:r w:rsidRPr="005F089B">
              <w:rPr>
                <w:rFonts w:asciiTheme="majorHAnsi" w:hAnsiTheme="majorHAnsi"/>
                <w:b/>
                <w:sz w:val="20"/>
                <w:szCs w:val="20"/>
              </w:rPr>
              <w:t xml:space="preserve"> Informações sobre os responsáveis técnicos pela elaboração </w:t>
            </w:r>
            <w:r w:rsidRPr="00C4748A">
              <w:rPr>
                <w:rFonts w:asciiTheme="majorHAnsi" w:hAnsiTheme="majorHAnsi"/>
                <w:b/>
                <w:color w:val="FF0000"/>
                <w:sz w:val="20"/>
                <w:szCs w:val="20"/>
              </w:rPr>
              <w:t xml:space="preserve">desta versão do </w:t>
            </w:r>
            <w:r w:rsidRPr="005F089B">
              <w:rPr>
                <w:rFonts w:asciiTheme="majorHAnsi" w:hAnsiTheme="majorHAnsi"/>
                <w:b/>
                <w:sz w:val="20"/>
                <w:szCs w:val="20"/>
              </w:rPr>
              <w:t>Plano de Emergência Individual (PEI).</w:t>
            </w:r>
            <w:bookmarkEnd w:id="284"/>
          </w:p>
        </w:tc>
      </w:tr>
      <w:tr w:rsidR="00C4748A" w:rsidRPr="005F089B" w14:paraId="619DBB51" w14:textId="77777777" w:rsidTr="00D63951">
        <w:trPr>
          <w:cantSplit/>
          <w:tblHeader/>
          <w:jc w:val="center"/>
        </w:trPr>
        <w:tc>
          <w:tcPr>
            <w:tcW w:w="1012" w:type="pct"/>
            <w:shd w:val="clear" w:color="auto" w:fill="1F497D" w:themeFill="text2"/>
            <w:vAlign w:val="center"/>
          </w:tcPr>
          <w:p w14:paraId="0385896D" w14:textId="77777777" w:rsidR="00C4748A" w:rsidRPr="005F089B" w:rsidRDefault="00C4748A" w:rsidP="00D63951">
            <w:pPr>
              <w:pStyle w:val="FootnoteText"/>
              <w:spacing w:before="0"/>
              <w:jc w:val="center"/>
              <w:rPr>
                <w:rFonts w:asciiTheme="majorHAnsi" w:hAnsiTheme="majorHAnsi" w:cs="Arial"/>
                <w:b/>
                <w:bCs/>
                <w:caps/>
                <w:color w:val="FFFFFF" w:themeColor="background1"/>
              </w:rPr>
            </w:pPr>
            <w:bookmarkStart w:id="285" w:name="_Hlk229988484"/>
            <w:r w:rsidRPr="005F089B">
              <w:rPr>
                <w:rFonts w:asciiTheme="majorHAnsi" w:hAnsiTheme="majorHAnsi" w:cs="Arial"/>
                <w:b/>
                <w:bCs/>
                <w:color w:val="FFFFFF" w:themeColor="background1"/>
              </w:rPr>
              <w:t>Nome &amp;</w:t>
            </w:r>
          </w:p>
          <w:p w14:paraId="34F5DF28" w14:textId="77777777" w:rsidR="00C4748A" w:rsidRPr="005F089B" w:rsidRDefault="00C4748A" w:rsidP="00D63951">
            <w:pPr>
              <w:pStyle w:val="FootnoteText"/>
              <w:spacing w:before="0"/>
              <w:jc w:val="center"/>
              <w:rPr>
                <w:rFonts w:asciiTheme="majorHAnsi" w:hAnsiTheme="majorHAnsi" w:cs="Arial"/>
                <w:b/>
                <w:bCs/>
                <w:caps/>
                <w:color w:val="FFFFFF" w:themeColor="background1"/>
              </w:rPr>
            </w:pPr>
            <w:r w:rsidRPr="005F089B">
              <w:rPr>
                <w:rFonts w:asciiTheme="majorHAnsi" w:hAnsiTheme="majorHAnsi" w:cs="Arial"/>
                <w:b/>
                <w:bCs/>
                <w:color w:val="FFFFFF" w:themeColor="background1"/>
              </w:rPr>
              <w:t>Formação Profissional</w:t>
            </w:r>
          </w:p>
        </w:tc>
        <w:tc>
          <w:tcPr>
            <w:tcW w:w="613" w:type="pct"/>
            <w:shd w:val="clear" w:color="auto" w:fill="1F497D" w:themeFill="text2"/>
            <w:vAlign w:val="center"/>
          </w:tcPr>
          <w:p w14:paraId="577EE316"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Empresa ou Instituição</w:t>
            </w:r>
          </w:p>
        </w:tc>
        <w:tc>
          <w:tcPr>
            <w:tcW w:w="775" w:type="pct"/>
            <w:shd w:val="clear" w:color="auto" w:fill="1F497D" w:themeFill="text2"/>
            <w:vAlign w:val="center"/>
          </w:tcPr>
          <w:p w14:paraId="39DAAFDD"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Função</w:t>
            </w:r>
          </w:p>
        </w:tc>
        <w:tc>
          <w:tcPr>
            <w:tcW w:w="678" w:type="pct"/>
            <w:shd w:val="clear" w:color="auto" w:fill="1F497D" w:themeFill="text2"/>
            <w:vAlign w:val="center"/>
          </w:tcPr>
          <w:p w14:paraId="15998834" w14:textId="77777777" w:rsidR="00C4748A" w:rsidRPr="005F089B" w:rsidRDefault="00C4748A" w:rsidP="00D63951">
            <w:pPr>
              <w:pStyle w:val="Text"/>
              <w:spacing w:before="0" w:line="240" w:lineRule="auto"/>
              <w:jc w:val="center"/>
              <w:rPr>
                <w:rFonts w:asciiTheme="majorHAnsi" w:hAnsiTheme="majorHAnsi" w:cs="Arial"/>
                <w:b/>
                <w:bCs/>
                <w:caps/>
                <w:color w:val="FFFFFF" w:themeColor="background1"/>
                <w:lang w:val="pt-BR" w:eastAsia="pt-BR"/>
              </w:rPr>
            </w:pPr>
            <w:r w:rsidRPr="005F089B">
              <w:rPr>
                <w:rFonts w:asciiTheme="majorHAnsi" w:hAnsiTheme="majorHAnsi" w:cs="Arial"/>
                <w:b/>
                <w:bCs/>
                <w:color w:val="FFFFFF" w:themeColor="background1"/>
                <w:lang w:val="pt-BR" w:eastAsia="pt-BR"/>
              </w:rPr>
              <w:t>Registro de Classe</w:t>
            </w:r>
          </w:p>
        </w:tc>
        <w:tc>
          <w:tcPr>
            <w:tcW w:w="728" w:type="pct"/>
            <w:shd w:val="clear" w:color="auto" w:fill="1F497D" w:themeFill="text2"/>
            <w:vAlign w:val="center"/>
          </w:tcPr>
          <w:p w14:paraId="3E0B0157"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Registro MMA/IBAMA</w:t>
            </w:r>
          </w:p>
        </w:tc>
        <w:tc>
          <w:tcPr>
            <w:tcW w:w="1194" w:type="pct"/>
            <w:shd w:val="clear" w:color="auto" w:fill="1F497D" w:themeFill="text2"/>
            <w:vAlign w:val="center"/>
          </w:tcPr>
          <w:p w14:paraId="473F4743"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Assinatura</w:t>
            </w:r>
          </w:p>
        </w:tc>
      </w:tr>
      <w:bookmarkEnd w:id="285"/>
      <w:tr w:rsidR="00C4748A" w:rsidRPr="005F089B" w14:paraId="0A326E83" w14:textId="77777777" w:rsidTr="00D63951">
        <w:trPr>
          <w:cantSplit/>
          <w:jc w:val="center"/>
        </w:trPr>
        <w:tc>
          <w:tcPr>
            <w:tcW w:w="1012" w:type="pct"/>
            <w:shd w:val="clear" w:color="auto" w:fill="D9D9D9" w:themeFill="background1" w:themeFillShade="D9"/>
            <w:vAlign w:val="center"/>
          </w:tcPr>
          <w:p w14:paraId="7B27F46E" w14:textId="77777777" w:rsidR="00C4748A" w:rsidRDefault="00C4748A" w:rsidP="00D63951">
            <w:pPr>
              <w:spacing w:before="0" w:after="120" w:line="240" w:lineRule="auto"/>
              <w:jc w:val="left"/>
              <w:rPr>
                <w:rFonts w:asciiTheme="majorHAnsi" w:hAnsiTheme="majorHAnsi" w:cs="Arial"/>
                <w:sz w:val="20"/>
                <w:szCs w:val="20"/>
              </w:rPr>
            </w:pPr>
            <w:r w:rsidRPr="00E9093F">
              <w:rPr>
                <w:rFonts w:asciiTheme="majorHAnsi" w:hAnsiTheme="majorHAnsi" w:cs="Arial"/>
                <w:sz w:val="20"/>
                <w:szCs w:val="20"/>
              </w:rPr>
              <w:t>Luiz Pimenta</w:t>
            </w:r>
          </w:p>
          <w:p w14:paraId="46D91047" w14:textId="77777777" w:rsidR="00C4748A" w:rsidRPr="00E9093F" w:rsidRDefault="00C4748A" w:rsidP="00D63951">
            <w:pPr>
              <w:spacing w:before="0" w:line="240" w:lineRule="auto"/>
              <w:jc w:val="left"/>
              <w:rPr>
                <w:rFonts w:asciiTheme="majorHAnsi" w:hAnsiTheme="majorHAnsi" w:cs="Arial"/>
                <w:sz w:val="20"/>
                <w:szCs w:val="20"/>
              </w:rPr>
            </w:pPr>
            <w:r w:rsidRPr="007B3781">
              <w:rPr>
                <w:rFonts w:asciiTheme="majorHAnsi" w:hAnsiTheme="majorHAnsi" w:cs="Arial"/>
                <w:sz w:val="20"/>
                <w:szCs w:val="20"/>
              </w:rPr>
              <w:t>Coordenador de Gerenciamento de Crise e Continuidade &amp; Resposta à Emergência</w:t>
            </w:r>
          </w:p>
        </w:tc>
        <w:tc>
          <w:tcPr>
            <w:tcW w:w="613" w:type="pct"/>
            <w:shd w:val="clear" w:color="auto" w:fill="D9D9D9" w:themeFill="background1" w:themeFillShade="D9"/>
            <w:vAlign w:val="center"/>
          </w:tcPr>
          <w:p w14:paraId="1052586D"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BP Energy do Brasil Ltda.</w:t>
            </w:r>
          </w:p>
        </w:tc>
        <w:tc>
          <w:tcPr>
            <w:tcW w:w="775" w:type="pct"/>
            <w:shd w:val="clear" w:color="auto" w:fill="D9D9D9" w:themeFill="background1" w:themeFillShade="D9"/>
            <w:vAlign w:val="center"/>
          </w:tcPr>
          <w:p w14:paraId="4216FEE7" w14:textId="77777777" w:rsidR="00C4748A" w:rsidRPr="002C6FAB" w:rsidRDefault="00C4748A" w:rsidP="00D63951">
            <w:pPr>
              <w:spacing w:before="0" w:line="240" w:lineRule="auto"/>
              <w:jc w:val="center"/>
              <w:rPr>
                <w:rFonts w:asciiTheme="majorHAnsi" w:hAnsiTheme="majorHAnsi" w:cs="Arial"/>
                <w:sz w:val="20"/>
                <w:szCs w:val="20"/>
              </w:rPr>
            </w:pPr>
            <w:r>
              <w:rPr>
                <w:rFonts w:asciiTheme="majorHAnsi" w:hAnsiTheme="majorHAnsi" w:cs="Arial"/>
                <w:sz w:val="20"/>
                <w:szCs w:val="20"/>
              </w:rPr>
              <w:t xml:space="preserve">Revisão da versão </w:t>
            </w:r>
            <w:r w:rsidRPr="00C4748A">
              <w:rPr>
                <w:rFonts w:asciiTheme="majorHAnsi" w:hAnsiTheme="majorHAnsi" w:cs="Arial"/>
                <w:color w:val="FF0000"/>
                <w:sz w:val="20"/>
                <w:szCs w:val="20"/>
              </w:rPr>
              <w:t>1</w:t>
            </w:r>
            <w:r w:rsidRPr="002C6FAB">
              <w:rPr>
                <w:rFonts w:asciiTheme="majorHAnsi" w:hAnsiTheme="majorHAnsi" w:cs="Arial"/>
                <w:sz w:val="20"/>
                <w:szCs w:val="20"/>
              </w:rPr>
              <w:t xml:space="preserve"> e</w:t>
            </w:r>
            <w:r>
              <w:rPr>
                <w:rFonts w:asciiTheme="majorHAnsi" w:hAnsiTheme="majorHAnsi" w:cs="Arial"/>
                <w:sz w:val="20"/>
                <w:szCs w:val="20"/>
              </w:rPr>
              <w:t xml:space="preserve"> </w:t>
            </w:r>
            <w:r w:rsidRPr="002C6FAB">
              <w:rPr>
                <w:rFonts w:asciiTheme="majorHAnsi" w:hAnsiTheme="majorHAnsi" w:cs="Arial"/>
                <w:sz w:val="20"/>
                <w:szCs w:val="20"/>
              </w:rPr>
              <w:t>Controle de Qualidade do Plano de Emergência Individual (PEI)</w:t>
            </w:r>
          </w:p>
        </w:tc>
        <w:tc>
          <w:tcPr>
            <w:tcW w:w="678" w:type="pct"/>
            <w:shd w:val="clear" w:color="auto" w:fill="D9D9D9" w:themeFill="background1" w:themeFillShade="D9"/>
            <w:vAlign w:val="center"/>
          </w:tcPr>
          <w:p w14:paraId="073DAB54" w14:textId="77777777" w:rsidR="00C4748A" w:rsidRPr="002C6FAB" w:rsidRDefault="00C4748A" w:rsidP="00D63951">
            <w:pPr>
              <w:pStyle w:val="FootnoteText"/>
              <w:spacing w:before="0"/>
              <w:jc w:val="center"/>
              <w:rPr>
                <w:rFonts w:asciiTheme="majorHAnsi" w:hAnsiTheme="majorHAnsi" w:cs="Arial"/>
              </w:rPr>
            </w:pPr>
            <w:r w:rsidRPr="00511B28">
              <w:rPr>
                <w:rFonts w:asciiTheme="majorHAnsi" w:hAnsiTheme="majorHAnsi" w:cs="Arial"/>
              </w:rPr>
              <w:t>-</w:t>
            </w:r>
          </w:p>
        </w:tc>
        <w:tc>
          <w:tcPr>
            <w:tcW w:w="728" w:type="pct"/>
            <w:shd w:val="clear" w:color="auto" w:fill="D9D9D9" w:themeFill="background1" w:themeFillShade="D9"/>
            <w:vAlign w:val="center"/>
          </w:tcPr>
          <w:p w14:paraId="63E26CF6"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207260</w:t>
            </w:r>
          </w:p>
        </w:tc>
        <w:tc>
          <w:tcPr>
            <w:tcW w:w="1194" w:type="pct"/>
            <w:shd w:val="clear" w:color="auto" w:fill="D9D9D9" w:themeFill="background1" w:themeFillShade="D9"/>
            <w:vAlign w:val="center"/>
          </w:tcPr>
          <w:p w14:paraId="007B0318" w14:textId="77777777" w:rsidR="00C4748A" w:rsidRPr="00AB2703" w:rsidRDefault="00C4748A" w:rsidP="00D63951">
            <w:pPr>
              <w:spacing w:before="0" w:line="240" w:lineRule="auto"/>
              <w:jc w:val="center"/>
              <w:rPr>
                <w:rFonts w:asciiTheme="majorHAnsi" w:hAnsiTheme="majorHAnsi" w:cs="Arial"/>
                <w:sz w:val="20"/>
                <w:szCs w:val="20"/>
                <w:highlight w:val="yellow"/>
              </w:rPr>
            </w:pPr>
          </w:p>
        </w:tc>
      </w:tr>
    </w:tbl>
    <w:p w14:paraId="3DB53976" w14:textId="77777777" w:rsidR="00C4748A" w:rsidRPr="00EE0E12" w:rsidRDefault="00C4748A" w:rsidP="005F089B">
      <w:pPr>
        <w:pStyle w:val="tier1Itext"/>
      </w:pPr>
    </w:p>
    <w:p w14:paraId="56A37752" w14:textId="77777777" w:rsidR="0077170A" w:rsidRPr="009E316F" w:rsidRDefault="0077170A" w:rsidP="009D01BE">
      <w:pPr>
        <w:pStyle w:val="Heading1"/>
        <w:rPr>
          <w:lang w:val="pt-BR"/>
        </w:rPr>
      </w:pPr>
      <w:bookmarkStart w:id="286" w:name="_Ref414612820"/>
      <w:bookmarkStart w:id="287" w:name="_Ref414613028"/>
      <w:bookmarkStart w:id="288" w:name="_Toc523833921"/>
      <w:r w:rsidRPr="009E316F">
        <w:rPr>
          <w:lang w:val="pt-BR"/>
        </w:rPr>
        <w:lastRenderedPageBreak/>
        <w:t>RESPONSÁVEIS TÉCNICOS PELA EXECUÇÃO DO PEI</w:t>
      </w:r>
      <w:bookmarkEnd w:id="286"/>
      <w:bookmarkEnd w:id="287"/>
      <w:bookmarkEnd w:id="288"/>
    </w:p>
    <w:p w14:paraId="5825751B" w14:textId="4BC6534F" w:rsidR="001517D6" w:rsidRDefault="00241AFC" w:rsidP="001517D6">
      <w:pPr>
        <w:pStyle w:val="tier1Itext"/>
        <w:rPr>
          <w:szCs w:val="22"/>
        </w:rPr>
      </w:pPr>
      <w:r w:rsidRPr="00EE0E12">
        <w:t>Ser</w:t>
      </w:r>
      <w:r w:rsidR="00BE50FC" w:rsidRPr="00EE0E12">
        <w:t>ão</w:t>
      </w:r>
      <w:r w:rsidRPr="00EE0E12">
        <w:t xml:space="preserve"> responsáve</w:t>
      </w:r>
      <w:r w:rsidR="00BE50FC" w:rsidRPr="00EE0E12">
        <w:t>is</w:t>
      </w:r>
      <w:r w:rsidRPr="00EE0E12">
        <w:t xml:space="preserve"> </w:t>
      </w:r>
      <w:r w:rsidR="00BE50FC" w:rsidRPr="00EE0E12">
        <w:t xml:space="preserve">pela execução do Plano de Emergência Individual (PEI) o Comandante </w:t>
      </w:r>
      <w:r w:rsidR="003A4AA2" w:rsidRPr="00EE0E12">
        <w:t xml:space="preserve">Local </w:t>
      </w:r>
      <w:r w:rsidR="00BE50FC" w:rsidRPr="00EE0E12">
        <w:t>do Incidente (IC Local) e</w:t>
      </w:r>
      <w:r w:rsidR="003A4AA2" w:rsidRPr="00EE0E12">
        <w:t>, quando for acionada a Equipe de Gerenciamento de Incidentes (IMT), o</w:t>
      </w:r>
      <w:r w:rsidR="00BE50FC" w:rsidRPr="00EE0E12">
        <w:t xml:space="preserve"> Comandante do Incidente</w:t>
      </w:r>
      <w:r w:rsidR="003A4AA2" w:rsidRPr="00EE0E12">
        <w:t xml:space="preserve"> (IC), conforme apresentado na</w:t>
      </w:r>
      <w:r w:rsidR="00AD6624">
        <w:t xml:space="preserve"> </w:t>
      </w:r>
      <w:bookmarkStart w:id="289" w:name="_Ref414370115"/>
      <w:r w:rsidR="001517D6" w:rsidRPr="001517D6">
        <w:rPr>
          <w:szCs w:val="22"/>
        </w:rPr>
        <w:fldChar w:fldCharType="begin"/>
      </w:r>
      <w:r w:rsidR="001517D6" w:rsidRPr="001517D6">
        <w:rPr>
          <w:szCs w:val="22"/>
        </w:rPr>
        <w:instrText xml:space="preserve"> REF _Ref414639567 \h </w:instrText>
      </w:r>
      <w:r w:rsidR="001517D6">
        <w:rPr>
          <w:szCs w:val="22"/>
        </w:rPr>
        <w:instrText xml:space="preserve"> \* MERGEFORMAT </w:instrText>
      </w:r>
      <w:r w:rsidR="001517D6" w:rsidRPr="001517D6">
        <w:rPr>
          <w:szCs w:val="22"/>
        </w:rPr>
      </w:r>
      <w:r w:rsidR="001517D6" w:rsidRPr="001517D6">
        <w:rPr>
          <w:szCs w:val="22"/>
        </w:rPr>
        <w:fldChar w:fldCharType="separate"/>
      </w:r>
      <w:r w:rsidR="00D7095B" w:rsidRPr="00D7095B">
        <w:rPr>
          <w:b/>
          <w:szCs w:val="22"/>
        </w:rPr>
        <w:t xml:space="preserve">Tabela </w:t>
      </w:r>
      <w:r w:rsidR="00D7095B" w:rsidRPr="00D7095B">
        <w:rPr>
          <w:b/>
          <w:noProof/>
          <w:szCs w:val="22"/>
        </w:rPr>
        <w:t>20</w:t>
      </w:r>
      <w:r w:rsidR="001517D6" w:rsidRPr="001517D6">
        <w:rPr>
          <w:szCs w:val="22"/>
        </w:rPr>
        <w:fldChar w:fldCharType="end"/>
      </w:r>
      <w:r w:rsidR="001517D6">
        <w:rPr>
          <w:szCs w:val="22"/>
        </w:rPr>
        <w:t>.</w:t>
      </w:r>
    </w:p>
    <w:tbl>
      <w:tblPr>
        <w:tblW w:w="5000" w:type="pct"/>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CellMar>
          <w:left w:w="70" w:type="dxa"/>
          <w:right w:w="70" w:type="dxa"/>
        </w:tblCellMar>
        <w:tblLook w:val="0000" w:firstRow="0" w:lastRow="0" w:firstColumn="0" w:lastColumn="0" w:noHBand="0" w:noVBand="0"/>
      </w:tblPr>
      <w:tblGrid>
        <w:gridCol w:w="2375"/>
        <w:gridCol w:w="1304"/>
        <w:gridCol w:w="3390"/>
        <w:gridCol w:w="1971"/>
      </w:tblGrid>
      <w:tr w:rsidR="00C4748A" w:rsidRPr="005F089B" w14:paraId="5C025E6D" w14:textId="77777777" w:rsidTr="00D63951">
        <w:trPr>
          <w:cantSplit/>
          <w:trHeight w:val="397"/>
          <w:tblHeader/>
          <w:jc w:val="center"/>
        </w:trPr>
        <w:tc>
          <w:tcPr>
            <w:tcW w:w="5000" w:type="pct"/>
            <w:gridSpan w:val="4"/>
            <w:shd w:val="clear" w:color="auto" w:fill="auto"/>
            <w:vAlign w:val="center"/>
          </w:tcPr>
          <w:p w14:paraId="3A294329" w14:textId="77777777" w:rsidR="00C4748A" w:rsidRPr="005F089B" w:rsidRDefault="00C4748A" w:rsidP="00D63951">
            <w:pPr>
              <w:spacing w:before="0" w:line="240" w:lineRule="auto"/>
              <w:jc w:val="left"/>
              <w:rPr>
                <w:rFonts w:asciiTheme="majorHAnsi" w:hAnsiTheme="majorHAnsi" w:cs="Arial"/>
                <w:b/>
                <w:bCs/>
                <w:caps/>
                <w:color w:val="FFFFFF"/>
                <w:sz w:val="20"/>
                <w:szCs w:val="20"/>
              </w:rPr>
            </w:pPr>
            <w:bookmarkStart w:id="290" w:name="_Ref414639567"/>
            <w:bookmarkStart w:id="291" w:name="_Toc523834052"/>
            <w:r w:rsidRPr="005F089B">
              <w:rPr>
                <w:rFonts w:asciiTheme="majorHAnsi" w:hAnsiTheme="majorHAnsi"/>
                <w:b/>
                <w:sz w:val="20"/>
                <w:szCs w:val="20"/>
              </w:rPr>
              <w:t xml:space="preserve">Tabela </w:t>
            </w:r>
            <w:r w:rsidRPr="005F089B">
              <w:rPr>
                <w:rFonts w:asciiTheme="majorHAnsi" w:hAnsiTheme="majorHAnsi"/>
                <w:b/>
                <w:sz w:val="20"/>
                <w:szCs w:val="20"/>
              </w:rPr>
              <w:fldChar w:fldCharType="begin"/>
            </w:r>
            <w:r w:rsidRPr="005F089B">
              <w:rPr>
                <w:rFonts w:asciiTheme="majorHAnsi" w:hAnsiTheme="majorHAnsi"/>
                <w:b/>
                <w:sz w:val="20"/>
                <w:szCs w:val="20"/>
              </w:rPr>
              <w:instrText xml:space="preserve"> SEQ Tabela \* ARABIC </w:instrText>
            </w:r>
            <w:r w:rsidRPr="005F089B">
              <w:rPr>
                <w:rFonts w:asciiTheme="majorHAnsi" w:hAnsiTheme="majorHAnsi"/>
                <w:b/>
                <w:sz w:val="20"/>
                <w:szCs w:val="20"/>
              </w:rPr>
              <w:fldChar w:fldCharType="separate"/>
            </w:r>
            <w:r>
              <w:rPr>
                <w:rFonts w:asciiTheme="majorHAnsi" w:hAnsiTheme="majorHAnsi"/>
                <w:b/>
                <w:noProof/>
                <w:sz w:val="20"/>
                <w:szCs w:val="20"/>
              </w:rPr>
              <w:t>20</w:t>
            </w:r>
            <w:r w:rsidRPr="005F089B">
              <w:rPr>
                <w:rFonts w:asciiTheme="majorHAnsi" w:hAnsiTheme="majorHAnsi"/>
                <w:b/>
                <w:sz w:val="20"/>
                <w:szCs w:val="20"/>
              </w:rPr>
              <w:fldChar w:fldCharType="end"/>
            </w:r>
            <w:bookmarkEnd w:id="290"/>
            <w:r>
              <w:rPr>
                <w:rFonts w:asciiTheme="majorHAnsi" w:hAnsiTheme="majorHAnsi"/>
                <w:b/>
                <w:sz w:val="20"/>
                <w:szCs w:val="20"/>
              </w:rPr>
              <w:t>:</w:t>
            </w:r>
            <w:r w:rsidRPr="005F089B">
              <w:rPr>
                <w:rFonts w:asciiTheme="majorHAnsi" w:hAnsiTheme="majorHAnsi"/>
                <w:b/>
                <w:sz w:val="20"/>
                <w:szCs w:val="20"/>
              </w:rPr>
              <w:t xml:space="preserve"> Informações sobre os responsáveis técnicos pela execução do Plano de Emergência Individual (PEI).</w:t>
            </w:r>
            <w:bookmarkEnd w:id="291"/>
          </w:p>
        </w:tc>
      </w:tr>
      <w:tr w:rsidR="00C4748A" w:rsidRPr="005F089B" w14:paraId="1299B547" w14:textId="77777777" w:rsidTr="00D63951">
        <w:trPr>
          <w:cantSplit/>
          <w:tblHeader/>
          <w:jc w:val="center"/>
        </w:trPr>
        <w:tc>
          <w:tcPr>
            <w:tcW w:w="1314" w:type="pct"/>
            <w:shd w:val="clear" w:color="auto" w:fill="1F497D" w:themeFill="text2"/>
            <w:vAlign w:val="center"/>
          </w:tcPr>
          <w:p w14:paraId="61ED4FF7" w14:textId="77777777" w:rsidR="00C4748A" w:rsidRPr="005F089B" w:rsidRDefault="00C4748A" w:rsidP="00D63951">
            <w:pPr>
              <w:pStyle w:val="FootnoteText"/>
              <w:spacing w:before="0"/>
              <w:jc w:val="center"/>
              <w:rPr>
                <w:rFonts w:asciiTheme="majorHAnsi" w:hAnsiTheme="majorHAnsi" w:cs="Arial"/>
                <w:b/>
                <w:bCs/>
                <w:caps/>
                <w:color w:val="FFFFFF" w:themeColor="background1"/>
              </w:rPr>
            </w:pPr>
            <w:r w:rsidRPr="005F089B">
              <w:rPr>
                <w:rFonts w:asciiTheme="majorHAnsi" w:hAnsiTheme="majorHAnsi" w:cs="Arial"/>
                <w:b/>
                <w:bCs/>
                <w:color w:val="FFFFFF" w:themeColor="background1"/>
              </w:rPr>
              <w:t>Nome &amp;</w:t>
            </w:r>
            <w:r w:rsidRPr="005F089B">
              <w:rPr>
                <w:rFonts w:asciiTheme="majorHAnsi" w:hAnsiTheme="majorHAnsi" w:cs="Arial"/>
                <w:b/>
                <w:bCs/>
                <w:caps/>
                <w:color w:val="FFFFFF" w:themeColor="background1"/>
              </w:rPr>
              <w:t xml:space="preserve"> </w:t>
            </w:r>
            <w:r w:rsidRPr="005F089B">
              <w:rPr>
                <w:rFonts w:asciiTheme="majorHAnsi" w:hAnsiTheme="majorHAnsi" w:cs="Arial"/>
                <w:b/>
                <w:bCs/>
                <w:color w:val="FFFFFF" w:themeColor="background1"/>
              </w:rPr>
              <w:t>Função</w:t>
            </w:r>
          </w:p>
        </w:tc>
        <w:tc>
          <w:tcPr>
            <w:tcW w:w="721" w:type="pct"/>
            <w:shd w:val="clear" w:color="auto" w:fill="1F497D" w:themeFill="text2"/>
            <w:vAlign w:val="center"/>
          </w:tcPr>
          <w:p w14:paraId="6821A4CC"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Empresa ou Instituição</w:t>
            </w:r>
          </w:p>
        </w:tc>
        <w:tc>
          <w:tcPr>
            <w:tcW w:w="1875" w:type="pct"/>
            <w:shd w:val="clear" w:color="auto" w:fill="1F497D" w:themeFill="text2"/>
            <w:vAlign w:val="center"/>
          </w:tcPr>
          <w:p w14:paraId="6DBC1FCA"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Função</w:t>
            </w:r>
          </w:p>
        </w:tc>
        <w:tc>
          <w:tcPr>
            <w:tcW w:w="1090" w:type="pct"/>
            <w:shd w:val="clear" w:color="auto" w:fill="1F497D" w:themeFill="text2"/>
            <w:vAlign w:val="center"/>
          </w:tcPr>
          <w:p w14:paraId="651C87FC" w14:textId="77777777" w:rsidR="00C4748A" w:rsidRPr="005F089B" w:rsidRDefault="00C4748A" w:rsidP="00D63951">
            <w:pPr>
              <w:spacing w:before="0" w:line="240" w:lineRule="auto"/>
              <w:jc w:val="center"/>
              <w:rPr>
                <w:rFonts w:asciiTheme="majorHAnsi" w:hAnsiTheme="majorHAnsi" w:cs="Arial"/>
                <w:b/>
                <w:bCs/>
                <w:caps/>
                <w:color w:val="FFFFFF" w:themeColor="background1"/>
                <w:sz w:val="20"/>
                <w:szCs w:val="20"/>
              </w:rPr>
            </w:pPr>
            <w:r w:rsidRPr="005F089B">
              <w:rPr>
                <w:rFonts w:asciiTheme="majorHAnsi" w:hAnsiTheme="majorHAnsi" w:cs="Arial"/>
                <w:b/>
                <w:bCs/>
                <w:color w:val="FFFFFF" w:themeColor="background1"/>
                <w:sz w:val="20"/>
                <w:szCs w:val="20"/>
              </w:rPr>
              <w:t>Assinatura</w:t>
            </w:r>
          </w:p>
        </w:tc>
      </w:tr>
      <w:tr w:rsidR="00C4748A" w:rsidRPr="005F089B" w14:paraId="28448091" w14:textId="77777777" w:rsidTr="00D63951">
        <w:trPr>
          <w:cantSplit/>
          <w:jc w:val="center"/>
        </w:trPr>
        <w:tc>
          <w:tcPr>
            <w:tcW w:w="1314" w:type="pct"/>
            <w:shd w:val="clear" w:color="auto" w:fill="D9D9D9" w:themeFill="background1" w:themeFillShade="D9"/>
            <w:vAlign w:val="center"/>
          </w:tcPr>
          <w:p w14:paraId="2DCC1965" w14:textId="77777777" w:rsidR="00C4748A" w:rsidRPr="002C6FAB" w:rsidRDefault="00C4748A" w:rsidP="00D63951">
            <w:pPr>
              <w:spacing w:before="0" w:line="240" w:lineRule="auto"/>
              <w:jc w:val="left"/>
              <w:rPr>
                <w:rFonts w:asciiTheme="majorHAnsi" w:hAnsiTheme="majorHAnsi" w:cs="Arial"/>
                <w:sz w:val="20"/>
                <w:szCs w:val="20"/>
              </w:rPr>
            </w:pPr>
            <w:r w:rsidRPr="002C6FAB">
              <w:rPr>
                <w:rFonts w:asciiTheme="majorHAnsi" w:hAnsiTheme="majorHAnsi" w:cs="Arial"/>
                <w:sz w:val="20"/>
                <w:szCs w:val="20"/>
              </w:rPr>
              <w:t>Comandante Local do Incidente (IC Local)</w:t>
            </w:r>
          </w:p>
        </w:tc>
        <w:tc>
          <w:tcPr>
            <w:tcW w:w="721" w:type="pct"/>
            <w:shd w:val="clear" w:color="auto" w:fill="D9D9D9" w:themeFill="background1" w:themeFillShade="D9"/>
            <w:vAlign w:val="center"/>
          </w:tcPr>
          <w:p w14:paraId="09F6FECD" w14:textId="77777777" w:rsidR="00C4748A" w:rsidRPr="002C6FAB" w:rsidRDefault="00C4748A" w:rsidP="00D63951">
            <w:pPr>
              <w:spacing w:before="0" w:line="240" w:lineRule="auto"/>
              <w:jc w:val="center"/>
              <w:rPr>
                <w:rFonts w:asciiTheme="majorHAnsi" w:hAnsiTheme="majorHAnsi" w:cs="Arial"/>
                <w:sz w:val="20"/>
                <w:szCs w:val="20"/>
              </w:rPr>
            </w:pPr>
            <w:r w:rsidRPr="002C6FAB">
              <w:rPr>
                <w:rFonts w:asciiTheme="majorHAnsi" w:hAnsiTheme="majorHAnsi" w:cs="Arial"/>
                <w:sz w:val="20"/>
                <w:szCs w:val="20"/>
              </w:rPr>
              <w:t>BP Energy do Brasil</w:t>
            </w:r>
            <w:r w:rsidRPr="002C6FAB">
              <w:rPr>
                <w:rStyle w:val="FootnoteReference"/>
                <w:rFonts w:asciiTheme="majorHAnsi" w:hAnsiTheme="majorHAnsi" w:cs="Arial"/>
                <w:sz w:val="20"/>
                <w:szCs w:val="20"/>
              </w:rPr>
              <w:footnoteReference w:id="44"/>
            </w:r>
          </w:p>
        </w:tc>
        <w:tc>
          <w:tcPr>
            <w:tcW w:w="1875" w:type="pct"/>
            <w:shd w:val="clear" w:color="auto" w:fill="D9D9D9" w:themeFill="background1" w:themeFillShade="D9"/>
            <w:vAlign w:val="center"/>
          </w:tcPr>
          <w:p w14:paraId="6399C068" w14:textId="77777777" w:rsidR="00C4748A" w:rsidRPr="002C6FAB" w:rsidRDefault="00C4748A" w:rsidP="00D63951">
            <w:pPr>
              <w:spacing w:before="0" w:line="240" w:lineRule="auto"/>
              <w:jc w:val="left"/>
              <w:rPr>
                <w:rFonts w:asciiTheme="majorHAnsi" w:hAnsiTheme="majorHAnsi" w:cs="Arial"/>
                <w:sz w:val="20"/>
                <w:szCs w:val="20"/>
              </w:rPr>
            </w:pPr>
            <w:r w:rsidRPr="002C6FAB">
              <w:rPr>
                <w:rFonts w:asciiTheme="majorHAnsi" w:hAnsiTheme="majorHAnsi" w:cs="Arial"/>
                <w:sz w:val="20"/>
                <w:szCs w:val="20"/>
              </w:rPr>
              <w:t>Garantir o acionamento e cumprimento do PEI na ocorrência de derramamento de óleo para o mar.</w:t>
            </w:r>
          </w:p>
        </w:tc>
        <w:tc>
          <w:tcPr>
            <w:tcW w:w="1090" w:type="pct"/>
            <w:shd w:val="clear" w:color="auto" w:fill="D9D9D9" w:themeFill="background1" w:themeFillShade="D9"/>
            <w:vAlign w:val="center"/>
          </w:tcPr>
          <w:p w14:paraId="1C774FFE" w14:textId="77777777" w:rsidR="00C4748A" w:rsidRPr="00E049DA" w:rsidRDefault="00C4748A" w:rsidP="00D63951">
            <w:pPr>
              <w:spacing w:before="0" w:line="240" w:lineRule="auto"/>
              <w:jc w:val="center"/>
              <w:rPr>
                <w:rFonts w:asciiTheme="majorHAnsi" w:hAnsiTheme="majorHAnsi" w:cs="Arial"/>
                <w:sz w:val="20"/>
                <w:szCs w:val="20"/>
                <w:highlight w:val="yellow"/>
              </w:rPr>
            </w:pPr>
          </w:p>
        </w:tc>
      </w:tr>
      <w:tr w:rsidR="00C4748A" w:rsidRPr="005F089B" w14:paraId="6EC7217F" w14:textId="77777777" w:rsidTr="00D63951">
        <w:trPr>
          <w:cantSplit/>
          <w:jc w:val="center"/>
        </w:trPr>
        <w:tc>
          <w:tcPr>
            <w:tcW w:w="1314" w:type="pct"/>
            <w:shd w:val="clear" w:color="auto" w:fill="D9D9D9" w:themeFill="background1" w:themeFillShade="D9"/>
            <w:vAlign w:val="center"/>
          </w:tcPr>
          <w:p w14:paraId="6705047A" w14:textId="77777777" w:rsidR="00C4748A" w:rsidRPr="005F089B" w:rsidRDefault="00C4748A" w:rsidP="00D63951">
            <w:pPr>
              <w:spacing w:before="0" w:line="240" w:lineRule="auto"/>
              <w:jc w:val="left"/>
              <w:rPr>
                <w:rFonts w:asciiTheme="majorHAnsi" w:hAnsiTheme="majorHAnsi" w:cs="Arial"/>
                <w:sz w:val="20"/>
                <w:szCs w:val="20"/>
              </w:rPr>
            </w:pPr>
            <w:r w:rsidRPr="005F089B">
              <w:rPr>
                <w:rFonts w:asciiTheme="majorHAnsi" w:hAnsiTheme="majorHAnsi" w:cs="Arial"/>
                <w:sz w:val="20"/>
                <w:szCs w:val="20"/>
              </w:rPr>
              <w:t>Comandante do Incidente (IC)</w:t>
            </w:r>
            <w:r w:rsidRPr="005F089B">
              <w:rPr>
                <w:rStyle w:val="FootnoteReference"/>
                <w:rFonts w:asciiTheme="majorHAnsi" w:hAnsiTheme="majorHAnsi" w:cs="Arial"/>
                <w:sz w:val="20"/>
                <w:szCs w:val="20"/>
              </w:rPr>
              <w:footnoteReference w:id="45"/>
            </w:r>
          </w:p>
        </w:tc>
        <w:tc>
          <w:tcPr>
            <w:tcW w:w="721" w:type="pct"/>
            <w:shd w:val="clear" w:color="auto" w:fill="D9D9D9" w:themeFill="background1" w:themeFillShade="D9"/>
            <w:vAlign w:val="center"/>
          </w:tcPr>
          <w:p w14:paraId="4689B94D" w14:textId="77777777" w:rsidR="00C4748A" w:rsidRPr="005F089B" w:rsidRDefault="00C4748A" w:rsidP="00D63951">
            <w:pPr>
              <w:spacing w:before="0" w:line="240" w:lineRule="auto"/>
              <w:jc w:val="center"/>
              <w:rPr>
                <w:rFonts w:asciiTheme="majorHAnsi" w:hAnsiTheme="majorHAnsi" w:cs="Arial"/>
                <w:sz w:val="20"/>
                <w:szCs w:val="20"/>
              </w:rPr>
            </w:pPr>
            <w:r w:rsidRPr="005F089B">
              <w:rPr>
                <w:rFonts w:asciiTheme="majorHAnsi" w:hAnsiTheme="majorHAnsi" w:cs="Arial"/>
                <w:sz w:val="20"/>
                <w:szCs w:val="20"/>
              </w:rPr>
              <w:t>BP Energy do Brasil</w:t>
            </w:r>
          </w:p>
        </w:tc>
        <w:tc>
          <w:tcPr>
            <w:tcW w:w="1875" w:type="pct"/>
            <w:shd w:val="clear" w:color="auto" w:fill="D9D9D9" w:themeFill="background1" w:themeFillShade="D9"/>
            <w:vAlign w:val="center"/>
          </w:tcPr>
          <w:p w14:paraId="2C9697EA" w14:textId="77777777" w:rsidR="00C4748A" w:rsidRPr="005F089B" w:rsidRDefault="00C4748A" w:rsidP="00D63951">
            <w:pPr>
              <w:spacing w:before="0" w:line="240" w:lineRule="auto"/>
              <w:jc w:val="left"/>
              <w:rPr>
                <w:rFonts w:asciiTheme="majorHAnsi" w:hAnsiTheme="majorHAnsi" w:cs="Arial"/>
                <w:sz w:val="20"/>
                <w:szCs w:val="20"/>
              </w:rPr>
            </w:pPr>
            <w:r w:rsidRPr="005F089B">
              <w:rPr>
                <w:rFonts w:asciiTheme="majorHAnsi" w:hAnsiTheme="majorHAnsi" w:cs="Arial"/>
                <w:sz w:val="20"/>
                <w:szCs w:val="20"/>
              </w:rPr>
              <w:t>Garantir o acionamento e cumprimento do PEI na ocorrência de derramamento de óleo para o mar.</w:t>
            </w:r>
          </w:p>
        </w:tc>
        <w:tc>
          <w:tcPr>
            <w:tcW w:w="1090" w:type="pct"/>
            <w:shd w:val="clear" w:color="auto" w:fill="D9D9D9" w:themeFill="background1" w:themeFillShade="D9"/>
            <w:vAlign w:val="center"/>
          </w:tcPr>
          <w:p w14:paraId="284EB6CA" w14:textId="77777777" w:rsidR="00C4748A" w:rsidRPr="005F089B" w:rsidRDefault="00C4748A" w:rsidP="00D63951">
            <w:pPr>
              <w:spacing w:before="0" w:line="240" w:lineRule="auto"/>
              <w:jc w:val="center"/>
              <w:rPr>
                <w:rFonts w:asciiTheme="majorHAnsi" w:hAnsiTheme="majorHAnsi" w:cs="Arial"/>
                <w:sz w:val="20"/>
                <w:szCs w:val="20"/>
                <w:highlight w:val="yellow"/>
              </w:rPr>
            </w:pPr>
          </w:p>
        </w:tc>
      </w:tr>
    </w:tbl>
    <w:p w14:paraId="1276DA20" w14:textId="27A5DDED" w:rsidR="00C4748A" w:rsidRDefault="00C4748A" w:rsidP="001517D6">
      <w:pPr>
        <w:pStyle w:val="tier1Itext"/>
        <w:rPr>
          <w:szCs w:val="22"/>
        </w:rPr>
      </w:pPr>
    </w:p>
    <w:p w14:paraId="227B0DAE" w14:textId="77777777" w:rsidR="0077170A" w:rsidRPr="009D01BE" w:rsidRDefault="0077170A" w:rsidP="009D01BE">
      <w:pPr>
        <w:pStyle w:val="Heading1"/>
      </w:pPr>
      <w:bookmarkStart w:id="292" w:name="_Ref414612808"/>
      <w:bookmarkStart w:id="293" w:name="_Ref414613019"/>
      <w:bookmarkStart w:id="294" w:name="_Toc523833922"/>
      <w:bookmarkEnd w:id="289"/>
      <w:r w:rsidRPr="009D01BE">
        <w:t>REFERÊNCIAS BIBLIOGRÁFICAS</w:t>
      </w:r>
      <w:bookmarkEnd w:id="292"/>
      <w:bookmarkEnd w:id="293"/>
      <w:bookmarkEnd w:id="294"/>
    </w:p>
    <w:tbl>
      <w:tblPr>
        <w:tblW w:w="9215" w:type="dxa"/>
        <w:tblInd w:w="-5" w:type="dxa"/>
        <w:tblCellMar>
          <w:left w:w="70" w:type="dxa"/>
          <w:right w:w="70" w:type="dxa"/>
        </w:tblCellMar>
        <w:tblLook w:val="04A0" w:firstRow="1" w:lastRow="0" w:firstColumn="1" w:lastColumn="0" w:noHBand="0" w:noVBand="1"/>
      </w:tblPr>
      <w:tblGrid>
        <w:gridCol w:w="9819"/>
      </w:tblGrid>
      <w:tr w:rsidR="00E049DA" w:rsidRPr="0015091A" w14:paraId="5C7D5F11" w14:textId="77777777" w:rsidTr="002C6FAB">
        <w:trPr>
          <w:trHeight w:val="20"/>
        </w:trPr>
        <w:tc>
          <w:tcPr>
            <w:tcW w:w="9215" w:type="dxa"/>
            <w:shd w:val="clear" w:color="auto" w:fill="auto"/>
            <w:vAlign w:val="center"/>
            <w:hideMark/>
          </w:tcPr>
          <w:bookmarkEnd w:id="17"/>
          <w:p w14:paraId="65C89EB4" w14:textId="3A4BDA14" w:rsidR="00D82944" w:rsidRPr="0015091A" w:rsidRDefault="00E049DA" w:rsidP="00D82944">
            <w:pPr>
              <w:spacing w:after="240" w:line="240" w:lineRule="auto"/>
              <w:jc w:val="left"/>
              <w:rPr>
                <w:rFonts w:ascii="Cambria" w:eastAsia="Times New Roman" w:hAnsi="Cambria" w:cs="Arial"/>
                <w:color w:val="000000"/>
              </w:rPr>
            </w:pPr>
            <w:r w:rsidRPr="0015091A">
              <w:rPr>
                <w:rFonts w:ascii="Cambria" w:eastAsia="Times New Roman" w:hAnsi="Cambria" w:cs="Arial"/>
                <w:color w:val="000000"/>
              </w:rPr>
              <w:t xml:space="preserve">AGÊNCIA NACIONAL DO PETRÓLEO, GÁS NATURAL E BIOCOMBUSTÍVEIS (ANP), </w:t>
            </w:r>
            <w:r w:rsidRPr="0015091A">
              <w:rPr>
                <w:rFonts w:ascii="Cambria" w:eastAsia="Times New Roman" w:hAnsi="Cambria" w:cs="Arial"/>
                <w:b/>
                <w:color w:val="000000"/>
              </w:rPr>
              <w:t>Resolução</w:t>
            </w:r>
            <w:r w:rsidRPr="0015091A">
              <w:rPr>
                <w:rFonts w:ascii="Cambria" w:eastAsia="Times New Roman" w:hAnsi="Cambria" w:cs="Arial"/>
                <w:color w:val="000000"/>
              </w:rPr>
              <w:t xml:space="preserve"> </w:t>
            </w:r>
            <w:r w:rsidRPr="0015091A">
              <w:rPr>
                <w:rFonts w:ascii="Cambria" w:eastAsia="Times New Roman" w:hAnsi="Cambria" w:cs="Arial"/>
                <w:b/>
                <w:color w:val="000000"/>
              </w:rPr>
              <w:t>ANP</w:t>
            </w:r>
            <w:r w:rsidRPr="0015091A">
              <w:rPr>
                <w:rFonts w:ascii="Cambria" w:eastAsia="Times New Roman" w:hAnsi="Cambria" w:cs="Arial"/>
                <w:color w:val="000000"/>
              </w:rPr>
              <w:t xml:space="preserve"> Nº 44, de 22 de dezembro de 2009, Publicada no DOU de 24 de dezembro de 2009. Estabelece procedimento para comunicação de incidentes a ANP, a ser adotado pelos concessionários e empresas autorizadas pela ANP a exercer as atividades da indústria do petróleo, do gás natural e dos biocombustíveis, bem como distribuição e revenda, 4p.</w:t>
            </w:r>
          </w:p>
        </w:tc>
      </w:tr>
      <w:tr w:rsidR="00D82944" w:rsidRPr="0015091A" w14:paraId="72B87DCC" w14:textId="77777777" w:rsidTr="00CE6488">
        <w:trPr>
          <w:trHeight w:val="20"/>
        </w:trPr>
        <w:tc>
          <w:tcPr>
            <w:tcW w:w="9215" w:type="dxa"/>
            <w:shd w:val="clear" w:color="auto" w:fill="auto"/>
            <w:vAlign w:val="center"/>
            <w:hideMark/>
          </w:tcPr>
          <w:p w14:paraId="7544FD5B" w14:textId="4C3F1F56" w:rsidR="00D82944" w:rsidRPr="0015091A" w:rsidRDefault="00D82944" w:rsidP="001B07F3">
            <w:pPr>
              <w:spacing w:before="0" w:line="240" w:lineRule="auto"/>
              <w:jc w:val="left"/>
              <w:rPr>
                <w:rFonts w:ascii="Cambria" w:eastAsia="Times New Roman" w:hAnsi="Cambria" w:cs="Arial"/>
                <w:color w:val="000000"/>
              </w:rPr>
            </w:pPr>
            <w:r w:rsidRPr="0015091A">
              <w:rPr>
                <w:rFonts w:ascii="Cambria" w:eastAsia="Times New Roman" w:hAnsi="Cambria" w:cs="Arial"/>
                <w:color w:val="000000"/>
              </w:rPr>
              <w:t xml:space="preserve">AGÊNCIA NACIONAL DO PETRÓLEO, GÁS NATURAL E BIOCOMBUSTÍVEIS (ANP), </w:t>
            </w:r>
            <w:r w:rsidRPr="00D82944">
              <w:rPr>
                <w:rFonts w:ascii="Cambria" w:eastAsia="Times New Roman" w:hAnsi="Cambria" w:cs="Arial"/>
                <w:b/>
                <w:color w:val="000000"/>
              </w:rPr>
              <w:t xml:space="preserve">Manual de Comunicação de Incidentes de Exploração e Produção de Petróleo e Gás </w:t>
            </w:r>
            <w:r>
              <w:rPr>
                <w:rFonts w:ascii="Cambria" w:eastAsia="Times New Roman" w:hAnsi="Cambria" w:cs="Arial"/>
                <w:b/>
                <w:color w:val="000000"/>
              </w:rPr>
              <w:t>N</w:t>
            </w:r>
            <w:r w:rsidRPr="00D82944">
              <w:rPr>
                <w:rFonts w:ascii="Cambria" w:eastAsia="Times New Roman" w:hAnsi="Cambria" w:cs="Arial"/>
                <w:b/>
                <w:color w:val="000000"/>
              </w:rPr>
              <w:t>atural</w:t>
            </w:r>
            <w:r>
              <w:rPr>
                <w:rFonts w:ascii="Cambria" w:eastAsia="Times New Roman" w:hAnsi="Cambria" w:cs="Arial"/>
                <w:b/>
                <w:color w:val="000000"/>
              </w:rPr>
              <w:t xml:space="preserve"> – Versão 3</w:t>
            </w:r>
            <w:r w:rsidRPr="0015091A">
              <w:rPr>
                <w:rFonts w:ascii="Cambria" w:eastAsia="Times New Roman" w:hAnsi="Cambria" w:cs="Arial"/>
                <w:color w:val="000000"/>
              </w:rPr>
              <w:t xml:space="preserve">, de </w:t>
            </w:r>
            <w:r>
              <w:rPr>
                <w:rFonts w:ascii="Cambria" w:eastAsia="Times New Roman" w:hAnsi="Cambria" w:cs="Arial"/>
                <w:color w:val="000000"/>
              </w:rPr>
              <w:t xml:space="preserve">19 </w:t>
            </w:r>
            <w:r w:rsidRPr="0015091A">
              <w:rPr>
                <w:rFonts w:ascii="Cambria" w:eastAsia="Times New Roman" w:hAnsi="Cambria" w:cs="Arial"/>
                <w:color w:val="000000"/>
              </w:rPr>
              <w:t xml:space="preserve">de </w:t>
            </w:r>
            <w:r>
              <w:rPr>
                <w:rFonts w:ascii="Cambria" w:eastAsia="Times New Roman" w:hAnsi="Cambria" w:cs="Arial"/>
                <w:color w:val="000000"/>
              </w:rPr>
              <w:t xml:space="preserve">janeiro </w:t>
            </w:r>
            <w:r w:rsidRPr="0015091A">
              <w:rPr>
                <w:rFonts w:ascii="Cambria" w:eastAsia="Times New Roman" w:hAnsi="Cambria" w:cs="Arial"/>
                <w:color w:val="000000"/>
              </w:rPr>
              <w:t>de 20</w:t>
            </w:r>
            <w:r>
              <w:rPr>
                <w:rFonts w:ascii="Cambria" w:eastAsia="Times New Roman" w:hAnsi="Cambria" w:cs="Arial"/>
                <w:color w:val="000000"/>
              </w:rPr>
              <w:t>17</w:t>
            </w:r>
            <w:r w:rsidRPr="0015091A">
              <w:rPr>
                <w:rFonts w:ascii="Cambria" w:eastAsia="Times New Roman" w:hAnsi="Cambria" w:cs="Arial"/>
                <w:color w:val="000000"/>
              </w:rPr>
              <w:t xml:space="preserve">,  </w:t>
            </w:r>
            <w:r w:rsidR="001B07F3">
              <w:rPr>
                <w:rFonts w:ascii="Cambria" w:eastAsia="Times New Roman" w:hAnsi="Cambria" w:cs="Arial"/>
                <w:color w:val="000000"/>
              </w:rPr>
              <w:t>67</w:t>
            </w:r>
            <w:r w:rsidRPr="0015091A">
              <w:rPr>
                <w:rFonts w:ascii="Cambria" w:eastAsia="Times New Roman" w:hAnsi="Cambria" w:cs="Arial"/>
                <w:color w:val="000000"/>
              </w:rPr>
              <w:t>p.</w:t>
            </w:r>
          </w:p>
        </w:tc>
      </w:tr>
      <w:tr w:rsidR="00E049DA" w:rsidRPr="0015091A" w14:paraId="4A52EDFC" w14:textId="77777777" w:rsidTr="002C6FAB">
        <w:trPr>
          <w:trHeight w:val="20"/>
        </w:trPr>
        <w:tc>
          <w:tcPr>
            <w:tcW w:w="9215" w:type="dxa"/>
            <w:shd w:val="clear" w:color="auto" w:fill="auto"/>
            <w:vAlign w:val="center"/>
            <w:hideMark/>
          </w:tcPr>
          <w:p w14:paraId="0AFA0BEF" w14:textId="77777777" w:rsidR="00D82944" w:rsidRDefault="00D82944" w:rsidP="00D82944">
            <w:pPr>
              <w:spacing w:before="0" w:after="120" w:line="240" w:lineRule="auto"/>
              <w:jc w:val="left"/>
              <w:rPr>
                <w:rFonts w:ascii="Cambria" w:eastAsia="Times New Roman" w:hAnsi="Cambria" w:cs="Times New Roman"/>
              </w:rPr>
            </w:pPr>
          </w:p>
          <w:p w14:paraId="50B4FCCC" w14:textId="77777777" w:rsidR="00E049DA" w:rsidRPr="0015091A" w:rsidRDefault="00E049DA" w:rsidP="00D82944">
            <w:pPr>
              <w:spacing w:before="0" w:after="120" w:line="240" w:lineRule="auto"/>
              <w:jc w:val="left"/>
              <w:rPr>
                <w:rFonts w:ascii="Cambria" w:eastAsia="Times New Roman" w:hAnsi="Cambria" w:cs="Times New Roman"/>
              </w:rPr>
            </w:pPr>
            <w:r w:rsidRPr="0015091A">
              <w:rPr>
                <w:rFonts w:ascii="Cambria" w:eastAsia="Times New Roman" w:hAnsi="Cambria" w:cs="Times New Roman"/>
              </w:rPr>
              <w:t>ANP, Website Institucional, Disponível em:&lt;</w:t>
            </w:r>
            <w:hyperlink r:id="rId80" w:history="1">
              <w:r w:rsidRPr="0015091A">
                <w:rPr>
                  <w:rStyle w:val="Hyperlink"/>
                  <w:rFonts w:ascii="Cambria" w:eastAsia="Times New Roman" w:hAnsi="Cambria" w:cs="Times New Roman"/>
                </w:rPr>
                <w:t>www.anp.gov.br</w:t>
              </w:r>
            </w:hyperlink>
            <w:r w:rsidRPr="0015091A">
              <w:rPr>
                <w:rFonts w:ascii="Cambria" w:eastAsia="Times New Roman" w:hAnsi="Cambria" w:cs="Times New Roman"/>
              </w:rPr>
              <w:t xml:space="preserve">&gt;. </w:t>
            </w:r>
            <w:r w:rsidRPr="002C6FAB">
              <w:rPr>
                <w:rFonts w:ascii="Cambria" w:eastAsia="Times New Roman" w:hAnsi="Cambria" w:cs="Times New Roman"/>
              </w:rPr>
              <w:t>Acesso em 31 ago. 2012.</w:t>
            </w:r>
          </w:p>
        </w:tc>
      </w:tr>
      <w:tr w:rsidR="00E049DA" w:rsidRPr="0015091A" w14:paraId="64BF9E35" w14:textId="77777777" w:rsidTr="002C6FAB">
        <w:trPr>
          <w:trHeight w:val="20"/>
        </w:trPr>
        <w:tc>
          <w:tcPr>
            <w:tcW w:w="9215" w:type="dxa"/>
            <w:shd w:val="clear" w:color="auto" w:fill="auto"/>
            <w:vAlign w:val="center"/>
            <w:hideMark/>
          </w:tcPr>
          <w:p w14:paraId="6A80A826" w14:textId="77777777" w:rsidR="00E049DA" w:rsidRPr="0015091A" w:rsidRDefault="00E049DA" w:rsidP="009D01BE">
            <w:pPr>
              <w:spacing w:after="120" w:line="240" w:lineRule="auto"/>
              <w:jc w:val="left"/>
              <w:rPr>
                <w:rFonts w:ascii="Cambria" w:eastAsia="Times New Roman" w:hAnsi="Cambria" w:cs="Arial"/>
              </w:rPr>
            </w:pPr>
            <w:r w:rsidRPr="0015091A">
              <w:rPr>
                <w:rFonts w:ascii="Cambria" w:eastAsia="Times New Roman" w:hAnsi="Cambria" w:cs="Arial"/>
                <w:lang w:val="en-US"/>
              </w:rPr>
              <w:t xml:space="preserve">ARPEL, </w:t>
            </w:r>
            <w:r w:rsidRPr="0015091A">
              <w:rPr>
                <w:rFonts w:ascii="Cambria" w:eastAsia="Times New Roman" w:hAnsi="Cambria" w:cs="Arial"/>
                <w:b/>
                <w:bCs/>
                <w:lang w:val="en-US"/>
              </w:rPr>
              <w:t xml:space="preserve">Guidelines for the Use of Dispersants on Oil Spills. </w:t>
            </w:r>
            <w:r w:rsidRPr="0015091A">
              <w:rPr>
                <w:rFonts w:ascii="Cambria" w:eastAsia="Times New Roman" w:hAnsi="Cambria" w:cs="Arial"/>
                <w:b/>
                <w:bCs/>
              </w:rPr>
              <w:t>ARPEL Environmental Guidelines Nº 41</w:t>
            </w:r>
            <w:r w:rsidRPr="0015091A">
              <w:rPr>
                <w:rFonts w:ascii="Cambria" w:eastAsia="Times New Roman" w:hAnsi="Cambria" w:cs="Arial"/>
              </w:rPr>
              <w:t xml:space="preserve">, Fevereiro, 2007, 65 pp. </w:t>
            </w:r>
          </w:p>
        </w:tc>
      </w:tr>
      <w:tr w:rsidR="00E049DA" w:rsidRPr="0015091A" w14:paraId="7E239D01" w14:textId="77777777" w:rsidTr="002C6FAB">
        <w:trPr>
          <w:trHeight w:val="20"/>
        </w:trPr>
        <w:tc>
          <w:tcPr>
            <w:tcW w:w="9215" w:type="dxa"/>
            <w:shd w:val="clear" w:color="auto" w:fill="auto"/>
            <w:vAlign w:val="center"/>
            <w:hideMark/>
          </w:tcPr>
          <w:p w14:paraId="26254061" w14:textId="57D639DA"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lang w:val="en-US"/>
              </w:rPr>
              <w:t xml:space="preserve">BONN AGREEMENT - Current Status of the BAOAC, 2007. </w:t>
            </w:r>
            <w:r w:rsidRPr="0015091A">
              <w:rPr>
                <w:rFonts w:ascii="Cambria" w:eastAsia="Times New Roman" w:hAnsi="Cambria" w:cs="Times New Roman"/>
                <w:color w:val="000000"/>
              </w:rPr>
              <w:t>Disponível em: &lt;http://www.bonnagreement.org/site/assets/files/3952/current-status-report-final-19jan07.pdf&gt; Acesso em</w:t>
            </w:r>
            <w:r w:rsidR="00656D39">
              <w:rPr>
                <w:rFonts w:ascii="Cambria" w:eastAsia="Times New Roman" w:hAnsi="Cambria" w:cs="Times New Roman"/>
                <w:color w:val="000000"/>
              </w:rPr>
              <w:t xml:space="preserve"> </w:t>
            </w:r>
            <w:r w:rsidRPr="0015091A">
              <w:rPr>
                <w:rFonts w:ascii="Cambria" w:eastAsia="Times New Roman" w:hAnsi="Cambria" w:cs="Times New Roman"/>
                <w:color w:val="000000"/>
              </w:rPr>
              <w:t>21 jan. 2015.</w:t>
            </w:r>
          </w:p>
        </w:tc>
      </w:tr>
      <w:tr w:rsidR="00E049DA" w:rsidRPr="00771DBB" w14:paraId="5AD9DA82" w14:textId="77777777" w:rsidTr="002C6FAB">
        <w:trPr>
          <w:trHeight w:val="20"/>
        </w:trPr>
        <w:tc>
          <w:tcPr>
            <w:tcW w:w="9215" w:type="dxa"/>
            <w:shd w:val="clear" w:color="auto" w:fill="auto"/>
            <w:vAlign w:val="center"/>
            <w:hideMark/>
          </w:tcPr>
          <w:p w14:paraId="374B326A" w14:textId="77777777" w:rsidR="00E049DA" w:rsidRPr="0015091A" w:rsidRDefault="00E049DA" w:rsidP="009D01BE">
            <w:pPr>
              <w:spacing w:after="120" w:line="240" w:lineRule="auto"/>
              <w:jc w:val="left"/>
              <w:rPr>
                <w:rFonts w:ascii="Cambria" w:eastAsia="Times New Roman" w:hAnsi="Cambria" w:cs="Times New Roman"/>
                <w:lang w:val="en-US"/>
              </w:rPr>
            </w:pPr>
            <w:r w:rsidRPr="0015091A">
              <w:rPr>
                <w:rFonts w:ascii="Cambria" w:eastAsia="Times New Roman" w:hAnsi="Cambria" w:cs="Times New Roman"/>
                <w:bCs/>
                <w:lang w:val="en-US"/>
              </w:rPr>
              <w:t>BONN AGREEMENT</w:t>
            </w:r>
            <w:r w:rsidRPr="0015091A">
              <w:rPr>
                <w:rFonts w:ascii="Cambria" w:eastAsia="Times New Roman" w:hAnsi="Cambria" w:cs="Times New Roman"/>
                <w:b/>
                <w:bCs/>
                <w:lang w:val="en-US"/>
              </w:rPr>
              <w:t>, Bonn Agreement Oil Appearance Code</w:t>
            </w:r>
            <w:r w:rsidRPr="0015091A">
              <w:rPr>
                <w:rFonts w:ascii="Cambria" w:eastAsia="Times New Roman" w:hAnsi="Cambria" w:cs="Times New Roman"/>
                <w:lang w:val="en-US"/>
              </w:rPr>
              <w:t xml:space="preserve"> </w:t>
            </w:r>
            <w:r w:rsidRPr="0015091A">
              <w:rPr>
                <w:rFonts w:ascii="Cambria" w:eastAsia="Times New Roman" w:hAnsi="Cambria" w:cs="Times New Roman"/>
                <w:b/>
                <w:lang w:val="en-US"/>
              </w:rPr>
              <w:t>(BAOAC) Photo Atlas</w:t>
            </w:r>
            <w:r w:rsidRPr="0015091A">
              <w:rPr>
                <w:rFonts w:ascii="Cambria" w:eastAsia="Times New Roman" w:hAnsi="Cambria" w:cs="Times New Roman"/>
                <w:lang w:val="en-US"/>
              </w:rPr>
              <w:t xml:space="preserve">, Junho, 2011, 94 p. </w:t>
            </w:r>
          </w:p>
        </w:tc>
      </w:tr>
      <w:tr w:rsidR="00E049DA" w:rsidRPr="0015091A" w14:paraId="13EBC308" w14:textId="77777777" w:rsidTr="002C6FAB">
        <w:trPr>
          <w:trHeight w:val="20"/>
        </w:trPr>
        <w:tc>
          <w:tcPr>
            <w:tcW w:w="9215" w:type="dxa"/>
            <w:shd w:val="clear" w:color="auto" w:fill="auto"/>
            <w:vAlign w:val="center"/>
            <w:hideMark/>
          </w:tcPr>
          <w:p w14:paraId="72A08A6F" w14:textId="09E3D9C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bCs/>
                <w:color w:val="000000"/>
                <w:lang w:val="en-US"/>
              </w:rPr>
              <w:lastRenderedPageBreak/>
              <w:t>BONN AGREEMENT.</w:t>
            </w:r>
            <w:r w:rsidRPr="0015091A">
              <w:rPr>
                <w:rFonts w:ascii="Cambria" w:eastAsia="Times New Roman" w:hAnsi="Cambria" w:cs="Arial"/>
                <w:b/>
                <w:bCs/>
                <w:color w:val="000000"/>
                <w:lang w:val="en-US"/>
              </w:rPr>
              <w:t xml:space="preserve"> Bonn Agreement Aerial Operations Handbook</w:t>
            </w:r>
            <w:r w:rsidRPr="0015091A">
              <w:rPr>
                <w:rFonts w:ascii="Cambria" w:eastAsia="Times New Roman" w:hAnsi="Cambria" w:cs="Arial"/>
                <w:color w:val="000000"/>
                <w:lang w:val="en-US"/>
              </w:rPr>
              <w:t xml:space="preserve">: Part 3 - Annex A – BAOAC. </w:t>
            </w:r>
            <w:r w:rsidRPr="0015091A">
              <w:rPr>
                <w:rFonts w:ascii="Cambria" w:eastAsia="Times New Roman" w:hAnsi="Cambria" w:cs="Arial"/>
                <w:color w:val="000000"/>
              </w:rPr>
              <w:t>Rev 19, Holanda, Maio, 2009</w:t>
            </w:r>
            <w:r w:rsidR="00656D39">
              <w:rPr>
                <w:rFonts w:ascii="Cambria" w:eastAsia="Times New Roman" w:hAnsi="Cambria" w:cs="Arial"/>
                <w:color w:val="000000"/>
              </w:rPr>
              <w:t>.</w:t>
            </w:r>
            <w:r w:rsidRPr="0015091A">
              <w:rPr>
                <w:rFonts w:ascii="Cambria" w:eastAsia="Times New Roman" w:hAnsi="Cambria" w:cs="Arial"/>
                <w:color w:val="000000"/>
              </w:rPr>
              <w:t>106 p.</w:t>
            </w:r>
          </w:p>
        </w:tc>
      </w:tr>
      <w:tr w:rsidR="002261AA" w:rsidRPr="0015091A" w14:paraId="30451FEE" w14:textId="77777777" w:rsidTr="002C6FAB">
        <w:trPr>
          <w:trHeight w:val="20"/>
        </w:trPr>
        <w:tc>
          <w:tcPr>
            <w:tcW w:w="9215" w:type="dxa"/>
            <w:shd w:val="clear" w:color="auto" w:fill="auto"/>
            <w:vAlign w:val="center"/>
            <w:hideMark/>
          </w:tcPr>
          <w:p w14:paraId="56A5C360" w14:textId="77777777" w:rsidR="002261AA" w:rsidRPr="0015091A" w:rsidRDefault="002261A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BP. </w:t>
            </w:r>
            <w:r w:rsidR="00511B28" w:rsidRPr="002C6FAB">
              <w:rPr>
                <w:rFonts w:ascii="Cambria" w:eastAsia="Times New Roman" w:hAnsi="Cambria" w:cs="Arial"/>
                <w:b/>
                <w:color w:val="000000"/>
              </w:rPr>
              <w:t>Global</w:t>
            </w:r>
            <w:r w:rsidR="00511B28">
              <w:rPr>
                <w:rFonts w:ascii="Cambria" w:eastAsia="Times New Roman" w:hAnsi="Cambria" w:cs="Arial"/>
                <w:color w:val="000000"/>
              </w:rPr>
              <w:t xml:space="preserve"> </w:t>
            </w:r>
            <w:r w:rsidRPr="0015091A">
              <w:rPr>
                <w:rFonts w:ascii="Cambria" w:eastAsia="Times New Roman" w:hAnsi="Cambria" w:cs="Arial"/>
                <w:b/>
                <w:color w:val="000000"/>
              </w:rPr>
              <w:t>Response Tactics Manual</w:t>
            </w:r>
            <w:r w:rsidRPr="0015091A">
              <w:rPr>
                <w:rFonts w:ascii="Cambria" w:eastAsia="Times New Roman" w:hAnsi="Cambria" w:cs="Arial"/>
                <w:color w:val="000000"/>
              </w:rPr>
              <w:t xml:space="preserve">, 2012, </w:t>
            </w:r>
            <w:r w:rsidRPr="00CF4C24">
              <w:rPr>
                <w:rFonts w:ascii="Cambria" w:eastAsia="Times New Roman" w:hAnsi="Cambria" w:cs="Arial"/>
                <w:color w:val="000000"/>
                <w:lang w:val="en-US"/>
              </w:rPr>
              <w:t>507 p.</w:t>
            </w:r>
          </w:p>
        </w:tc>
      </w:tr>
      <w:tr w:rsidR="00E049DA" w:rsidRPr="00771DBB" w14:paraId="3AFD8EBC" w14:textId="77777777" w:rsidTr="002C6FAB">
        <w:trPr>
          <w:trHeight w:val="20"/>
        </w:trPr>
        <w:tc>
          <w:tcPr>
            <w:tcW w:w="9215" w:type="dxa"/>
            <w:shd w:val="clear" w:color="auto" w:fill="auto"/>
            <w:vAlign w:val="center"/>
            <w:hideMark/>
          </w:tcPr>
          <w:p w14:paraId="66E6B012"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2011. </w:t>
            </w:r>
            <w:r w:rsidRPr="0015091A">
              <w:rPr>
                <w:rFonts w:ascii="Cambria" w:eastAsia="Times New Roman" w:hAnsi="Cambria" w:cs="Arial"/>
                <w:b/>
                <w:color w:val="000000"/>
                <w:lang w:val="en-US"/>
              </w:rPr>
              <w:t>Oil Spill Response Operations Plan (OSROP)</w:t>
            </w:r>
            <w:r w:rsidRPr="0015091A">
              <w:rPr>
                <w:rFonts w:ascii="Cambria" w:eastAsia="Times New Roman" w:hAnsi="Cambria" w:cs="Arial"/>
                <w:color w:val="000000"/>
                <w:lang w:val="en-US"/>
              </w:rPr>
              <w:t xml:space="preserve"> – BP-SOR-CR-A-P4.6-001, 2011, </w:t>
            </w:r>
            <w:r w:rsidR="004C02ED" w:rsidRPr="002C6FAB">
              <w:rPr>
                <w:rFonts w:ascii="Cambria" w:eastAsia="Times New Roman" w:hAnsi="Cambria" w:cs="Arial"/>
                <w:color w:val="000000"/>
                <w:lang w:val="en-US"/>
              </w:rPr>
              <w:t xml:space="preserve">156 </w:t>
            </w:r>
            <w:r w:rsidRPr="002C6FAB">
              <w:rPr>
                <w:rFonts w:ascii="Cambria" w:eastAsia="Times New Roman" w:hAnsi="Cambria" w:cs="Arial"/>
                <w:color w:val="000000"/>
                <w:lang w:val="en-US"/>
              </w:rPr>
              <w:t>p.</w:t>
            </w:r>
          </w:p>
        </w:tc>
      </w:tr>
      <w:tr w:rsidR="00E049DA" w:rsidRPr="00771DBB" w14:paraId="06712940" w14:textId="77777777" w:rsidTr="002C6FAB">
        <w:trPr>
          <w:trHeight w:val="20"/>
        </w:trPr>
        <w:tc>
          <w:tcPr>
            <w:tcW w:w="9215" w:type="dxa"/>
            <w:shd w:val="clear" w:color="auto" w:fill="auto"/>
            <w:vAlign w:val="center"/>
            <w:hideMark/>
          </w:tcPr>
          <w:p w14:paraId="2C59A73A"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2011. </w:t>
            </w:r>
            <w:r w:rsidRPr="0015091A">
              <w:rPr>
                <w:rFonts w:ascii="Cambria" w:eastAsia="Times New Roman" w:hAnsi="Cambria" w:cs="Arial"/>
                <w:b/>
                <w:color w:val="000000"/>
                <w:lang w:val="en-US"/>
              </w:rPr>
              <w:t>SCAT Programme Manual for Oil Spill Planning and Response Operations</w:t>
            </w:r>
            <w:r w:rsidRPr="0015091A">
              <w:rPr>
                <w:rFonts w:ascii="Cambria" w:eastAsia="Times New Roman" w:hAnsi="Cambria" w:cs="Arial"/>
                <w:color w:val="000000"/>
                <w:lang w:val="en-US"/>
              </w:rPr>
              <w:t xml:space="preserve"> - Polaris Applied Science Inc., 2011, </w:t>
            </w:r>
            <w:r w:rsidR="004C02ED" w:rsidRPr="002C6FAB">
              <w:rPr>
                <w:rFonts w:ascii="Cambria" w:eastAsia="Times New Roman" w:hAnsi="Cambria" w:cs="Arial"/>
                <w:color w:val="000000"/>
                <w:lang w:val="en-US"/>
              </w:rPr>
              <w:t xml:space="preserve">123 </w:t>
            </w:r>
            <w:r w:rsidRPr="002C6FAB">
              <w:rPr>
                <w:rFonts w:ascii="Cambria" w:eastAsia="Times New Roman" w:hAnsi="Cambria" w:cs="Arial"/>
                <w:color w:val="000000"/>
                <w:lang w:val="en-US"/>
              </w:rPr>
              <w:t>p.</w:t>
            </w:r>
          </w:p>
        </w:tc>
      </w:tr>
      <w:tr w:rsidR="00E049DA" w:rsidRPr="00771DBB" w14:paraId="72DFFE4A" w14:textId="77777777" w:rsidTr="002C6FAB">
        <w:trPr>
          <w:trHeight w:val="20"/>
        </w:trPr>
        <w:tc>
          <w:tcPr>
            <w:tcW w:w="9215" w:type="dxa"/>
            <w:shd w:val="clear" w:color="auto" w:fill="auto"/>
            <w:vAlign w:val="center"/>
            <w:hideMark/>
          </w:tcPr>
          <w:p w14:paraId="3E48332C"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 xml:space="preserve">BP ENERGY DO BRASIL. </w:t>
            </w:r>
            <w:r w:rsidRPr="0015091A">
              <w:rPr>
                <w:rFonts w:ascii="Cambria" w:eastAsia="Times New Roman" w:hAnsi="Cambria" w:cs="Arial"/>
                <w:b/>
                <w:color w:val="000000"/>
                <w:lang w:val="en-US"/>
              </w:rPr>
              <w:t>BP Brazil Capping and Containment Plan</w:t>
            </w:r>
            <w:r w:rsidR="004C02ED">
              <w:rPr>
                <w:rFonts w:ascii="Cambria" w:eastAsia="Times New Roman" w:hAnsi="Cambria" w:cs="Arial"/>
                <w:b/>
                <w:color w:val="000000"/>
                <w:lang w:val="en-US"/>
              </w:rPr>
              <w:t xml:space="preserve"> (BR00-DR-PLN-BP-0001)</w:t>
            </w:r>
            <w:r w:rsidRPr="0015091A">
              <w:rPr>
                <w:rFonts w:ascii="Cambria" w:eastAsia="Times New Roman" w:hAnsi="Cambria" w:cs="Arial"/>
                <w:color w:val="000000"/>
                <w:lang w:val="en-US"/>
              </w:rPr>
              <w:t xml:space="preserve">, 2012, </w:t>
            </w:r>
            <w:r w:rsidR="004C02ED" w:rsidRPr="002C6FAB">
              <w:rPr>
                <w:rFonts w:ascii="Cambria" w:eastAsia="Times New Roman" w:hAnsi="Cambria" w:cs="Arial"/>
                <w:color w:val="000000"/>
                <w:lang w:val="en-US"/>
              </w:rPr>
              <w:t xml:space="preserve">133 </w:t>
            </w:r>
            <w:r w:rsidRPr="002C6FAB">
              <w:rPr>
                <w:rFonts w:ascii="Cambria" w:eastAsia="Times New Roman" w:hAnsi="Cambria" w:cs="Arial"/>
                <w:color w:val="000000"/>
                <w:lang w:val="en-US"/>
              </w:rPr>
              <w:t>p.</w:t>
            </w:r>
          </w:p>
        </w:tc>
      </w:tr>
      <w:tr w:rsidR="00E049DA" w:rsidRPr="0015091A" w14:paraId="18E3E3A3" w14:textId="77777777" w:rsidTr="002C6FAB">
        <w:trPr>
          <w:trHeight w:val="20"/>
        </w:trPr>
        <w:tc>
          <w:tcPr>
            <w:tcW w:w="9215" w:type="dxa"/>
            <w:shd w:val="clear" w:color="auto" w:fill="auto"/>
            <w:vAlign w:val="center"/>
            <w:hideMark/>
          </w:tcPr>
          <w:p w14:paraId="162B5EE3"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BP ENERGY DO BRASIL. </w:t>
            </w:r>
            <w:r w:rsidRPr="0015091A">
              <w:rPr>
                <w:rFonts w:ascii="Cambria" w:eastAsia="Times New Roman" w:hAnsi="Cambria" w:cs="Arial"/>
                <w:b/>
                <w:color w:val="000000"/>
              </w:rPr>
              <w:t>BP Brazil Waste Management Plan</w:t>
            </w:r>
            <w:r w:rsidRPr="0015091A">
              <w:rPr>
                <w:rFonts w:ascii="Cambria" w:eastAsia="Times New Roman" w:hAnsi="Cambria" w:cs="Arial"/>
                <w:color w:val="000000"/>
              </w:rPr>
              <w:t xml:space="preserve">, 2012 </w:t>
            </w:r>
            <w:r w:rsidR="002261AA" w:rsidRPr="002C6FAB">
              <w:rPr>
                <w:rFonts w:ascii="Cambria" w:eastAsia="Times New Roman" w:hAnsi="Cambria" w:cs="Arial"/>
                <w:color w:val="000000"/>
                <w:lang w:val="en-US"/>
              </w:rPr>
              <w:t xml:space="preserve">158 </w:t>
            </w:r>
            <w:r w:rsidRPr="002C6FAB">
              <w:rPr>
                <w:rFonts w:ascii="Cambria" w:eastAsia="Times New Roman" w:hAnsi="Cambria" w:cs="Arial"/>
                <w:color w:val="000000"/>
                <w:lang w:val="en-US"/>
              </w:rPr>
              <w:t>p.</w:t>
            </w:r>
          </w:p>
        </w:tc>
      </w:tr>
      <w:tr w:rsidR="00E049DA" w:rsidRPr="00771DBB" w14:paraId="244F2BCA" w14:textId="77777777" w:rsidTr="002C6FAB">
        <w:trPr>
          <w:trHeight w:val="20"/>
        </w:trPr>
        <w:tc>
          <w:tcPr>
            <w:tcW w:w="9215" w:type="dxa"/>
            <w:shd w:val="clear" w:color="auto" w:fill="auto"/>
            <w:vAlign w:val="center"/>
            <w:hideMark/>
          </w:tcPr>
          <w:p w14:paraId="79A0AE64" w14:textId="77777777" w:rsidR="00E049DA" w:rsidRPr="0015091A" w:rsidRDefault="00E049DA" w:rsidP="009D01BE">
            <w:pPr>
              <w:spacing w:after="120" w:line="240" w:lineRule="auto"/>
              <w:jc w:val="left"/>
              <w:rPr>
                <w:rFonts w:ascii="Cambria" w:eastAsia="Times New Roman" w:hAnsi="Cambria" w:cs="Arial"/>
                <w:color w:val="000000"/>
                <w:highlight w:val="green"/>
                <w:lang w:val="en-US"/>
              </w:rPr>
            </w:pPr>
            <w:r w:rsidRPr="0015091A">
              <w:rPr>
                <w:rFonts w:ascii="Cambria" w:eastAsia="Times New Roman" w:hAnsi="Cambria" w:cs="Arial"/>
                <w:color w:val="000000"/>
                <w:lang w:val="en-US"/>
              </w:rPr>
              <w:t>BP</w:t>
            </w:r>
            <w:r w:rsidR="002261AA">
              <w:rPr>
                <w:rFonts w:ascii="Cambria" w:eastAsia="Times New Roman" w:hAnsi="Cambria" w:cs="Arial"/>
                <w:color w:val="000000"/>
                <w:lang w:val="en-US"/>
              </w:rPr>
              <w:t xml:space="preserve"> ENERGY DO BRASIL</w:t>
            </w:r>
            <w:r w:rsidRPr="0015091A">
              <w:rPr>
                <w:rFonts w:ascii="Cambria" w:eastAsia="Times New Roman" w:hAnsi="Cambria" w:cs="Arial"/>
                <w:color w:val="000000"/>
                <w:lang w:val="en-US"/>
              </w:rPr>
              <w:t xml:space="preserve">. </w:t>
            </w:r>
            <w:r w:rsidRPr="0015091A">
              <w:rPr>
                <w:rFonts w:ascii="Cambria" w:eastAsia="Times New Roman" w:hAnsi="Cambria" w:cs="Arial"/>
                <w:b/>
                <w:color w:val="000000"/>
                <w:lang w:val="en-US"/>
              </w:rPr>
              <w:t xml:space="preserve">Incident Management </w:t>
            </w:r>
            <w:r w:rsidR="002261AA">
              <w:rPr>
                <w:rFonts w:ascii="Cambria" w:eastAsia="Times New Roman" w:hAnsi="Cambria" w:cs="Arial"/>
                <w:b/>
                <w:color w:val="000000"/>
                <w:lang w:val="en-US"/>
              </w:rPr>
              <w:t>Plan (BR00SO-PLN-BP-0014)</w:t>
            </w:r>
            <w:r w:rsidRPr="0015091A">
              <w:rPr>
                <w:rFonts w:ascii="Cambria" w:eastAsia="Times New Roman" w:hAnsi="Cambria" w:cs="Arial"/>
                <w:color w:val="000000"/>
                <w:lang w:val="en-US"/>
              </w:rPr>
              <w:t xml:space="preserve">, </w:t>
            </w:r>
            <w:r w:rsidR="002261AA" w:rsidRPr="0015091A">
              <w:rPr>
                <w:rFonts w:ascii="Cambria" w:eastAsia="Times New Roman" w:hAnsi="Cambria" w:cs="Arial"/>
                <w:color w:val="000000"/>
                <w:lang w:val="en-US"/>
              </w:rPr>
              <w:t>20</w:t>
            </w:r>
            <w:r w:rsidR="002261AA">
              <w:rPr>
                <w:rFonts w:ascii="Cambria" w:eastAsia="Times New Roman" w:hAnsi="Cambria" w:cs="Arial"/>
                <w:color w:val="000000"/>
                <w:lang w:val="en-US"/>
              </w:rPr>
              <w:t>13</w:t>
            </w:r>
            <w:r w:rsidRPr="0015091A">
              <w:rPr>
                <w:rFonts w:ascii="Cambria" w:eastAsia="Times New Roman" w:hAnsi="Cambria" w:cs="Arial"/>
                <w:color w:val="000000"/>
                <w:lang w:val="en-US"/>
              </w:rPr>
              <w:t xml:space="preserve">, </w:t>
            </w:r>
            <w:r w:rsidR="002261AA">
              <w:rPr>
                <w:rFonts w:ascii="Cambria" w:eastAsia="Times New Roman" w:hAnsi="Cambria" w:cs="Arial"/>
                <w:color w:val="000000"/>
                <w:lang w:val="en-US"/>
              </w:rPr>
              <w:t>50</w:t>
            </w:r>
            <w:r w:rsidR="002261AA" w:rsidRPr="002C6FAB">
              <w:rPr>
                <w:rFonts w:ascii="Cambria" w:eastAsia="Times New Roman" w:hAnsi="Cambria" w:cs="Arial"/>
                <w:color w:val="000000"/>
                <w:lang w:val="en-US"/>
              </w:rPr>
              <w:t xml:space="preserve"> </w:t>
            </w:r>
            <w:r w:rsidRPr="002C6FAB">
              <w:rPr>
                <w:rFonts w:ascii="Cambria" w:eastAsia="Times New Roman" w:hAnsi="Cambria" w:cs="Arial"/>
                <w:color w:val="000000"/>
                <w:lang w:val="en-US"/>
              </w:rPr>
              <w:t>p.</w:t>
            </w:r>
          </w:p>
        </w:tc>
      </w:tr>
      <w:tr w:rsidR="00E049DA" w:rsidRPr="0015091A" w14:paraId="670B475D" w14:textId="77777777" w:rsidTr="002C6FAB">
        <w:trPr>
          <w:trHeight w:val="20"/>
        </w:trPr>
        <w:tc>
          <w:tcPr>
            <w:tcW w:w="9215" w:type="dxa"/>
            <w:shd w:val="clear" w:color="auto" w:fill="auto"/>
            <w:vAlign w:val="center"/>
            <w:hideMark/>
          </w:tcPr>
          <w:p w14:paraId="0C4FA8CC"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4.136 de 20 de fevereiro de 2002. Dispõe sobre a especificação das sanções aplicáveis às infrações às regras de prevenção, controle e fiscalização da poluição causada por lançamento de óleo e outras substâncias nocivas ou perigosas em águas sob jurisdição nacional, prevista na Lei no 9.966, de 28 de abril de 2000, e dá outras providências. 2002.</w:t>
            </w:r>
          </w:p>
        </w:tc>
      </w:tr>
      <w:tr w:rsidR="00E049DA" w:rsidRPr="0015091A" w14:paraId="2611E0B9" w14:textId="77777777" w:rsidTr="002C6FAB">
        <w:trPr>
          <w:trHeight w:val="20"/>
        </w:trPr>
        <w:tc>
          <w:tcPr>
            <w:tcW w:w="9215" w:type="dxa"/>
            <w:shd w:val="clear" w:color="auto" w:fill="auto"/>
            <w:vAlign w:val="center"/>
            <w:hideMark/>
          </w:tcPr>
          <w:p w14:paraId="36BDAFE6" w14:textId="63FECD0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4.871/03, de 06 de novembro de 2003.</w:t>
            </w:r>
            <w:r w:rsidR="00656D39">
              <w:rPr>
                <w:rFonts w:ascii="Cambria" w:eastAsia="Times New Roman" w:hAnsi="Cambria" w:cs="Arial"/>
                <w:color w:val="000000"/>
              </w:rPr>
              <w:t xml:space="preserve"> </w:t>
            </w:r>
            <w:r w:rsidRPr="0015091A">
              <w:rPr>
                <w:rFonts w:ascii="Cambria" w:eastAsia="Times New Roman" w:hAnsi="Cambria" w:cs="Arial"/>
                <w:color w:val="000000"/>
              </w:rPr>
              <w:t>Dispõe sobre a instituição dos Planos de Áreas para o combate à poluição por óleo em águas sob jurisdição nacional e dá outras providências. 2003.</w:t>
            </w:r>
          </w:p>
        </w:tc>
      </w:tr>
      <w:tr w:rsidR="00E049DA" w:rsidRPr="0015091A" w14:paraId="34602C88" w14:textId="77777777" w:rsidTr="002C6FAB">
        <w:trPr>
          <w:trHeight w:val="20"/>
        </w:trPr>
        <w:tc>
          <w:tcPr>
            <w:tcW w:w="9215" w:type="dxa"/>
            <w:shd w:val="clear" w:color="auto" w:fill="auto"/>
            <w:vAlign w:val="center"/>
            <w:hideMark/>
          </w:tcPr>
          <w:p w14:paraId="16E6EEB4"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Lei Federal</w:t>
            </w:r>
            <w:r w:rsidRPr="0015091A">
              <w:rPr>
                <w:rFonts w:ascii="Cambria" w:eastAsia="Times New Roman" w:hAnsi="Cambria" w:cs="Arial"/>
                <w:color w:val="000000"/>
              </w:rPr>
              <w:t xml:space="preserve"> Nº 9.478/97, de 06 de agosto de 1997. Dispõe sobre a política energética nacional, as atividades relativas ao monopólio do petróleo, institui o Conselho Nacional de Política Energética e a Agência Nacional do Petróleo e dá outras providências. 1997.</w:t>
            </w:r>
          </w:p>
        </w:tc>
      </w:tr>
      <w:tr w:rsidR="00E049DA" w:rsidRPr="0015091A" w14:paraId="5A2B2F13" w14:textId="77777777" w:rsidTr="002C6FAB">
        <w:trPr>
          <w:trHeight w:val="20"/>
        </w:trPr>
        <w:tc>
          <w:tcPr>
            <w:tcW w:w="9215" w:type="dxa"/>
            <w:shd w:val="clear" w:color="auto" w:fill="auto"/>
            <w:vAlign w:val="center"/>
            <w:hideMark/>
          </w:tcPr>
          <w:p w14:paraId="68993FA3"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Lei Federal</w:t>
            </w:r>
            <w:r w:rsidRPr="0015091A">
              <w:rPr>
                <w:rFonts w:ascii="Cambria" w:eastAsia="Times New Roman" w:hAnsi="Cambria" w:cs="Arial"/>
                <w:color w:val="000000"/>
              </w:rPr>
              <w:t xml:space="preserve"> Nº 9.966/00, de 28 de abril de 2000. Dispõe sobre a prevenção, o controle e a fiscalização da poluição causada por lançamento de óleo e outras substâncias nocivas ou perigosas em águas sob jurisdição nacional e dá outras providências. 2000.</w:t>
            </w:r>
          </w:p>
        </w:tc>
      </w:tr>
      <w:tr w:rsidR="00E049DA" w:rsidRPr="0015091A" w14:paraId="02A49E8B" w14:textId="77777777" w:rsidTr="002C6FAB">
        <w:trPr>
          <w:trHeight w:val="20"/>
        </w:trPr>
        <w:tc>
          <w:tcPr>
            <w:tcW w:w="9215" w:type="dxa"/>
            <w:shd w:val="clear" w:color="auto" w:fill="auto"/>
            <w:vAlign w:val="center"/>
            <w:hideMark/>
          </w:tcPr>
          <w:p w14:paraId="45B9C418" w14:textId="77777777" w:rsidR="00E049DA" w:rsidRPr="0015091A" w:rsidRDefault="00E049DA" w:rsidP="009D01BE">
            <w:pPr>
              <w:spacing w:after="120" w:line="240" w:lineRule="auto"/>
              <w:jc w:val="left"/>
              <w:rPr>
                <w:rFonts w:ascii="Cambria" w:eastAsia="Times New Roman" w:hAnsi="Cambria" w:cs="Arial"/>
                <w:color w:val="000000"/>
                <w:highlight w:val="green"/>
              </w:rPr>
            </w:pPr>
            <w:r w:rsidRPr="0015091A">
              <w:rPr>
                <w:rFonts w:ascii="Cambria" w:eastAsia="Times New Roman" w:hAnsi="Cambria" w:cs="Arial"/>
                <w:color w:val="000000"/>
              </w:rPr>
              <w:t xml:space="preserve">BRASIL, Plano Nacional de Contingência para Incidentes de Poluição por Óleo em Águas Jurisdicionais Brasileiras – </w:t>
            </w:r>
            <w:r w:rsidRPr="0015091A">
              <w:rPr>
                <w:rFonts w:ascii="Cambria" w:eastAsia="Times New Roman" w:hAnsi="Cambria" w:cs="Arial"/>
                <w:b/>
                <w:color w:val="000000"/>
              </w:rPr>
              <w:t>Proposta de Decreto Federal</w:t>
            </w:r>
            <w:r w:rsidRPr="0015091A">
              <w:rPr>
                <w:rFonts w:ascii="Cambria" w:eastAsia="Times New Roman" w:hAnsi="Cambria" w:cs="Arial"/>
                <w:color w:val="000000"/>
              </w:rPr>
              <w:t xml:space="preserve"> – Versão da Marinha do Brasil, Janeiro, 2011.</w:t>
            </w:r>
          </w:p>
        </w:tc>
      </w:tr>
      <w:tr w:rsidR="00E049DA" w:rsidRPr="0015091A" w14:paraId="7055A3DA" w14:textId="77777777" w:rsidTr="002C6FAB">
        <w:trPr>
          <w:trHeight w:val="20"/>
        </w:trPr>
        <w:tc>
          <w:tcPr>
            <w:tcW w:w="9215" w:type="dxa"/>
            <w:shd w:val="clear" w:color="auto" w:fill="auto"/>
            <w:vAlign w:val="center"/>
            <w:hideMark/>
          </w:tcPr>
          <w:p w14:paraId="0062FB77" w14:textId="77777777" w:rsidR="00E049DA" w:rsidRPr="0015091A" w:rsidRDefault="00E049DA" w:rsidP="009D01BE">
            <w:pPr>
              <w:spacing w:after="120" w:line="240" w:lineRule="auto"/>
              <w:jc w:val="left"/>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BRASIL, </w:t>
            </w:r>
            <w:r w:rsidRPr="0015091A">
              <w:rPr>
                <w:rFonts w:ascii="Cambria" w:eastAsia="Times New Roman" w:hAnsi="Cambria" w:cs="Times New Roman"/>
                <w:b/>
                <w:color w:val="000000"/>
              </w:rPr>
              <w:t>Resolução CONAMA</w:t>
            </w:r>
            <w:r w:rsidRPr="0015091A">
              <w:rPr>
                <w:rFonts w:ascii="Cambria" w:eastAsia="Times New Roman" w:hAnsi="Cambria" w:cs="Times New Roman"/>
                <w:color w:val="000000"/>
              </w:rPr>
              <w:t xml:space="preserve"> Nº 269 de 14 de setembro de 2000, Publicada no DOU nº 009, de 12/01/2001, Seção 1, páginas 58-61. Regulamenta o uso de dispersantes químicos em derrames de óleo no mar, 16 p.</w:t>
            </w:r>
          </w:p>
        </w:tc>
      </w:tr>
      <w:tr w:rsidR="00E049DA" w:rsidRPr="0015091A" w14:paraId="475C0FB6" w14:textId="77777777" w:rsidTr="002C6FAB">
        <w:trPr>
          <w:trHeight w:val="20"/>
        </w:trPr>
        <w:tc>
          <w:tcPr>
            <w:tcW w:w="9215" w:type="dxa"/>
            <w:shd w:val="clear" w:color="auto" w:fill="auto"/>
            <w:vAlign w:val="center"/>
            <w:hideMark/>
          </w:tcPr>
          <w:p w14:paraId="207BC5B2"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Resolução CONAMA</w:t>
            </w:r>
            <w:r w:rsidRPr="0015091A">
              <w:rPr>
                <w:rFonts w:ascii="Cambria" w:eastAsia="Times New Roman" w:hAnsi="Cambria" w:cs="Arial"/>
                <w:color w:val="000000"/>
              </w:rPr>
              <w:t xml:space="preserve"> Nº 398 de 11 de junho de 2008. Publicada no DOU nº 111, de 12 de junho de 2008, Seção 1, páginas 101-104 Dispõe sobre o conteúdo mínimo do Plano de Emergência Individual para incidentes de poluição por óleo em águas sob jurisdição nacional, originados em portos organizados, instalações, portuárias, terminais, dutos, sondas terrestres, plataformas e suas instalações de apoio, refinarias, estaleiros, marinas, clubes náuticos e instalações similares, e orienta a sua elaboração, 17p.</w:t>
            </w:r>
          </w:p>
        </w:tc>
      </w:tr>
      <w:tr w:rsidR="00E049DA" w:rsidRPr="0015091A" w14:paraId="1C213988" w14:textId="77777777" w:rsidTr="002C6FAB">
        <w:trPr>
          <w:trHeight w:val="20"/>
        </w:trPr>
        <w:tc>
          <w:tcPr>
            <w:tcW w:w="9215" w:type="dxa"/>
            <w:shd w:val="clear" w:color="auto" w:fill="auto"/>
            <w:vAlign w:val="center"/>
            <w:hideMark/>
          </w:tcPr>
          <w:p w14:paraId="31D38EFC"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 xml:space="preserve">BRASIL. </w:t>
            </w:r>
            <w:r w:rsidRPr="0015091A">
              <w:rPr>
                <w:rFonts w:ascii="Cambria" w:eastAsia="Times New Roman" w:hAnsi="Cambria" w:cs="Arial"/>
                <w:b/>
                <w:color w:val="000000"/>
              </w:rPr>
              <w:t>Decreto Federal</w:t>
            </w:r>
            <w:r w:rsidRPr="0015091A">
              <w:rPr>
                <w:rFonts w:ascii="Cambria" w:eastAsia="Times New Roman" w:hAnsi="Cambria" w:cs="Arial"/>
                <w:color w:val="000000"/>
              </w:rPr>
              <w:t xml:space="preserve"> Nº 8127 de 22 outubro de 2013. Institui o Plano Nacional de Contingência para Incidentes de Poluição por Óleo em Águas sob Jurisdição Nacional, altera o Decreto nº 4.871, de 6 de novembro de 2003, e o Decreto nº 4.136, de 20 de fevereiro de 2002, e dá outras providências. 2013.</w:t>
            </w:r>
          </w:p>
        </w:tc>
      </w:tr>
      <w:tr w:rsidR="00E049DA" w:rsidRPr="0015091A" w14:paraId="0740E7A4" w14:textId="77777777" w:rsidTr="002C6FAB">
        <w:trPr>
          <w:trHeight w:val="20"/>
        </w:trPr>
        <w:tc>
          <w:tcPr>
            <w:tcW w:w="9215" w:type="dxa"/>
            <w:shd w:val="clear" w:color="auto" w:fill="auto"/>
            <w:vAlign w:val="center"/>
            <w:hideMark/>
          </w:tcPr>
          <w:p w14:paraId="41A8E408"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lastRenderedPageBreak/>
              <w:t xml:space="preserve">BRASIL. </w:t>
            </w:r>
            <w:r w:rsidRPr="0015091A">
              <w:rPr>
                <w:rFonts w:ascii="Cambria" w:eastAsia="Times New Roman" w:hAnsi="Cambria" w:cs="Times New Roman"/>
                <w:b/>
                <w:color w:val="000000"/>
              </w:rPr>
              <w:t>Lei</w:t>
            </w:r>
            <w:r w:rsidRPr="0015091A">
              <w:rPr>
                <w:rFonts w:ascii="Cambria" w:eastAsia="Times New Roman" w:hAnsi="Cambria" w:cs="Times New Roman"/>
                <w:color w:val="000000"/>
              </w:rPr>
              <w:t xml:space="preserve"> Nº 12.608, de 10 de abril de 2012. Institui a Política Nacional de Proteção de Defesa Civil. Casa Civil. Subchefia para assuntos jurídicos.</w:t>
            </w:r>
          </w:p>
        </w:tc>
      </w:tr>
      <w:tr w:rsidR="00E049DA" w:rsidRPr="0015091A" w14:paraId="788113C7" w14:textId="77777777" w:rsidTr="002C6FAB">
        <w:trPr>
          <w:trHeight w:val="20"/>
        </w:trPr>
        <w:tc>
          <w:tcPr>
            <w:tcW w:w="9215" w:type="dxa"/>
            <w:shd w:val="clear" w:color="auto" w:fill="auto"/>
            <w:vAlign w:val="center"/>
            <w:hideMark/>
          </w:tcPr>
          <w:p w14:paraId="60034529"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BRASIL. </w:t>
            </w:r>
            <w:r w:rsidRPr="0015091A">
              <w:rPr>
                <w:rFonts w:ascii="Cambria" w:eastAsia="Times New Roman" w:hAnsi="Cambria" w:cs="Times New Roman"/>
                <w:b/>
                <w:color w:val="000000"/>
              </w:rPr>
              <w:t>Lei</w:t>
            </w:r>
            <w:r w:rsidRPr="0015091A">
              <w:rPr>
                <w:rFonts w:ascii="Cambria" w:eastAsia="Times New Roman" w:hAnsi="Cambria" w:cs="Times New Roman"/>
                <w:color w:val="000000"/>
              </w:rPr>
              <w:t xml:space="preserve"> </w:t>
            </w:r>
            <w:r w:rsidRPr="0015091A">
              <w:rPr>
                <w:rFonts w:ascii="Cambria" w:eastAsia="Times New Roman" w:hAnsi="Cambria" w:cs="Arial"/>
                <w:color w:val="000000"/>
              </w:rPr>
              <w:t>Nº</w:t>
            </w:r>
            <w:r w:rsidRPr="0015091A">
              <w:rPr>
                <w:rFonts w:ascii="Cambria" w:eastAsia="Times New Roman" w:hAnsi="Cambria" w:cs="Times New Roman"/>
                <w:color w:val="000000"/>
              </w:rPr>
              <w:t xml:space="preserve"> 9.966, de 28 de abril de 2000. Dispõe sobre a prevenção, o controle e a fiscalização da poluição causada por lançamento de óleo e outras substâncias nocivas ou perigosas em águas sob jurisdição nacional e dá outras providências. Casa Civil. Subchefia para assuntos jurídicos.</w:t>
            </w:r>
          </w:p>
        </w:tc>
      </w:tr>
      <w:tr w:rsidR="00E049DA" w:rsidRPr="0015091A" w14:paraId="67E60994" w14:textId="77777777" w:rsidTr="002C6FAB">
        <w:trPr>
          <w:trHeight w:val="20"/>
        </w:trPr>
        <w:tc>
          <w:tcPr>
            <w:tcW w:w="9215" w:type="dxa"/>
            <w:shd w:val="clear" w:color="auto" w:fill="auto"/>
            <w:vAlign w:val="center"/>
            <w:hideMark/>
          </w:tcPr>
          <w:p w14:paraId="0AE0A9FD"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CANADIAN SPACE AGENCY. Website Institucional, Disponível em &lt;</w:t>
            </w:r>
            <w:hyperlink r:id="rId81" w:history="1">
              <w:r w:rsidRPr="0015091A">
                <w:rPr>
                  <w:rStyle w:val="Hyperlink"/>
                  <w:rFonts w:ascii="Cambria" w:eastAsia="Times New Roman" w:hAnsi="Cambria" w:cs="Times New Roman"/>
                </w:rPr>
                <w:t>https://www.asc-csa.gc.ca/eng</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4A74391C" w14:textId="77777777" w:rsidTr="002C6FAB">
        <w:trPr>
          <w:trHeight w:val="20"/>
        </w:trPr>
        <w:tc>
          <w:tcPr>
            <w:tcW w:w="9215" w:type="dxa"/>
            <w:shd w:val="clear" w:color="auto" w:fill="auto"/>
            <w:vAlign w:val="center"/>
          </w:tcPr>
          <w:p w14:paraId="7F0A5538" w14:textId="77777777" w:rsidR="00E049DA" w:rsidRPr="0015091A" w:rsidRDefault="00E049DA" w:rsidP="009D01BE">
            <w:pPr>
              <w:spacing w:after="120" w:line="240" w:lineRule="auto"/>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CETESB – Limpeza de ambientes costeiros atingidos por óleo. Disponível em: </w:t>
            </w:r>
            <w:hyperlink r:id="rId82" w:history="1">
              <w:r w:rsidRPr="0015091A">
                <w:rPr>
                  <w:rStyle w:val="Hyperlink"/>
                  <w:rFonts w:ascii="Cambria" w:eastAsia="Times New Roman" w:hAnsi="Cambria" w:cs="Times New Roman"/>
                </w:rPr>
                <w:t>http://www.cetesb.sp.gov.br/gerenciamento-de-riscos/Vazamento%20de%20Oleo/228-Limpeza%20de%20Ambientes% 20Costeiros</w:t>
              </w:r>
            </w:hyperlink>
            <w:r w:rsidRPr="0015091A">
              <w:rPr>
                <w:rFonts w:ascii="Cambria" w:eastAsia="Times New Roman" w:hAnsi="Cambria" w:cs="Times New Roman"/>
                <w:color w:val="000000"/>
              </w:rPr>
              <w:t>&gt; Acessado em maio de 2012.</w:t>
            </w:r>
          </w:p>
        </w:tc>
      </w:tr>
      <w:tr w:rsidR="00E049DA" w:rsidRPr="0015091A" w14:paraId="4045B9D1" w14:textId="77777777" w:rsidTr="002C6FAB">
        <w:trPr>
          <w:trHeight w:val="20"/>
        </w:trPr>
        <w:tc>
          <w:tcPr>
            <w:tcW w:w="9215" w:type="dxa"/>
            <w:shd w:val="clear" w:color="auto" w:fill="auto"/>
            <w:vAlign w:val="center"/>
            <w:hideMark/>
          </w:tcPr>
          <w:p w14:paraId="67BFB312"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DE OLIVEIRA, A.; SOARES, F.; PIMENTEL, F.; GARÇÃO,M.; CABRAL, M. </w:t>
            </w:r>
            <w:r w:rsidRPr="0015091A">
              <w:rPr>
                <w:rFonts w:ascii="Cambria" w:eastAsia="Times New Roman" w:hAnsi="Cambria" w:cs="Times New Roman"/>
                <w:b/>
                <w:bCs/>
                <w:color w:val="000000"/>
              </w:rPr>
              <w:t>Relatório Técnico de Modelagem Hidrodinâmica e Dispersão de Óleo, Bacia da Foz do Amazonas</w:t>
            </w:r>
            <w:r w:rsidRPr="0015091A">
              <w:rPr>
                <w:rFonts w:ascii="Cambria" w:eastAsia="Times New Roman" w:hAnsi="Cambria" w:cs="Times New Roman"/>
                <w:color w:val="000000"/>
              </w:rPr>
              <w:t>. Rio de Janeiro: PROOCEANO, Fevereiro, 2015. 212 p.</w:t>
            </w:r>
          </w:p>
        </w:tc>
      </w:tr>
      <w:tr w:rsidR="00E049DA" w:rsidRPr="0015091A" w14:paraId="7FBD12F1" w14:textId="77777777" w:rsidTr="002C6FAB">
        <w:trPr>
          <w:trHeight w:val="20"/>
        </w:trPr>
        <w:tc>
          <w:tcPr>
            <w:tcW w:w="9215" w:type="dxa"/>
            <w:shd w:val="clear" w:color="auto" w:fill="auto"/>
            <w:vAlign w:val="center"/>
          </w:tcPr>
          <w:p w14:paraId="4DF65F91" w14:textId="1CE8EEB8" w:rsidR="00E049DA" w:rsidRPr="0015091A" w:rsidRDefault="00E049DA" w:rsidP="009D01BE">
            <w:pPr>
              <w:spacing w:after="120" w:line="240" w:lineRule="auto"/>
              <w:jc w:val="left"/>
              <w:rPr>
                <w:rFonts w:ascii="Cambria" w:eastAsia="Times New Roman" w:hAnsi="Cambria" w:cs="Times New Roman"/>
                <w:color w:val="000000"/>
                <w:highlight w:val="yellow"/>
              </w:rPr>
            </w:pPr>
            <w:r w:rsidRPr="0015091A">
              <w:rPr>
                <w:rFonts w:ascii="Cambria" w:eastAsia="Times New Roman" w:hAnsi="Cambria" w:cs="Times New Roman"/>
                <w:color w:val="000000"/>
              </w:rPr>
              <w:t>ELASTEC –</w:t>
            </w:r>
            <w:r w:rsidR="00656D39">
              <w:rPr>
                <w:rFonts w:ascii="Cambria" w:eastAsia="Times New Roman" w:hAnsi="Cambria" w:cs="Times New Roman"/>
                <w:color w:val="000000"/>
              </w:rPr>
              <w:t xml:space="preserve"> </w:t>
            </w:r>
            <w:r w:rsidRPr="0015091A">
              <w:rPr>
                <w:rFonts w:ascii="Cambria" w:eastAsia="Times New Roman" w:hAnsi="Cambria" w:cs="Times New Roman"/>
                <w:color w:val="000000"/>
              </w:rPr>
              <w:t>ElaSpray. Disponível em &lt;</w:t>
            </w:r>
            <w:r w:rsidRPr="0015091A">
              <w:rPr>
                <w:rFonts w:ascii="Cambria" w:hAnsi="Cambria"/>
              </w:rPr>
              <w:t xml:space="preserve"> </w:t>
            </w:r>
            <w:hyperlink r:id="rId83" w:history="1">
              <w:r w:rsidRPr="0015091A">
                <w:rPr>
                  <w:rStyle w:val="Hyperlink"/>
                  <w:rFonts w:ascii="Cambria" w:eastAsia="Times New Roman" w:hAnsi="Cambria" w:cs="Times New Roman"/>
                </w:rPr>
                <w:t>http://www.elastec.com/oilspill/dispersant/elaspray/</w:t>
              </w:r>
            </w:hyperlink>
            <w:r w:rsidRPr="0015091A">
              <w:rPr>
                <w:rFonts w:ascii="Cambria" w:eastAsia="Times New Roman" w:hAnsi="Cambria" w:cs="Times New Roman"/>
                <w:color w:val="000000"/>
              </w:rPr>
              <w:t xml:space="preserve">&gt; </w:t>
            </w:r>
            <w:r w:rsidRPr="002C6FAB">
              <w:rPr>
                <w:rFonts w:ascii="Cambria" w:eastAsia="Times New Roman" w:hAnsi="Cambria" w:cs="Times New Roman"/>
                <w:color w:val="000000"/>
              </w:rPr>
              <w:t>A</w:t>
            </w:r>
            <w:r w:rsidRPr="002C6FAB">
              <w:rPr>
                <w:rFonts w:ascii="Cambria" w:eastAsia="Times New Roman" w:hAnsi="Cambria" w:cs="Times New Roman"/>
              </w:rPr>
              <w:t>cesso em 31 set. 2012.</w:t>
            </w:r>
          </w:p>
        </w:tc>
      </w:tr>
      <w:tr w:rsidR="00E049DA" w:rsidRPr="0015091A" w14:paraId="145D3C43" w14:textId="77777777" w:rsidTr="002C6FAB">
        <w:trPr>
          <w:trHeight w:val="20"/>
        </w:trPr>
        <w:tc>
          <w:tcPr>
            <w:tcW w:w="9215" w:type="dxa"/>
            <w:shd w:val="clear" w:color="auto" w:fill="auto"/>
            <w:vAlign w:val="center"/>
            <w:hideMark/>
          </w:tcPr>
          <w:p w14:paraId="138C9C84"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ELASTEC – Oil Spill. Disponível em </w:t>
            </w:r>
            <w:hyperlink r:id="rId84" w:history="1">
              <w:r w:rsidRPr="0015091A">
                <w:rPr>
                  <w:rStyle w:val="Hyperlink"/>
                  <w:rFonts w:ascii="Cambria" w:eastAsia="Times New Roman" w:hAnsi="Cambria" w:cs="Times New Roman"/>
                </w:rPr>
                <w:t>https://www.elastec.com/oilspill</w:t>
              </w:r>
            </w:hyperlink>
            <w:r w:rsidRPr="0015091A">
              <w:rPr>
                <w:rFonts w:ascii="Cambria" w:eastAsia="Times New Roman" w:hAnsi="Cambria" w:cs="Times New Roman"/>
                <w:color w:val="000000"/>
              </w:rPr>
              <w:t>&gt;</w:t>
            </w:r>
            <w:r w:rsidRPr="002C6FAB">
              <w:rPr>
                <w:rFonts w:ascii="Cambria" w:eastAsia="Times New Roman" w:hAnsi="Cambria" w:cs="Times New Roman"/>
              </w:rPr>
              <w:t>Acesso em 31 set. 2012.</w:t>
            </w:r>
          </w:p>
        </w:tc>
      </w:tr>
      <w:tr w:rsidR="00E049DA" w:rsidRPr="0015091A" w14:paraId="6A9DB5D8" w14:textId="77777777" w:rsidTr="002C6FAB">
        <w:trPr>
          <w:trHeight w:val="20"/>
        </w:trPr>
        <w:tc>
          <w:tcPr>
            <w:tcW w:w="9215" w:type="dxa"/>
            <w:shd w:val="clear" w:color="auto" w:fill="auto"/>
            <w:vAlign w:val="center"/>
          </w:tcPr>
          <w:p w14:paraId="57DD94AE" w14:textId="77777777" w:rsidR="00E049DA" w:rsidRPr="0015091A" w:rsidRDefault="00E049DA" w:rsidP="009D01BE">
            <w:pPr>
              <w:spacing w:after="120" w:line="240" w:lineRule="auto"/>
              <w:jc w:val="left"/>
              <w:rPr>
                <w:rFonts w:ascii="Cambria" w:eastAsia="Times New Roman" w:hAnsi="Cambria" w:cs="Times New Roman"/>
                <w:color w:val="000000"/>
                <w:highlight w:val="green"/>
              </w:rPr>
            </w:pPr>
            <w:r w:rsidRPr="0015091A">
              <w:rPr>
                <w:rFonts w:ascii="Cambria" w:eastAsia="Times New Roman" w:hAnsi="Cambria" w:cs="Times New Roman"/>
                <w:color w:val="000000"/>
              </w:rPr>
              <w:t xml:space="preserve">ELASTEC, Website Institucional. Disponível em </w:t>
            </w:r>
            <w:hyperlink r:id="rId85" w:history="1">
              <w:r w:rsidRPr="0015091A">
                <w:rPr>
                  <w:rStyle w:val="Hyperlink"/>
                  <w:rFonts w:ascii="Cambria" w:eastAsia="Times New Roman" w:hAnsi="Cambria" w:cs="Times New Roman"/>
                </w:rPr>
                <w:t>https://www.elastec.com/</w:t>
              </w:r>
            </w:hyperlink>
            <w:r w:rsidRPr="0015091A">
              <w:rPr>
                <w:rFonts w:ascii="Cambria" w:eastAsia="Times New Roman" w:hAnsi="Cambria" w:cs="Times New Roman"/>
                <w:color w:val="000000"/>
              </w:rPr>
              <w:t xml:space="preserve">&gt; </w:t>
            </w:r>
            <w:r w:rsidRPr="0015091A">
              <w:rPr>
                <w:rFonts w:ascii="Cambria" w:eastAsia="Times New Roman" w:hAnsi="Cambria" w:cs="Times New Roman"/>
              </w:rPr>
              <w:t>Acesso em 27 fev. 2015.</w:t>
            </w:r>
          </w:p>
        </w:tc>
      </w:tr>
      <w:tr w:rsidR="00E049DA" w:rsidRPr="0015091A" w14:paraId="62A8A215" w14:textId="77777777" w:rsidTr="002C6FAB">
        <w:trPr>
          <w:trHeight w:val="20"/>
        </w:trPr>
        <w:tc>
          <w:tcPr>
            <w:tcW w:w="9215" w:type="dxa"/>
            <w:shd w:val="clear" w:color="auto" w:fill="auto"/>
            <w:vAlign w:val="center"/>
            <w:hideMark/>
          </w:tcPr>
          <w:p w14:paraId="3F56091E"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EMBRAPA, Website Institucional. Disponível em &lt; </w:t>
            </w:r>
            <w:hyperlink r:id="rId86" w:history="1">
              <w:r w:rsidR="002545A3" w:rsidRPr="00AA16C9">
                <w:rPr>
                  <w:rStyle w:val="Hyperlink"/>
                  <w:rFonts w:ascii="Cambria" w:eastAsia="Times New Roman" w:hAnsi="Cambria" w:cs="Times New Roman"/>
                </w:rPr>
                <w:t>https://www.sat.cnpm.embrapa.br/ conteudo/radarsat.html</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set. 2012.</w:t>
            </w:r>
          </w:p>
        </w:tc>
      </w:tr>
      <w:tr w:rsidR="00E049DA" w:rsidRPr="00771DBB" w14:paraId="25A3ECEE" w14:textId="77777777" w:rsidTr="002C6FAB">
        <w:trPr>
          <w:trHeight w:val="20"/>
        </w:trPr>
        <w:tc>
          <w:tcPr>
            <w:tcW w:w="9215" w:type="dxa"/>
            <w:shd w:val="clear" w:color="auto" w:fill="auto"/>
            <w:vAlign w:val="center"/>
          </w:tcPr>
          <w:p w14:paraId="7A5EE5D4" w14:textId="77777777" w:rsidR="00E049DA" w:rsidRPr="0015091A" w:rsidRDefault="00E049DA" w:rsidP="009D01BE">
            <w:pPr>
              <w:spacing w:after="120" w:line="240" w:lineRule="auto"/>
              <w:ind w:left="284" w:hanging="284"/>
              <w:rPr>
                <w:rFonts w:ascii="Cambria" w:hAnsi="Cambria"/>
                <w:lang w:val="en-US"/>
              </w:rPr>
            </w:pPr>
            <w:r w:rsidRPr="0015091A">
              <w:rPr>
                <w:rFonts w:ascii="Cambria" w:hAnsi="Cambria" w:cs="Calibri"/>
                <w:lang w:val="en-US"/>
              </w:rPr>
              <w:t xml:space="preserve">FINGAS, M. </w:t>
            </w:r>
            <w:r w:rsidRPr="0015091A">
              <w:rPr>
                <w:rFonts w:ascii="Cambria" w:hAnsi="Cambria" w:cs="Calibri"/>
                <w:b/>
                <w:lang w:val="en-US"/>
              </w:rPr>
              <w:t>The Basics of Oil Spill Clean-up</w:t>
            </w:r>
            <w:r w:rsidRPr="0015091A">
              <w:rPr>
                <w:rFonts w:ascii="Cambria" w:hAnsi="Cambria" w:cs="Calibri"/>
                <w:lang w:val="en-US"/>
              </w:rPr>
              <w:t>, CRC Press, Estados Unidos, 2000, 286 p.</w:t>
            </w:r>
          </w:p>
        </w:tc>
      </w:tr>
      <w:tr w:rsidR="00E049DA" w:rsidRPr="0015091A" w14:paraId="5207CC45" w14:textId="77777777" w:rsidTr="002C6FAB">
        <w:trPr>
          <w:trHeight w:val="20"/>
        </w:trPr>
        <w:tc>
          <w:tcPr>
            <w:tcW w:w="9215" w:type="dxa"/>
            <w:shd w:val="clear" w:color="auto" w:fill="auto"/>
            <w:vAlign w:val="center"/>
            <w:hideMark/>
          </w:tcPr>
          <w:p w14:paraId="1CC52421"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INMET - Glossário. Disponível em: </w:t>
            </w:r>
            <w:hyperlink r:id="rId87" w:history="1">
              <w:r w:rsidR="00F84193" w:rsidRPr="00AA16C9">
                <w:rPr>
                  <w:rStyle w:val="Hyperlink"/>
                  <w:rFonts w:ascii="Cambria" w:eastAsia="Times New Roman" w:hAnsi="Cambria" w:cs="Times New Roman"/>
                </w:rPr>
                <w:t>http://www.inmet.gov.br/html/informacoes/glossario/ glossario.html</w:t>
              </w:r>
            </w:hyperlink>
            <w:r w:rsidRPr="0015091A">
              <w:rPr>
                <w:rFonts w:ascii="Cambria" w:eastAsia="Times New Roman" w:hAnsi="Cambria" w:cs="Times New Roman"/>
                <w:color w:val="000000"/>
              </w:rPr>
              <w:t>&gt; Acesso em 21 jan. 2015.</w:t>
            </w:r>
          </w:p>
        </w:tc>
      </w:tr>
      <w:tr w:rsidR="00E049DA" w:rsidRPr="00771DBB" w14:paraId="43A4D8DD" w14:textId="77777777" w:rsidTr="002C6FAB">
        <w:trPr>
          <w:trHeight w:val="20"/>
        </w:trPr>
        <w:tc>
          <w:tcPr>
            <w:tcW w:w="9215" w:type="dxa"/>
            <w:shd w:val="clear" w:color="auto" w:fill="auto"/>
            <w:vAlign w:val="center"/>
          </w:tcPr>
          <w:p w14:paraId="10345B72" w14:textId="77777777" w:rsidR="00E049DA" w:rsidRPr="0015091A" w:rsidRDefault="00E049DA" w:rsidP="009D01BE">
            <w:pPr>
              <w:spacing w:after="120" w:line="240" w:lineRule="auto"/>
              <w:ind w:left="6"/>
              <w:rPr>
                <w:rFonts w:ascii="Cambria" w:eastAsia="Times New Roman" w:hAnsi="Cambria" w:cs="Arial"/>
                <w:color w:val="000000"/>
                <w:lang w:val="en-US"/>
              </w:rPr>
            </w:pPr>
            <w:r w:rsidRPr="0015091A">
              <w:rPr>
                <w:rFonts w:ascii="Cambria" w:eastAsia="Times New Roman" w:hAnsi="Cambria" w:cs="Arial"/>
                <w:color w:val="000000"/>
                <w:lang w:val="en-US"/>
              </w:rPr>
              <w:t xml:space="preserve">IPIECA. </w:t>
            </w:r>
            <w:r w:rsidRPr="0015091A">
              <w:rPr>
                <w:rFonts w:ascii="Cambria" w:eastAsia="Times New Roman" w:hAnsi="Cambria" w:cs="Arial"/>
                <w:b/>
                <w:color w:val="000000"/>
                <w:lang w:val="en-US"/>
              </w:rPr>
              <w:t>Oil Spill Preparedness and Response: Report Series Summary</w:t>
            </w:r>
            <w:r w:rsidRPr="0015091A">
              <w:rPr>
                <w:rFonts w:ascii="Cambria" w:eastAsia="Times New Roman" w:hAnsi="Cambria" w:cs="Arial"/>
                <w:color w:val="000000"/>
                <w:lang w:val="en-US"/>
              </w:rPr>
              <w:t>: 1998 – 2008, Reino Unido, 44 p.</w:t>
            </w:r>
          </w:p>
        </w:tc>
      </w:tr>
      <w:tr w:rsidR="00E049DA" w:rsidRPr="00511B28" w14:paraId="4654C378" w14:textId="77777777" w:rsidTr="002C6FAB">
        <w:trPr>
          <w:trHeight w:val="20"/>
        </w:trPr>
        <w:tc>
          <w:tcPr>
            <w:tcW w:w="9215" w:type="dxa"/>
            <w:shd w:val="clear" w:color="auto" w:fill="auto"/>
            <w:vAlign w:val="center"/>
            <w:hideMark/>
          </w:tcPr>
          <w:p w14:paraId="262075D2" w14:textId="31AE70D4" w:rsidR="00E049DA" w:rsidRPr="002C6FAB"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 xml:space="preserve">IPIECA. </w:t>
            </w:r>
            <w:r w:rsidRPr="0015091A">
              <w:rPr>
                <w:rFonts w:ascii="Cambria" w:eastAsia="Times New Roman" w:hAnsi="Cambria" w:cs="Arial"/>
                <w:b/>
                <w:color w:val="000000"/>
                <w:lang w:val="en-US"/>
              </w:rPr>
              <w:t>Oil Spill Report Series:</w:t>
            </w:r>
            <w:r w:rsidRPr="0015091A">
              <w:rPr>
                <w:rFonts w:ascii="Cambria" w:eastAsia="Times New Roman" w:hAnsi="Cambria" w:cs="Arial"/>
                <w:color w:val="000000"/>
                <w:lang w:val="en-US"/>
              </w:rPr>
              <w:t xml:space="preserve"> </w:t>
            </w:r>
            <w:r w:rsidR="00511B28" w:rsidRPr="0015091A">
              <w:rPr>
                <w:rFonts w:ascii="Cambria" w:eastAsia="Times New Roman" w:hAnsi="Cambria" w:cs="Arial"/>
                <w:color w:val="000000"/>
                <w:lang w:val="en-US"/>
              </w:rPr>
              <w:t>200</w:t>
            </w:r>
            <w:r w:rsidR="00511B28">
              <w:rPr>
                <w:rFonts w:ascii="Cambria" w:eastAsia="Times New Roman" w:hAnsi="Cambria" w:cs="Arial"/>
                <w:color w:val="000000"/>
                <w:lang w:val="en-US"/>
              </w:rPr>
              <w:t>8</w:t>
            </w:r>
            <w:r w:rsidRPr="0015091A">
              <w:rPr>
                <w:rFonts w:ascii="Cambria" w:eastAsia="Times New Roman" w:hAnsi="Cambria" w:cs="Arial"/>
                <w:color w:val="000000"/>
                <w:lang w:val="en-US"/>
              </w:rPr>
              <w:t>-</w:t>
            </w:r>
            <w:r w:rsidR="00511B28" w:rsidRPr="0015091A">
              <w:rPr>
                <w:rFonts w:ascii="Cambria" w:eastAsia="Times New Roman" w:hAnsi="Cambria" w:cs="Arial"/>
                <w:color w:val="000000"/>
                <w:lang w:val="en-US"/>
              </w:rPr>
              <w:t>201</w:t>
            </w:r>
            <w:r w:rsidR="00511B28">
              <w:rPr>
                <w:rFonts w:ascii="Cambria" w:eastAsia="Times New Roman" w:hAnsi="Cambria" w:cs="Arial"/>
                <w:color w:val="000000"/>
                <w:lang w:val="en-US"/>
              </w:rPr>
              <w:t>4</w:t>
            </w:r>
            <w:r w:rsidRPr="0015091A">
              <w:rPr>
                <w:rFonts w:ascii="Cambria" w:eastAsia="Times New Roman" w:hAnsi="Cambria" w:cs="Arial"/>
                <w:color w:val="000000"/>
                <w:lang w:val="en-US"/>
              </w:rPr>
              <w:t>, Reino Unido</w:t>
            </w:r>
            <w:r w:rsidR="00511B28">
              <w:rPr>
                <w:rFonts w:ascii="Cambria" w:eastAsia="Times New Roman" w:hAnsi="Cambria" w:cs="Arial"/>
                <w:color w:val="000000"/>
                <w:lang w:val="en-US"/>
              </w:rPr>
              <w:t xml:space="preserve">. </w:t>
            </w:r>
            <w:r w:rsidR="00511B28" w:rsidRPr="002C6FAB">
              <w:rPr>
                <w:rFonts w:ascii="Cambria" w:eastAsia="Times New Roman" w:hAnsi="Cambria" w:cs="Arial"/>
                <w:color w:val="000000"/>
              </w:rPr>
              <w:t xml:space="preserve">Disponível em </w:t>
            </w:r>
            <w:hyperlink r:id="rId88" w:history="1">
              <w:r w:rsidR="00511B28" w:rsidRPr="006279A2">
                <w:rPr>
                  <w:rStyle w:val="Hyperlink"/>
                  <w:rFonts w:ascii="Cambria" w:eastAsia="Times New Roman" w:hAnsi="Cambria" w:cs="Arial"/>
                </w:rPr>
                <w:t>http://www.ipieca.org/library?tid[0]=8&amp;language=en&amp;date_filter[value][year]=&amp;keys=&amp;_x=30&amp;_y=11</w:t>
              </w:r>
            </w:hyperlink>
            <w:r w:rsidR="00656D39">
              <w:rPr>
                <w:rFonts w:ascii="Cambria" w:eastAsia="Times New Roman" w:hAnsi="Cambria" w:cs="Arial"/>
                <w:color w:val="000000"/>
              </w:rPr>
              <w:t xml:space="preserve"> </w:t>
            </w:r>
          </w:p>
        </w:tc>
      </w:tr>
      <w:tr w:rsidR="00F84193" w:rsidRPr="00771DBB" w14:paraId="51703BA2" w14:textId="77777777" w:rsidTr="002C6FAB">
        <w:trPr>
          <w:trHeight w:val="20"/>
        </w:trPr>
        <w:tc>
          <w:tcPr>
            <w:tcW w:w="9215" w:type="dxa"/>
            <w:shd w:val="clear" w:color="auto" w:fill="auto"/>
            <w:vAlign w:val="center"/>
          </w:tcPr>
          <w:p w14:paraId="4670BE93" w14:textId="6F049D70" w:rsidR="00D275CF" w:rsidRDefault="00D275CF" w:rsidP="009D01BE">
            <w:pPr>
              <w:spacing w:after="120" w:line="240" w:lineRule="auto"/>
              <w:jc w:val="left"/>
              <w:rPr>
                <w:rFonts w:ascii="Cambria" w:eastAsia="Times New Roman" w:hAnsi="Cambria" w:cs="Times New Roman"/>
                <w:color w:val="000000"/>
                <w:lang w:val="en-US"/>
              </w:rPr>
            </w:pPr>
            <w:r w:rsidRPr="00D275CF">
              <w:rPr>
                <w:rFonts w:ascii="Cambria" w:eastAsia="Times New Roman" w:hAnsi="Cambria" w:cs="Times New Roman"/>
                <w:color w:val="000000"/>
                <w:lang w:val="en-US"/>
              </w:rPr>
              <w:t>IPIECA/IOGP: JIT 17 (The use of decanting offshore oil spill recovery operations (2013)</w:t>
            </w:r>
          </w:p>
          <w:p w14:paraId="1F18BD5D" w14:textId="6B280762" w:rsidR="00D275CF" w:rsidRDefault="00D275CF" w:rsidP="009D01BE">
            <w:pPr>
              <w:spacing w:after="120" w:line="240" w:lineRule="auto"/>
              <w:jc w:val="left"/>
              <w:rPr>
                <w:rFonts w:ascii="Cambria" w:eastAsia="Times New Roman" w:hAnsi="Cambria" w:cs="Times New Roman"/>
                <w:color w:val="000000"/>
                <w:lang w:val="en-US"/>
              </w:rPr>
            </w:pPr>
            <w:r w:rsidRPr="00D275CF">
              <w:rPr>
                <w:rFonts w:ascii="Cambria" w:eastAsia="Times New Roman" w:hAnsi="Cambria" w:cs="Times New Roman"/>
                <w:color w:val="000000"/>
                <w:lang w:val="en-US"/>
              </w:rPr>
              <w:t>ISCO: Guidelines for decanting settled out water (2012)</w:t>
            </w:r>
          </w:p>
          <w:p w14:paraId="3CDBA5B1" w14:textId="77777777" w:rsidR="00F84193" w:rsidRPr="00F84193" w:rsidRDefault="00F84193" w:rsidP="009D01BE">
            <w:pPr>
              <w:spacing w:after="120" w:line="240" w:lineRule="auto"/>
              <w:jc w:val="left"/>
              <w:rPr>
                <w:rFonts w:ascii="Cambria" w:eastAsia="Times New Roman" w:hAnsi="Cambria" w:cs="Times New Roman"/>
                <w:color w:val="000000"/>
                <w:lang w:val="en-US"/>
              </w:rPr>
            </w:pPr>
            <w:r w:rsidRPr="00F84193">
              <w:rPr>
                <w:rFonts w:ascii="Cambria" w:eastAsia="Times New Roman" w:hAnsi="Cambria" w:cs="Times New Roman"/>
                <w:color w:val="000000"/>
                <w:lang w:val="en-US"/>
              </w:rPr>
              <w:t>ITOPF, Aerial Observation of Oil: Technical Information Paper Nº1, 2009, Reino Unido, 8 p.</w:t>
            </w:r>
          </w:p>
        </w:tc>
      </w:tr>
      <w:tr w:rsidR="00E049DA" w:rsidRPr="0015091A" w14:paraId="4FD71F85" w14:textId="77777777" w:rsidTr="002C6FAB">
        <w:trPr>
          <w:trHeight w:val="20"/>
        </w:trPr>
        <w:tc>
          <w:tcPr>
            <w:tcW w:w="9215" w:type="dxa"/>
            <w:shd w:val="clear" w:color="auto" w:fill="auto"/>
            <w:vAlign w:val="center"/>
            <w:hideMark/>
          </w:tcPr>
          <w:p w14:paraId="59ACA8DE"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ITOPF - Countries &amp; Regions Profile. Disponível em: &lt;http://www.itopf.com/knowledge-resources/countries-regions/&gt; Acesso em 16 jan. 2015.</w:t>
            </w:r>
          </w:p>
        </w:tc>
      </w:tr>
      <w:tr w:rsidR="00E049DA" w:rsidRPr="0015091A" w14:paraId="75DA962F" w14:textId="77777777" w:rsidTr="002C6FAB">
        <w:trPr>
          <w:trHeight w:val="20"/>
        </w:trPr>
        <w:tc>
          <w:tcPr>
            <w:tcW w:w="9215" w:type="dxa"/>
            <w:shd w:val="clear" w:color="auto" w:fill="auto"/>
            <w:vAlign w:val="center"/>
          </w:tcPr>
          <w:p w14:paraId="0AE1071D"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MARINE ROBOTICS – Ocean Eye. Disponível em </w:t>
            </w:r>
            <w:hyperlink r:id="rId89" w:history="1">
              <w:r w:rsidR="00F84193" w:rsidRPr="00AA16C9">
                <w:rPr>
                  <w:rStyle w:val="Hyperlink"/>
                  <w:rFonts w:ascii="Cambria" w:eastAsia="Times New Roman" w:hAnsi="Cambria" w:cs="Times New Roman"/>
                </w:rPr>
                <w:t>http://www.maritimerobotics.com/systems/ ocean-eye/</w:t>
              </w:r>
            </w:hyperlink>
            <w:r w:rsidRPr="0015091A">
              <w:rPr>
                <w:rFonts w:ascii="Cambria" w:eastAsia="Times New Roman" w:hAnsi="Cambria" w:cs="Times New Roman"/>
                <w:color w:val="000000"/>
              </w:rPr>
              <w:t>&gt; Acesso em 20 mar. 2015.</w:t>
            </w:r>
          </w:p>
        </w:tc>
      </w:tr>
      <w:tr w:rsidR="00E049DA" w:rsidRPr="0015091A" w14:paraId="3D28C882" w14:textId="77777777" w:rsidTr="002C6FAB">
        <w:trPr>
          <w:trHeight w:val="20"/>
        </w:trPr>
        <w:tc>
          <w:tcPr>
            <w:tcW w:w="9215" w:type="dxa"/>
            <w:shd w:val="clear" w:color="auto" w:fill="auto"/>
            <w:vAlign w:val="center"/>
            <w:hideMark/>
          </w:tcPr>
          <w:p w14:paraId="5DC0812F"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MARINE TRAFFIC, Website Institucional, Disponível em </w:t>
            </w:r>
            <w:hyperlink r:id="rId90" w:history="1">
              <w:r w:rsidRPr="0015091A">
                <w:rPr>
                  <w:rStyle w:val="Hyperlink"/>
                  <w:rFonts w:ascii="Cambria" w:eastAsia="Times New Roman" w:hAnsi="Cambria" w:cs="Times New Roman"/>
                </w:rPr>
                <w:t>https://www.MarineTraffic.com</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set. 2012.</w:t>
            </w:r>
          </w:p>
        </w:tc>
      </w:tr>
      <w:tr w:rsidR="00E049DA" w:rsidRPr="00656D39" w14:paraId="19C8F5FB" w14:textId="77777777" w:rsidTr="002C6FAB">
        <w:trPr>
          <w:trHeight w:val="20"/>
        </w:trPr>
        <w:tc>
          <w:tcPr>
            <w:tcW w:w="9215" w:type="dxa"/>
            <w:shd w:val="clear" w:color="auto" w:fill="auto"/>
            <w:vAlign w:val="center"/>
            <w:hideMark/>
          </w:tcPr>
          <w:p w14:paraId="60A0F44C" w14:textId="32401AFF" w:rsidR="00E049DA" w:rsidRPr="0015091A" w:rsidRDefault="00E049DA" w:rsidP="009D01BE">
            <w:pPr>
              <w:spacing w:after="120" w:line="240" w:lineRule="auto"/>
              <w:jc w:val="left"/>
              <w:rPr>
                <w:rFonts w:ascii="Cambria" w:eastAsia="Times New Roman" w:hAnsi="Cambria" w:cs="Arial"/>
                <w:color w:val="000000"/>
                <w:lang w:val="en-US"/>
              </w:rPr>
            </w:pPr>
            <w:r w:rsidRPr="0015091A">
              <w:rPr>
                <w:rFonts w:ascii="Cambria" w:eastAsia="Times New Roman" w:hAnsi="Cambria" w:cs="Arial"/>
                <w:color w:val="000000"/>
                <w:lang w:val="en-US"/>
              </w:rPr>
              <w:lastRenderedPageBreak/>
              <w:t>MILLS, C.; MERRICK, G.; DEAL, V.; DE BETTENCOURT, M. AND DEAL, T</w:t>
            </w:r>
            <w:r w:rsidR="00656D39">
              <w:rPr>
                <w:rFonts w:ascii="Cambria" w:eastAsia="Times New Roman" w:hAnsi="Cambria" w:cs="Arial"/>
                <w:color w:val="000000"/>
                <w:lang w:val="en-US"/>
              </w:rPr>
              <w:t>.</w:t>
            </w:r>
            <w:r w:rsidRPr="0015091A">
              <w:rPr>
                <w:rFonts w:ascii="Cambria" w:eastAsia="Times New Roman" w:hAnsi="Cambria" w:cs="Arial"/>
                <w:b/>
                <w:bCs/>
                <w:color w:val="000000"/>
                <w:lang w:val="en-US"/>
              </w:rPr>
              <w:t>Beyond Initial Response – Using the National Incident Management System’s Incident Command System.</w:t>
            </w:r>
            <w:r w:rsidRPr="0015091A">
              <w:rPr>
                <w:rFonts w:ascii="Cambria" w:eastAsia="Times New Roman" w:hAnsi="Cambria" w:cs="Arial"/>
                <w:color w:val="000000"/>
                <w:lang w:val="en-US"/>
              </w:rPr>
              <w:t xml:space="preserve"> 2</w:t>
            </w:r>
            <w:r w:rsidRPr="0015091A">
              <w:rPr>
                <w:rFonts w:ascii="Cambria" w:eastAsia="Times New Roman" w:hAnsi="Cambria" w:cs="Arial"/>
                <w:color w:val="000000"/>
                <w:vertAlign w:val="superscript"/>
                <w:lang w:val="en-US"/>
              </w:rPr>
              <w:t>nd</w:t>
            </w:r>
            <w:r w:rsidRPr="0015091A">
              <w:rPr>
                <w:rFonts w:ascii="Cambria" w:eastAsia="Times New Roman" w:hAnsi="Cambria" w:cs="Arial"/>
                <w:color w:val="000000"/>
                <w:lang w:val="en-US"/>
              </w:rPr>
              <w:t xml:space="preserve"> Ed. ISBN 978-1-4389-8861-0. Bloomington – IN, Maio, 2006, 320 p.</w:t>
            </w:r>
          </w:p>
        </w:tc>
      </w:tr>
      <w:tr w:rsidR="00E049DA" w:rsidRPr="0015091A" w14:paraId="5E29CD35" w14:textId="77777777" w:rsidTr="002C6FAB">
        <w:trPr>
          <w:trHeight w:val="20"/>
        </w:trPr>
        <w:tc>
          <w:tcPr>
            <w:tcW w:w="9215" w:type="dxa"/>
            <w:shd w:val="clear" w:color="auto" w:fill="auto"/>
            <w:vAlign w:val="center"/>
            <w:hideMark/>
          </w:tcPr>
          <w:p w14:paraId="4D916703"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MODIS, Website Institucional. Disponível em </w:t>
            </w:r>
            <w:hyperlink r:id="rId91" w:history="1">
              <w:r w:rsidRPr="0015091A">
                <w:rPr>
                  <w:rStyle w:val="Hyperlink"/>
                  <w:rFonts w:ascii="Cambria" w:eastAsia="Times New Roman" w:hAnsi="Cambria" w:cs="Times New Roman"/>
                </w:rPr>
                <w:t>http://modis.gsfc.nasa.gov</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481025B0" w14:textId="77777777" w:rsidTr="002C6FAB">
        <w:trPr>
          <w:trHeight w:val="20"/>
        </w:trPr>
        <w:tc>
          <w:tcPr>
            <w:tcW w:w="9215" w:type="dxa"/>
            <w:shd w:val="clear" w:color="auto" w:fill="auto"/>
            <w:vAlign w:val="center"/>
            <w:hideMark/>
          </w:tcPr>
          <w:p w14:paraId="04B25268" w14:textId="77777777" w:rsidR="00E049DA" w:rsidRPr="0015091A" w:rsidRDefault="00E049DA" w:rsidP="009D01BE">
            <w:pPr>
              <w:spacing w:after="120" w:line="240" w:lineRule="auto"/>
              <w:jc w:val="left"/>
              <w:rPr>
                <w:rFonts w:ascii="Cambria" w:eastAsia="Times New Roman" w:hAnsi="Cambria" w:cs="Times New Roman"/>
                <w:color w:val="000000"/>
              </w:rPr>
            </w:pPr>
            <w:r w:rsidRPr="002C6FAB">
              <w:rPr>
                <w:rFonts w:ascii="Cambria" w:eastAsia="Times New Roman" w:hAnsi="Cambria" w:cs="Times New Roman"/>
                <w:color w:val="000000"/>
                <w:lang w:val="en-US"/>
              </w:rPr>
              <w:t xml:space="preserve">NESDIS - National Environmental Satellite, Data, and Information Service. </w:t>
            </w:r>
            <w:r w:rsidRPr="0015091A">
              <w:rPr>
                <w:rFonts w:ascii="Cambria" w:eastAsia="Times New Roman" w:hAnsi="Cambria" w:cs="Times New Roman"/>
                <w:color w:val="000000"/>
              </w:rPr>
              <w:t xml:space="preserve">NOAA. Disponível em: </w:t>
            </w:r>
            <w:hyperlink r:id="rId92" w:history="1">
              <w:r w:rsidRPr="0015091A">
                <w:rPr>
                  <w:rStyle w:val="Hyperlink"/>
                  <w:rFonts w:ascii="Cambria" w:eastAsia="Times New Roman" w:hAnsi="Cambria" w:cs="Times New Roman"/>
                </w:rPr>
                <w:t>http://www.nesdis.noaa.gov/news_archives/valdez_anniversary.html</w:t>
              </w:r>
            </w:hyperlink>
            <w:r w:rsidRPr="0015091A">
              <w:rPr>
                <w:rFonts w:ascii="Cambria" w:eastAsia="Times New Roman" w:hAnsi="Cambria" w:cs="Times New Roman"/>
                <w:color w:val="000000"/>
              </w:rPr>
              <w:t>&gt; Acesso em 26 jan. 2015.</w:t>
            </w:r>
          </w:p>
        </w:tc>
      </w:tr>
      <w:tr w:rsidR="00E049DA" w:rsidRPr="0015091A" w14:paraId="689326CC" w14:textId="77777777" w:rsidTr="002C6FAB">
        <w:trPr>
          <w:trHeight w:val="20"/>
        </w:trPr>
        <w:tc>
          <w:tcPr>
            <w:tcW w:w="9215" w:type="dxa"/>
            <w:shd w:val="clear" w:color="auto" w:fill="auto"/>
            <w:vAlign w:val="center"/>
            <w:hideMark/>
          </w:tcPr>
          <w:p w14:paraId="2E82BCD6"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NOAA,</w:t>
            </w:r>
            <w:r w:rsidRPr="0015091A">
              <w:rPr>
                <w:rFonts w:ascii="Cambria" w:eastAsia="Times New Roman" w:hAnsi="Cambria" w:cs="Arial"/>
                <w:b/>
                <w:color w:val="000000"/>
                <w:lang w:val="en-US"/>
              </w:rPr>
              <w:t xml:space="preserve"> Characteristic Coastal Habitats</w:t>
            </w:r>
            <w:r w:rsidRPr="0015091A">
              <w:rPr>
                <w:rFonts w:ascii="Cambria" w:eastAsia="Times New Roman" w:hAnsi="Cambria" w:cs="Arial"/>
                <w:color w:val="000000"/>
                <w:lang w:val="en-US"/>
              </w:rPr>
              <w:t>: Choosing Spill Response Alternatives. 2000, Seattle, Washington, 86 p.</w:t>
            </w:r>
          </w:p>
        </w:tc>
      </w:tr>
      <w:tr w:rsidR="001C7262" w:rsidRPr="0015091A" w14:paraId="05028A5C" w14:textId="77777777" w:rsidTr="002C6FAB">
        <w:trPr>
          <w:trHeight w:val="20"/>
        </w:trPr>
        <w:tc>
          <w:tcPr>
            <w:tcW w:w="9215" w:type="dxa"/>
            <w:shd w:val="clear" w:color="auto" w:fill="auto"/>
            <w:vAlign w:val="center"/>
          </w:tcPr>
          <w:p w14:paraId="70443DC4" w14:textId="77777777" w:rsidR="001C7262" w:rsidRPr="001C7262" w:rsidRDefault="001C7262" w:rsidP="009D01BE">
            <w:pPr>
              <w:spacing w:after="120" w:line="240" w:lineRule="auto"/>
              <w:jc w:val="left"/>
              <w:rPr>
                <w:rFonts w:ascii="Cambria" w:eastAsia="Times New Roman" w:hAnsi="Cambria" w:cs="Arial"/>
                <w:color w:val="000000"/>
              </w:rPr>
            </w:pPr>
            <w:r w:rsidRPr="001C7262">
              <w:rPr>
                <w:rFonts w:ascii="Cambria" w:eastAsia="Times New Roman" w:hAnsi="Cambria" w:cs="Arial"/>
                <w:color w:val="000000"/>
              </w:rPr>
              <w:t>NOA</w:t>
            </w:r>
            <w:r>
              <w:rPr>
                <w:rFonts w:ascii="Cambria" w:eastAsia="Times New Roman" w:hAnsi="Cambria" w:cs="Arial"/>
                <w:color w:val="000000"/>
              </w:rPr>
              <w:t xml:space="preserve">A - Satellites, Disponível em: </w:t>
            </w:r>
            <w:r w:rsidRPr="001C7262">
              <w:rPr>
                <w:rStyle w:val="Hyperlink"/>
                <w:rFonts w:cs="Times New Roman"/>
              </w:rPr>
              <w:t>http://www.noaa.gov/satellites.html</w:t>
            </w:r>
            <w:r w:rsidRPr="001C7262">
              <w:rPr>
                <w:rFonts w:ascii="Cambria" w:eastAsia="Times New Roman" w:hAnsi="Cambria" w:cs="Arial"/>
                <w:color w:val="000000"/>
              </w:rPr>
              <w:t>&gt; Acesso em 27 fev. 2015.</w:t>
            </w:r>
          </w:p>
        </w:tc>
      </w:tr>
      <w:tr w:rsidR="00E049DA" w:rsidRPr="0015091A" w14:paraId="24480F8F" w14:textId="77777777" w:rsidTr="002C6FAB">
        <w:trPr>
          <w:trHeight w:val="20"/>
        </w:trPr>
        <w:tc>
          <w:tcPr>
            <w:tcW w:w="9215" w:type="dxa"/>
            <w:shd w:val="clear" w:color="auto" w:fill="auto"/>
            <w:vAlign w:val="center"/>
            <w:hideMark/>
          </w:tcPr>
          <w:p w14:paraId="4D828C2A"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NOFI - Current Buster, Disponível em: </w:t>
            </w:r>
            <w:hyperlink r:id="rId93" w:history="1">
              <w:r w:rsidRPr="0015091A">
                <w:rPr>
                  <w:rStyle w:val="Hyperlink"/>
                  <w:rFonts w:ascii="Cambria" w:eastAsia="Times New Roman" w:hAnsi="Cambria" w:cs="Times New Roman"/>
                </w:rPr>
                <w:t>http://www.nofi.no/nofi-current-busterareg-8.4663345-139608.html</w:t>
              </w:r>
            </w:hyperlink>
            <w:r w:rsidRPr="0015091A">
              <w:rPr>
                <w:rFonts w:ascii="Cambria" w:eastAsia="Times New Roman" w:hAnsi="Cambria" w:cs="Times New Roman"/>
                <w:color w:val="000000"/>
              </w:rPr>
              <w:t xml:space="preserve">&gt; Acesso </w:t>
            </w:r>
            <w:r w:rsidRPr="0015091A">
              <w:rPr>
                <w:rFonts w:ascii="Cambria" w:eastAsia="Times New Roman" w:hAnsi="Cambria" w:cs="Times New Roman"/>
              </w:rPr>
              <w:t>em 05 mar. 2015.</w:t>
            </w:r>
          </w:p>
        </w:tc>
      </w:tr>
      <w:tr w:rsidR="00E049DA" w:rsidRPr="0015091A" w14:paraId="6CE9B366" w14:textId="77777777" w:rsidTr="002C6FAB">
        <w:trPr>
          <w:trHeight w:val="20"/>
        </w:trPr>
        <w:tc>
          <w:tcPr>
            <w:tcW w:w="9215" w:type="dxa"/>
            <w:shd w:val="clear" w:color="auto" w:fill="auto"/>
            <w:vAlign w:val="center"/>
          </w:tcPr>
          <w:p w14:paraId="7B89B4CA" w14:textId="77777777" w:rsidR="00E049DA" w:rsidRPr="0015091A" w:rsidRDefault="00E049DA" w:rsidP="009D01BE">
            <w:pPr>
              <w:spacing w:after="120" w:line="240" w:lineRule="auto"/>
              <w:rPr>
                <w:rFonts w:ascii="Cambria" w:hAnsi="Cambria" w:cs="Calibri"/>
                <w:lang w:val="en-US"/>
              </w:rPr>
            </w:pPr>
            <w:r w:rsidRPr="0015091A">
              <w:rPr>
                <w:rFonts w:ascii="Cambria" w:hAnsi="Cambria" w:cs="Calibri"/>
                <w:lang w:val="en-US"/>
              </w:rPr>
              <w:t xml:space="preserve">NUKA REASEARCH AND PLANNING GROUP. </w:t>
            </w:r>
            <w:r w:rsidRPr="0015091A">
              <w:rPr>
                <w:rFonts w:ascii="Cambria" w:hAnsi="Cambria" w:cs="Calibri"/>
                <w:b/>
                <w:lang w:val="en-US"/>
              </w:rPr>
              <w:t>Spill Tactics for Alaska Responders</w:t>
            </w:r>
            <w:r w:rsidRPr="0015091A">
              <w:rPr>
                <w:rFonts w:ascii="Cambria" w:hAnsi="Cambria" w:cs="Calibri"/>
                <w:lang w:val="en-US"/>
              </w:rPr>
              <w:t>. Alaska, Março, 2014, 274 p.</w:t>
            </w:r>
          </w:p>
        </w:tc>
      </w:tr>
      <w:tr w:rsidR="00E049DA" w:rsidRPr="0015091A" w14:paraId="3E766124" w14:textId="77777777" w:rsidTr="002C6FAB">
        <w:trPr>
          <w:trHeight w:val="20"/>
        </w:trPr>
        <w:tc>
          <w:tcPr>
            <w:tcW w:w="9215" w:type="dxa"/>
            <w:shd w:val="clear" w:color="auto" w:fill="auto"/>
            <w:vAlign w:val="center"/>
            <w:hideMark/>
          </w:tcPr>
          <w:p w14:paraId="5C94405F" w14:textId="77777777" w:rsidR="00E049DA" w:rsidRPr="0015091A" w:rsidRDefault="00E049DA" w:rsidP="009D01BE">
            <w:pPr>
              <w:spacing w:after="120" w:line="240" w:lineRule="auto"/>
              <w:jc w:val="left"/>
              <w:rPr>
                <w:rFonts w:ascii="Cambria" w:eastAsia="Times New Roman" w:hAnsi="Cambria" w:cs="Times New Roman"/>
              </w:rPr>
            </w:pPr>
            <w:r w:rsidRPr="0015091A">
              <w:rPr>
                <w:rFonts w:ascii="Cambria" w:eastAsia="Times New Roman" w:hAnsi="Cambria" w:cs="Times New Roman"/>
                <w:bCs/>
                <w:lang w:val="en-US"/>
              </w:rPr>
              <w:t>OIL SPILL RESPONSE,</w:t>
            </w:r>
            <w:r w:rsidRPr="0015091A">
              <w:rPr>
                <w:rFonts w:ascii="Cambria" w:eastAsia="Times New Roman" w:hAnsi="Cambria" w:cs="Times New Roman"/>
                <w:b/>
                <w:bCs/>
                <w:lang w:val="en-US"/>
              </w:rPr>
              <w:t xml:space="preserve"> Aerial Surveillance Field Guide: A guide to aerial surveillance for oil spill operations. </w:t>
            </w:r>
            <w:r w:rsidRPr="0015091A">
              <w:rPr>
                <w:rFonts w:ascii="Cambria" w:eastAsia="Times New Roman" w:hAnsi="Cambria" w:cs="Times New Roman"/>
                <w:bCs/>
                <w:lang w:val="en-US"/>
              </w:rPr>
              <w:t>Dezembro, 2011, 20 p.</w:t>
            </w:r>
          </w:p>
        </w:tc>
      </w:tr>
      <w:tr w:rsidR="00E049DA" w:rsidRPr="00771DBB" w14:paraId="75405BCA" w14:textId="77777777" w:rsidTr="002C6FAB">
        <w:trPr>
          <w:trHeight w:val="20"/>
        </w:trPr>
        <w:tc>
          <w:tcPr>
            <w:tcW w:w="9215" w:type="dxa"/>
            <w:shd w:val="clear" w:color="auto" w:fill="auto"/>
            <w:vAlign w:val="center"/>
            <w:hideMark/>
          </w:tcPr>
          <w:p w14:paraId="5E7979BE" w14:textId="77777777" w:rsidR="00E049DA" w:rsidRPr="0015091A" w:rsidRDefault="00E049DA" w:rsidP="009D01BE">
            <w:pPr>
              <w:spacing w:after="120" w:line="240" w:lineRule="auto"/>
              <w:jc w:val="left"/>
              <w:rPr>
                <w:rFonts w:ascii="Cambria" w:eastAsia="Times New Roman" w:hAnsi="Cambria" w:cs="Arial"/>
                <w:color w:val="000000"/>
                <w:lang w:val="en-US"/>
              </w:rPr>
            </w:pPr>
            <w:r w:rsidRPr="0015091A">
              <w:rPr>
                <w:rFonts w:ascii="Cambria" w:eastAsia="Times New Roman" w:hAnsi="Cambria" w:cs="Arial"/>
                <w:bCs/>
                <w:color w:val="000000"/>
                <w:lang w:val="en-US"/>
              </w:rPr>
              <w:t>OSRL,</w:t>
            </w:r>
            <w:r w:rsidRPr="0015091A">
              <w:rPr>
                <w:rFonts w:ascii="Cambria" w:eastAsia="Times New Roman" w:hAnsi="Cambria" w:cs="Arial"/>
                <w:b/>
                <w:bCs/>
                <w:color w:val="000000"/>
                <w:lang w:val="en-US"/>
              </w:rPr>
              <w:t xml:space="preserve"> Dispersant Application Field Guide:</w:t>
            </w:r>
            <w:r w:rsidRPr="0015091A">
              <w:rPr>
                <w:rFonts w:ascii="Cambria" w:eastAsia="Times New Roman" w:hAnsi="Cambria" w:cs="Arial"/>
                <w:color w:val="000000"/>
                <w:lang w:val="en-US"/>
              </w:rPr>
              <w:t xml:space="preserve"> Oil Spill Response Series Number 9, Dezembro, 2011, 20 pp.</w:t>
            </w:r>
          </w:p>
        </w:tc>
      </w:tr>
      <w:tr w:rsidR="00E049DA" w:rsidRPr="0015091A" w14:paraId="5E68294F" w14:textId="77777777" w:rsidTr="002C6FAB">
        <w:trPr>
          <w:trHeight w:val="20"/>
        </w:trPr>
        <w:tc>
          <w:tcPr>
            <w:tcW w:w="9215" w:type="dxa"/>
            <w:shd w:val="clear" w:color="auto" w:fill="auto"/>
            <w:vAlign w:val="center"/>
          </w:tcPr>
          <w:p w14:paraId="410E588E" w14:textId="3E8F741F" w:rsidR="00E049DA" w:rsidRPr="0015091A" w:rsidRDefault="00E049DA" w:rsidP="009D01BE">
            <w:pPr>
              <w:spacing w:after="120" w:line="240" w:lineRule="auto"/>
              <w:ind w:left="5"/>
              <w:rPr>
                <w:rFonts w:ascii="Cambria" w:hAnsi="Cambria" w:cs="Calibri"/>
              </w:rPr>
            </w:pPr>
            <w:r w:rsidRPr="0015091A">
              <w:rPr>
                <w:rFonts w:ascii="Cambria" w:hAnsi="Cambria" w:cs="Calibri"/>
              </w:rPr>
              <w:t xml:space="preserve">POLARIS. Apostila do Curso: </w:t>
            </w:r>
            <w:r w:rsidRPr="0015091A">
              <w:rPr>
                <w:rFonts w:ascii="Cambria" w:hAnsi="Cambria" w:cs="Calibri"/>
                <w:b/>
              </w:rPr>
              <w:t>Shoreline and Oil Spill Response</w:t>
            </w:r>
            <w:r w:rsidRPr="0015091A">
              <w:rPr>
                <w:rFonts w:ascii="Cambria" w:hAnsi="Cambria" w:cs="Calibri"/>
              </w:rPr>
              <w:t>, Versão 3.1</w:t>
            </w:r>
            <w:r w:rsidR="00656D39">
              <w:rPr>
                <w:rFonts w:ascii="Cambria" w:hAnsi="Cambria" w:cs="Calibri"/>
              </w:rPr>
              <w:t>.</w:t>
            </w:r>
            <w:r w:rsidRPr="0015091A">
              <w:rPr>
                <w:rFonts w:ascii="Cambria" w:hAnsi="Cambria" w:cs="Calibri"/>
              </w:rPr>
              <w:t>Novembro, 2011</w:t>
            </w:r>
            <w:r w:rsidR="00023481">
              <w:rPr>
                <w:rFonts w:ascii="Cambria" w:hAnsi="Cambria" w:cs="Calibri"/>
              </w:rPr>
              <w:t>, 226 pp.</w:t>
            </w:r>
          </w:p>
        </w:tc>
      </w:tr>
      <w:tr w:rsidR="00E049DA" w:rsidRPr="0015091A" w14:paraId="3BF8AD47" w14:textId="77777777" w:rsidTr="002C6FAB">
        <w:trPr>
          <w:trHeight w:val="20"/>
        </w:trPr>
        <w:tc>
          <w:tcPr>
            <w:tcW w:w="9215" w:type="dxa"/>
            <w:shd w:val="clear" w:color="auto" w:fill="auto"/>
            <w:vAlign w:val="center"/>
          </w:tcPr>
          <w:p w14:paraId="5D05A0DA" w14:textId="77777777" w:rsidR="00E049DA" w:rsidRPr="0015091A" w:rsidRDefault="00E049DA" w:rsidP="009D01BE">
            <w:pPr>
              <w:spacing w:after="120" w:line="240" w:lineRule="auto"/>
              <w:jc w:val="left"/>
              <w:rPr>
                <w:rFonts w:ascii="Cambria" w:eastAsia="Times New Roman" w:hAnsi="Cambria" w:cs="Times New Roman"/>
                <w:color w:val="000000"/>
                <w:lang w:val="en-US" w:eastAsia="en-US"/>
              </w:rPr>
            </w:pPr>
            <w:r w:rsidRPr="0015091A">
              <w:rPr>
                <w:rFonts w:ascii="Cambria" w:eastAsia="Times New Roman" w:hAnsi="Cambria" w:cs="Times New Roman"/>
                <w:color w:val="000000"/>
              </w:rPr>
              <w:t xml:space="preserve">SECRETARIA DE ESTADO DE JUSTIÇA E SEGURANÇA PÚBLICA, </w:t>
            </w:r>
            <w:r w:rsidRPr="0015091A">
              <w:rPr>
                <w:rFonts w:ascii="Cambria" w:eastAsia="Times New Roman" w:hAnsi="Cambria" w:cs="Times New Roman"/>
                <w:b/>
                <w:color w:val="000000"/>
              </w:rPr>
              <w:t>Norma Técnica</w:t>
            </w:r>
            <w:r w:rsidRPr="0015091A">
              <w:rPr>
                <w:rFonts w:ascii="Cambria" w:eastAsia="Times New Roman" w:hAnsi="Cambria" w:cs="Times New Roman"/>
                <w:color w:val="000000"/>
              </w:rPr>
              <w:t xml:space="preserve"> nº 03/2013, Terminologia Plano de Emergência Contra Incêndio. Publicado no DOEMS N° 8429 – Suplemento n° 01.</w:t>
            </w:r>
          </w:p>
        </w:tc>
      </w:tr>
      <w:tr w:rsidR="00E049DA" w:rsidRPr="004C02ED" w14:paraId="2EDE45EA" w14:textId="77777777" w:rsidTr="002C6FAB">
        <w:trPr>
          <w:trHeight w:val="20"/>
        </w:trPr>
        <w:tc>
          <w:tcPr>
            <w:tcW w:w="9215" w:type="dxa"/>
            <w:shd w:val="clear" w:color="auto" w:fill="auto"/>
            <w:vAlign w:val="center"/>
            <w:hideMark/>
          </w:tcPr>
          <w:p w14:paraId="4E1C4DB7" w14:textId="77777777" w:rsidR="00E049DA" w:rsidRPr="004C02ED" w:rsidRDefault="00E049DA" w:rsidP="009D01BE">
            <w:pPr>
              <w:spacing w:after="120" w:line="240" w:lineRule="auto"/>
              <w:jc w:val="left"/>
              <w:rPr>
                <w:rFonts w:ascii="Cambria" w:eastAsia="Times New Roman" w:hAnsi="Cambria" w:cs="Times New Roman"/>
                <w:color w:val="000000"/>
              </w:rPr>
            </w:pPr>
            <w:r w:rsidRPr="004C02ED">
              <w:rPr>
                <w:rFonts w:ascii="Cambria" w:eastAsia="Times New Roman" w:hAnsi="Cambria" w:cs="Times New Roman"/>
                <w:color w:val="000000"/>
              </w:rPr>
              <w:t xml:space="preserve">SINTEF, Website Institucional. Disponível em </w:t>
            </w:r>
            <w:hyperlink r:id="rId94" w:history="1">
              <w:r w:rsidRPr="004C02ED">
                <w:rPr>
                  <w:rStyle w:val="Hyperlink"/>
                  <w:rFonts w:ascii="Cambria" w:eastAsia="Times New Roman" w:hAnsi="Cambria" w:cs="Times New Roman"/>
                </w:rPr>
                <w:t>https://www.sintef.no</w:t>
              </w:r>
            </w:hyperlink>
            <w:r w:rsidRPr="004C02ED">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777634A2" w14:textId="77777777" w:rsidTr="002C6FAB">
        <w:trPr>
          <w:trHeight w:val="20"/>
        </w:trPr>
        <w:tc>
          <w:tcPr>
            <w:tcW w:w="9215" w:type="dxa"/>
            <w:shd w:val="clear" w:color="auto" w:fill="auto"/>
            <w:vAlign w:val="center"/>
            <w:hideMark/>
          </w:tcPr>
          <w:p w14:paraId="79B032EF" w14:textId="2A0F4C48" w:rsidR="00D275CF" w:rsidRPr="00D275CF" w:rsidRDefault="00D275CF" w:rsidP="009D01BE">
            <w:pPr>
              <w:spacing w:after="120" w:line="240" w:lineRule="auto"/>
              <w:jc w:val="left"/>
              <w:rPr>
                <w:rFonts w:ascii="Cambria" w:eastAsia="Times New Roman" w:hAnsi="Cambria" w:cs="Arial"/>
                <w:color w:val="000000"/>
                <w:lang w:val="en-US"/>
              </w:rPr>
            </w:pPr>
            <w:r w:rsidRPr="00D275CF">
              <w:rPr>
                <w:rFonts w:ascii="Cambria" w:eastAsia="Times New Roman" w:hAnsi="Cambria" w:cs="Arial" w:hint="eastAsia"/>
                <w:color w:val="000000"/>
                <w:lang w:val="en-US"/>
              </w:rPr>
              <w:t>SOSC: Oil Spill Decanting Application/Autorization Form (Alaska ‐ 2005)</w:t>
            </w:r>
          </w:p>
          <w:p w14:paraId="202CF315" w14:textId="1D18C7C8"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rPr>
              <w:t>THOMAS, J. E</w:t>
            </w:r>
            <w:r w:rsidR="00656D39">
              <w:rPr>
                <w:rFonts w:ascii="Cambria" w:eastAsia="Times New Roman" w:hAnsi="Cambria" w:cs="Arial"/>
                <w:color w:val="000000"/>
              </w:rPr>
              <w:t>.</w:t>
            </w:r>
            <w:r w:rsidRPr="0015091A">
              <w:rPr>
                <w:rFonts w:ascii="Cambria" w:eastAsia="Times New Roman" w:hAnsi="Cambria" w:cs="Arial"/>
                <w:b/>
                <w:bCs/>
                <w:color w:val="000000"/>
              </w:rPr>
              <w:t>Fundamentos da Engenharia do Petróleo.</w:t>
            </w:r>
            <w:r w:rsidRPr="0015091A">
              <w:rPr>
                <w:rFonts w:ascii="Cambria" w:eastAsia="Times New Roman" w:hAnsi="Cambria" w:cs="Arial"/>
                <w:color w:val="000000"/>
              </w:rPr>
              <w:t xml:space="preserve"> Rio de Janeiro: Interciência</w:t>
            </w:r>
            <w:r w:rsidRPr="0015091A">
              <w:rPr>
                <w:rFonts w:ascii="Cambria" w:eastAsia="Times New Roman" w:hAnsi="Cambria" w:cs="Arial"/>
              </w:rPr>
              <w:t xml:space="preserve">, </w:t>
            </w:r>
            <w:r w:rsidRPr="0015091A">
              <w:rPr>
                <w:rFonts w:ascii="Cambria" w:eastAsia="Times New Roman" w:hAnsi="Cambria"/>
                <w:bCs/>
              </w:rPr>
              <w:t>2004, 272 p</w:t>
            </w:r>
            <w:r w:rsidRPr="0015091A">
              <w:rPr>
                <w:rFonts w:ascii="Cambria" w:eastAsia="Times New Roman" w:hAnsi="Cambria"/>
                <w:b/>
                <w:bCs/>
              </w:rPr>
              <w:t>.</w:t>
            </w:r>
          </w:p>
        </w:tc>
      </w:tr>
      <w:tr w:rsidR="00E049DA" w:rsidRPr="0015091A" w14:paraId="59CA071D" w14:textId="77777777" w:rsidTr="002C6FAB">
        <w:trPr>
          <w:trHeight w:val="20"/>
        </w:trPr>
        <w:tc>
          <w:tcPr>
            <w:tcW w:w="9215" w:type="dxa"/>
            <w:shd w:val="clear" w:color="auto" w:fill="auto"/>
            <w:vAlign w:val="center"/>
            <w:hideMark/>
          </w:tcPr>
          <w:p w14:paraId="0CCE1A0C" w14:textId="77777777" w:rsidR="00E049DA" w:rsidRPr="0015091A" w:rsidRDefault="00E049DA" w:rsidP="009D01BE">
            <w:pPr>
              <w:spacing w:after="120" w:line="240" w:lineRule="auto"/>
              <w:jc w:val="left"/>
              <w:rPr>
                <w:rFonts w:ascii="Cambria" w:eastAsia="Times New Roman" w:hAnsi="Cambria" w:cs="Times New Roman"/>
                <w:color w:val="000000"/>
              </w:rPr>
            </w:pPr>
            <w:r w:rsidRPr="0015091A">
              <w:rPr>
                <w:rFonts w:ascii="Cambria" w:eastAsia="Times New Roman" w:hAnsi="Cambria" w:cs="Times New Roman"/>
                <w:color w:val="000000"/>
              </w:rPr>
              <w:t xml:space="preserve">THREETEK Soluções em Geomática, Website Institucional. Disponível em </w:t>
            </w:r>
            <w:hyperlink r:id="rId95" w:history="1">
              <w:r w:rsidRPr="0015091A">
                <w:rPr>
                  <w:rStyle w:val="Hyperlink"/>
                  <w:rFonts w:ascii="Cambria" w:eastAsia="Times New Roman" w:hAnsi="Cambria" w:cs="Times New Roman"/>
                </w:rPr>
                <w:t>https://www.threetek.com</w:t>
              </w:r>
            </w:hyperlink>
            <w:r w:rsidRPr="0015091A">
              <w:rPr>
                <w:rFonts w:ascii="Cambria" w:eastAsia="Times New Roman" w:hAnsi="Cambria" w:cs="Times New Roman"/>
                <w:color w:val="000000"/>
              </w:rPr>
              <w:t xml:space="preserve">&gt; </w:t>
            </w:r>
            <w:r w:rsidRPr="002C6FAB">
              <w:rPr>
                <w:rFonts w:ascii="Cambria" w:eastAsia="Times New Roman" w:hAnsi="Cambria" w:cs="Times New Roman"/>
              </w:rPr>
              <w:t>Acesso em 31 ago. 2012.</w:t>
            </w:r>
          </w:p>
        </w:tc>
      </w:tr>
      <w:tr w:rsidR="00E049DA" w:rsidRPr="0015091A" w14:paraId="5FB5E4D8" w14:textId="77777777" w:rsidTr="002C6FAB">
        <w:trPr>
          <w:trHeight w:val="20"/>
        </w:trPr>
        <w:tc>
          <w:tcPr>
            <w:tcW w:w="9215" w:type="dxa"/>
            <w:shd w:val="clear" w:color="auto" w:fill="auto"/>
            <w:vAlign w:val="center"/>
            <w:hideMark/>
          </w:tcPr>
          <w:p w14:paraId="367FCBB0" w14:textId="77777777" w:rsidR="00E049DA" w:rsidRPr="0015091A" w:rsidRDefault="00E049DA" w:rsidP="009D01BE">
            <w:pPr>
              <w:spacing w:after="120" w:line="240" w:lineRule="auto"/>
              <w:jc w:val="left"/>
              <w:rPr>
                <w:rFonts w:ascii="Cambria" w:eastAsia="Times New Roman" w:hAnsi="Cambria" w:cs="Arial"/>
                <w:color w:val="000000"/>
              </w:rPr>
            </w:pPr>
            <w:r w:rsidRPr="0015091A">
              <w:rPr>
                <w:rFonts w:ascii="Cambria" w:eastAsia="Times New Roman" w:hAnsi="Cambria" w:cs="Arial"/>
                <w:color w:val="000000"/>
                <w:lang w:val="en-US"/>
              </w:rPr>
              <w:t xml:space="preserve">US Coast Guard (USCG), </w:t>
            </w:r>
            <w:r w:rsidRPr="0015091A">
              <w:rPr>
                <w:rFonts w:ascii="Cambria" w:eastAsia="Times New Roman" w:hAnsi="Cambria" w:cs="Arial"/>
                <w:b/>
                <w:color w:val="000000"/>
                <w:lang w:val="en-US"/>
              </w:rPr>
              <w:t>Incident Management Handbook</w:t>
            </w:r>
            <w:r w:rsidRPr="0015091A">
              <w:rPr>
                <w:rFonts w:ascii="Cambria" w:eastAsia="Times New Roman" w:hAnsi="Cambria" w:cs="Arial"/>
                <w:color w:val="000000"/>
                <w:lang w:val="en-US"/>
              </w:rPr>
              <w:t>: Incident Command System (ICS) - COMDTPUB P3120.17A. ISBN 978-0-16-077139-2. Washington - DC. 2006, 372 p.</w:t>
            </w:r>
          </w:p>
        </w:tc>
      </w:tr>
      <w:tr w:rsidR="00E049DA" w:rsidRPr="0015091A" w14:paraId="3EAEC534" w14:textId="77777777" w:rsidTr="002C6FAB">
        <w:trPr>
          <w:trHeight w:val="20"/>
        </w:trPr>
        <w:tc>
          <w:tcPr>
            <w:tcW w:w="9215" w:type="dxa"/>
            <w:shd w:val="clear" w:color="auto" w:fill="auto"/>
            <w:vAlign w:val="center"/>
          </w:tcPr>
          <w:p w14:paraId="60191E5D" w14:textId="77777777" w:rsidR="00E049DA" w:rsidRPr="0015091A" w:rsidRDefault="00E049DA" w:rsidP="009D01BE">
            <w:pPr>
              <w:spacing w:after="120" w:line="240" w:lineRule="auto"/>
              <w:ind w:left="284" w:hanging="284"/>
              <w:rPr>
                <w:rFonts w:ascii="Cambria" w:hAnsi="Cambria" w:cs="Calibri"/>
              </w:rPr>
            </w:pPr>
            <w:r w:rsidRPr="0015091A">
              <w:rPr>
                <w:rFonts w:ascii="Cambria" w:hAnsi="Cambria" w:cs="Calibri"/>
              </w:rPr>
              <w:t>WITT|O’BRIEN’S BRASIL. Apostila do Curso: OPRC/IMO Nível 1, Dezembro 2014.</w:t>
            </w:r>
          </w:p>
        </w:tc>
      </w:tr>
    </w:tbl>
    <w:p w14:paraId="51D0398D" w14:textId="77777777" w:rsidR="00791641" w:rsidRDefault="00791641" w:rsidP="00DC461D">
      <w:pPr>
        <w:pStyle w:val="tier1Itext"/>
      </w:pPr>
    </w:p>
    <w:sectPr w:rsidR="00791641" w:rsidSect="00656D39">
      <w:headerReference w:type="default" r:id="rId96"/>
      <w:footerReference w:type="default" r:id="rId97"/>
      <w:pgSz w:w="11906" w:h="16838" w:code="9"/>
      <w:pgMar w:top="1418" w:right="1418" w:bottom="1418" w:left="1418" w:header="17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46771A" w14:textId="77777777" w:rsidR="004A3ED8" w:rsidRDefault="004A3ED8" w:rsidP="00901F9B">
      <w:r>
        <w:separator/>
      </w:r>
    </w:p>
    <w:p w14:paraId="1953E276" w14:textId="77777777" w:rsidR="004A3ED8" w:rsidRDefault="004A3ED8"/>
    <w:p w14:paraId="42237D51" w14:textId="77777777" w:rsidR="004A3ED8" w:rsidRDefault="004A3ED8" w:rsidP="004365B6"/>
  </w:endnote>
  <w:endnote w:type="continuationSeparator" w:id="0">
    <w:p w14:paraId="0DB9868D" w14:textId="77777777" w:rsidR="004A3ED8" w:rsidRDefault="004A3ED8" w:rsidP="00901F9B">
      <w:r>
        <w:continuationSeparator/>
      </w:r>
    </w:p>
    <w:p w14:paraId="216B7BF5" w14:textId="77777777" w:rsidR="004A3ED8" w:rsidRDefault="004A3ED8"/>
    <w:p w14:paraId="337F2A57" w14:textId="77777777" w:rsidR="004A3ED8" w:rsidRDefault="004A3ED8" w:rsidP="004365B6"/>
  </w:endnote>
  <w:endnote w:type="continuationNotice" w:id="1">
    <w:p w14:paraId="70176ED8" w14:textId="77777777" w:rsidR="004A3ED8" w:rsidRDefault="004A3ED8">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Univers 45 Light">
    <w:charset w:val="00"/>
    <w:family w:val="auto"/>
    <w:pitch w:val="variable"/>
    <w:sig w:usb0="80000027"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Grande">
    <w:altName w:val="Arial"/>
    <w:charset w:val="00"/>
    <w:family w:val="auto"/>
    <w:pitch w:val="variable"/>
    <w:sig w:usb0="00000000" w:usb1="5000A1FF" w:usb2="00000000" w:usb3="00000000" w:csb0="000001B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TT1D8t00">
    <w:panose1 w:val="00000000000000000000"/>
    <w:charset w:val="00"/>
    <w:family w:val="auto"/>
    <w:notTrueType/>
    <w:pitch w:val="default"/>
    <w:sig w:usb0="00000003" w:usb1="00000000" w:usb2="00000000" w:usb3="00000000" w:csb0="00000001" w:csb1="00000000"/>
  </w:font>
  <w:font w:name="Univers-45Light">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71F06B" w14:textId="77777777" w:rsidR="00F12E56" w:rsidRDefault="00F12E56">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18" w:space="0" w:color="009E49"/>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8"/>
      <w:gridCol w:w="4556"/>
      <w:gridCol w:w="5105"/>
    </w:tblGrid>
    <w:tr w:rsidR="004A3ED8" w14:paraId="23C79C12" w14:textId="77777777" w:rsidTr="00953C7D">
      <w:tc>
        <w:tcPr>
          <w:tcW w:w="1603" w:type="pct"/>
          <w:vAlign w:val="center"/>
        </w:tcPr>
        <w:p w14:paraId="1055CADD" w14:textId="77777777" w:rsidR="004A3ED8" w:rsidRPr="00FE529E" w:rsidRDefault="004A3ED8" w:rsidP="00953C7D">
          <w:pPr>
            <w:pStyle w:val="Footer"/>
            <w:spacing w:after="120" w:line="360" w:lineRule="auto"/>
            <w:rPr>
              <w:rFonts w:asciiTheme="majorHAnsi" w:hAnsiTheme="majorHAnsi"/>
            </w:rPr>
          </w:pPr>
          <w:r w:rsidRPr="00FE529E">
            <w:rPr>
              <w:rFonts w:asciiTheme="majorHAnsi" w:hAnsiTheme="majorHAnsi"/>
              <w:sz w:val="20"/>
              <w:szCs w:val="20"/>
            </w:rPr>
            <w:t xml:space="preserve">Página </w:t>
          </w:r>
          <w:r w:rsidRPr="00FE529E">
            <w:rPr>
              <w:rFonts w:asciiTheme="majorHAnsi" w:hAnsiTheme="majorHAnsi"/>
              <w:sz w:val="20"/>
              <w:szCs w:val="20"/>
            </w:rPr>
            <w:fldChar w:fldCharType="begin"/>
          </w:r>
          <w:r w:rsidRPr="00FE529E">
            <w:rPr>
              <w:rFonts w:asciiTheme="majorHAnsi" w:hAnsiTheme="majorHAnsi"/>
              <w:sz w:val="20"/>
              <w:szCs w:val="20"/>
            </w:rPr>
            <w:instrText xml:space="preserve"> PAGE   \* MERGEFORMAT </w:instrText>
          </w:r>
          <w:r w:rsidRPr="00FE529E">
            <w:rPr>
              <w:rFonts w:asciiTheme="majorHAnsi" w:hAnsiTheme="majorHAnsi"/>
              <w:sz w:val="20"/>
              <w:szCs w:val="20"/>
            </w:rPr>
            <w:fldChar w:fldCharType="separate"/>
          </w:r>
          <w:r>
            <w:rPr>
              <w:rFonts w:asciiTheme="majorHAnsi" w:hAnsiTheme="majorHAnsi"/>
              <w:noProof/>
              <w:sz w:val="20"/>
              <w:szCs w:val="20"/>
            </w:rPr>
            <w:t>22</w:t>
          </w:r>
          <w:r w:rsidRPr="00FE529E">
            <w:rPr>
              <w:rFonts w:asciiTheme="majorHAnsi" w:hAnsiTheme="majorHAnsi"/>
              <w:sz w:val="20"/>
              <w:szCs w:val="20"/>
            </w:rPr>
            <w:fldChar w:fldCharType="end"/>
          </w:r>
        </w:p>
      </w:tc>
      <w:tc>
        <w:tcPr>
          <w:tcW w:w="1602" w:type="pct"/>
          <w:vAlign w:val="center"/>
        </w:tcPr>
        <w:p w14:paraId="46542FF1" w14:textId="77777777" w:rsidR="004A3ED8" w:rsidRDefault="004A3ED8" w:rsidP="00953C7D">
          <w:pPr>
            <w:pStyle w:val="Footer"/>
            <w:spacing w:after="120"/>
            <w:jc w:val="center"/>
            <w:rPr>
              <w:rFonts w:asciiTheme="majorHAnsi" w:hAnsiTheme="majorHAnsi"/>
              <w:sz w:val="20"/>
              <w:szCs w:val="20"/>
            </w:rPr>
          </w:pPr>
          <w:r>
            <w:rPr>
              <w:rFonts w:asciiTheme="majorHAnsi" w:hAnsiTheme="majorHAnsi"/>
              <w:sz w:val="20"/>
              <w:szCs w:val="20"/>
            </w:rPr>
            <w:t>Março de 2015</w:t>
          </w:r>
        </w:p>
        <w:p w14:paraId="26BFF81C" w14:textId="77777777" w:rsidR="004A3ED8" w:rsidRPr="00FE529E" w:rsidRDefault="004A3ED8" w:rsidP="00953C7D">
          <w:pPr>
            <w:pStyle w:val="Footer"/>
            <w:spacing w:after="120" w:line="360" w:lineRule="auto"/>
            <w:jc w:val="center"/>
            <w:rPr>
              <w:rFonts w:asciiTheme="majorHAnsi" w:hAnsiTheme="majorHAnsi"/>
            </w:rPr>
          </w:pPr>
          <w:r w:rsidRPr="00FE529E">
            <w:rPr>
              <w:rFonts w:asciiTheme="majorHAnsi" w:hAnsiTheme="majorHAnsi"/>
              <w:sz w:val="20"/>
              <w:szCs w:val="20"/>
            </w:rPr>
            <w:t>Rev.00</w:t>
          </w:r>
        </w:p>
      </w:tc>
      <w:tc>
        <w:tcPr>
          <w:tcW w:w="1795" w:type="pct"/>
          <w:vAlign w:val="center"/>
        </w:tcPr>
        <w:p w14:paraId="2D9E0F8F" w14:textId="77777777" w:rsidR="004A3ED8" w:rsidRPr="00FE529E" w:rsidRDefault="004A3ED8" w:rsidP="00953C7D">
          <w:pPr>
            <w:pStyle w:val="Footer"/>
            <w:spacing w:after="120" w:line="360" w:lineRule="auto"/>
            <w:jc w:val="right"/>
            <w:rPr>
              <w:rFonts w:asciiTheme="majorHAnsi" w:hAnsiTheme="majorHAnsi"/>
            </w:rPr>
          </w:pPr>
          <w:r>
            <w:rPr>
              <w:noProof/>
              <w:sz w:val="16"/>
              <w:szCs w:val="16"/>
              <w:lang w:val="en-US"/>
            </w:rPr>
            <w:drawing>
              <wp:inline distT="0" distB="0" distL="0" distR="0" wp14:anchorId="329A3DBF" wp14:editId="623F9111">
                <wp:extent cx="380852" cy="548640"/>
                <wp:effectExtent l="0" t="0" r="635" b="3810"/>
                <wp:docPr id="1073742134" name="Imagem 107374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r>
  </w:tbl>
  <w:p w14:paraId="3BBB1E14" w14:textId="77777777" w:rsidR="004A3ED8" w:rsidRDefault="004A3ED8">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20"/>
      <w:gridCol w:w="5769"/>
      <w:gridCol w:w="4114"/>
    </w:tblGrid>
    <w:tr w:rsidR="004A3ED8" w:rsidRPr="00C3335E" w14:paraId="55CEA6A5" w14:textId="77777777" w:rsidTr="00FC10A8">
      <w:trPr>
        <w:trHeight w:val="469"/>
      </w:trPr>
      <w:tc>
        <w:tcPr>
          <w:tcW w:w="1471" w:type="pct"/>
          <w:tcBorders>
            <w:top w:val="single" w:sz="18" w:space="0" w:color="009E49"/>
          </w:tcBorders>
          <w:vAlign w:val="center"/>
        </w:tcPr>
        <w:p w14:paraId="37473E69" w14:textId="490BFBC9" w:rsidR="004A3ED8" w:rsidRPr="00F12E56" w:rsidRDefault="004A3ED8" w:rsidP="00F02324">
          <w:pPr>
            <w:pStyle w:val="Footer"/>
            <w:spacing w:before="0"/>
            <w:jc w:val="left"/>
            <w:rPr>
              <w:rFonts w:asciiTheme="majorHAnsi" w:hAnsiTheme="majorHAnsi"/>
              <w:sz w:val="20"/>
              <w:szCs w:val="20"/>
            </w:rPr>
          </w:pPr>
          <w:r w:rsidRPr="00F12E56">
            <w:rPr>
              <w:rStyle w:val="CabRodChar"/>
              <w:rFonts w:asciiTheme="majorHAnsi" w:hAnsiTheme="majorHAnsi"/>
              <w:szCs w:val="20"/>
            </w:rPr>
            <w:t>Rev.01A</w:t>
          </w:r>
        </w:p>
      </w:tc>
      <w:tc>
        <w:tcPr>
          <w:tcW w:w="2060" w:type="pct"/>
          <w:tcBorders>
            <w:top w:val="single" w:sz="18" w:space="0" w:color="009E49"/>
          </w:tcBorders>
          <w:vAlign w:val="center"/>
        </w:tcPr>
        <w:p w14:paraId="43322653" w14:textId="660747F3" w:rsidR="004A3ED8" w:rsidRPr="00F12E56" w:rsidRDefault="00F12E56" w:rsidP="0027197D">
          <w:pPr>
            <w:pStyle w:val="Footer"/>
            <w:spacing w:before="0"/>
            <w:jc w:val="center"/>
            <w:rPr>
              <w:rFonts w:asciiTheme="majorHAnsi" w:hAnsiTheme="majorHAnsi"/>
              <w:sz w:val="20"/>
              <w:szCs w:val="20"/>
            </w:rPr>
          </w:pPr>
          <w:r w:rsidRPr="00F12E56">
            <w:rPr>
              <w:rFonts w:asciiTheme="majorHAnsi" w:hAnsiTheme="majorHAnsi"/>
              <w:sz w:val="20"/>
              <w:szCs w:val="20"/>
            </w:rPr>
            <w:t>Setembro</w:t>
          </w:r>
          <w:r w:rsidR="004A3ED8" w:rsidRPr="00F12E56">
            <w:rPr>
              <w:rFonts w:asciiTheme="majorHAnsi" w:hAnsiTheme="majorHAnsi"/>
              <w:sz w:val="20"/>
              <w:szCs w:val="20"/>
            </w:rPr>
            <w:t>/2018</w:t>
          </w:r>
        </w:p>
      </w:tc>
      <w:tc>
        <w:tcPr>
          <w:tcW w:w="1469" w:type="pct"/>
          <w:tcBorders>
            <w:top w:val="single" w:sz="18" w:space="0" w:color="009E49"/>
          </w:tcBorders>
          <w:vAlign w:val="center"/>
        </w:tcPr>
        <w:p w14:paraId="75F5125E"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44</w:t>
          </w:r>
          <w:r w:rsidRPr="00C3335E">
            <w:rPr>
              <w:rFonts w:asciiTheme="majorHAnsi" w:hAnsiTheme="majorHAnsi"/>
              <w:szCs w:val="20"/>
            </w:rPr>
            <w:fldChar w:fldCharType="end"/>
          </w:r>
        </w:p>
      </w:tc>
    </w:tr>
  </w:tbl>
  <w:p w14:paraId="73DBE393" w14:textId="77777777" w:rsidR="004A3ED8" w:rsidRPr="003941A0" w:rsidRDefault="004A3ED8" w:rsidP="00953C7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83"/>
      <w:gridCol w:w="5858"/>
      <w:gridCol w:w="4178"/>
    </w:tblGrid>
    <w:tr w:rsidR="004A3ED8" w:rsidRPr="00E13E52" w14:paraId="536D35B6" w14:textId="77777777" w:rsidTr="00FC10A8">
      <w:trPr>
        <w:trHeight w:val="469"/>
      </w:trPr>
      <w:tc>
        <w:tcPr>
          <w:tcW w:w="1471" w:type="pct"/>
          <w:tcBorders>
            <w:top w:val="single" w:sz="18" w:space="0" w:color="009E49"/>
          </w:tcBorders>
          <w:vAlign w:val="center"/>
        </w:tcPr>
        <w:p w14:paraId="52DCD896" w14:textId="77777777" w:rsidR="004A3ED8" w:rsidRPr="00E13E52" w:rsidRDefault="004A3ED8" w:rsidP="00FC10A8">
          <w:pPr>
            <w:pStyle w:val="Footer"/>
            <w:jc w:val="left"/>
            <w:rPr>
              <w:rFonts w:asciiTheme="majorHAnsi" w:hAnsiTheme="majorHAnsi"/>
              <w:sz w:val="20"/>
              <w:szCs w:val="20"/>
            </w:rPr>
          </w:pPr>
          <w:r w:rsidRPr="00E13E52">
            <w:rPr>
              <w:rStyle w:val="CabRodChar"/>
              <w:rFonts w:asciiTheme="majorHAnsi" w:hAnsiTheme="majorHAnsi"/>
            </w:rPr>
            <w:t>Rev.00</w:t>
          </w:r>
        </w:p>
      </w:tc>
      <w:tc>
        <w:tcPr>
          <w:tcW w:w="2060" w:type="pct"/>
          <w:tcBorders>
            <w:top w:val="single" w:sz="18" w:space="0" w:color="009E49"/>
          </w:tcBorders>
          <w:vAlign w:val="center"/>
        </w:tcPr>
        <w:p w14:paraId="7D6DE19B" w14:textId="77777777" w:rsidR="004A3ED8" w:rsidRPr="00E13E52" w:rsidRDefault="004A3ED8" w:rsidP="00FC10A8">
          <w:pPr>
            <w:pStyle w:val="Footer"/>
            <w:jc w:val="center"/>
            <w:rPr>
              <w:rFonts w:asciiTheme="majorHAnsi" w:hAnsiTheme="majorHAnsi"/>
              <w:sz w:val="20"/>
              <w:szCs w:val="20"/>
            </w:rPr>
          </w:pPr>
          <w:r w:rsidRPr="00E13E52">
            <w:rPr>
              <w:rFonts w:asciiTheme="majorHAnsi" w:hAnsiTheme="majorHAnsi"/>
              <w:sz w:val="20"/>
              <w:szCs w:val="20"/>
            </w:rPr>
            <w:t>Março/2015</w:t>
          </w:r>
        </w:p>
      </w:tc>
      <w:tc>
        <w:tcPr>
          <w:tcW w:w="1469" w:type="pct"/>
          <w:tcBorders>
            <w:top w:val="single" w:sz="18" w:space="0" w:color="009E49"/>
          </w:tcBorders>
          <w:vAlign w:val="center"/>
        </w:tcPr>
        <w:p w14:paraId="7B7505D2" w14:textId="77777777" w:rsidR="004A3ED8" w:rsidRPr="00E13E52" w:rsidRDefault="004A3ED8" w:rsidP="00FC10A8">
          <w:pPr>
            <w:pStyle w:val="CabRod"/>
            <w:jc w:val="right"/>
            <w:rPr>
              <w:rFonts w:asciiTheme="majorHAnsi" w:hAnsiTheme="majorHAnsi"/>
            </w:rPr>
          </w:pPr>
          <w:r w:rsidRPr="00E13E52">
            <w:rPr>
              <w:rFonts w:asciiTheme="majorHAnsi" w:hAnsiTheme="majorHAnsi"/>
            </w:rPr>
            <w:fldChar w:fldCharType="begin"/>
          </w:r>
          <w:r w:rsidRPr="00E13E52">
            <w:rPr>
              <w:rFonts w:asciiTheme="majorHAnsi" w:hAnsiTheme="majorHAnsi"/>
            </w:rPr>
            <w:instrText>PAGE   \* MERGEFORMAT</w:instrText>
          </w:r>
          <w:r w:rsidRPr="00E13E52">
            <w:rPr>
              <w:rFonts w:asciiTheme="majorHAnsi" w:hAnsiTheme="majorHAnsi"/>
            </w:rPr>
            <w:fldChar w:fldCharType="separate"/>
          </w:r>
          <w:r>
            <w:rPr>
              <w:rFonts w:asciiTheme="majorHAnsi" w:hAnsiTheme="majorHAnsi"/>
              <w:noProof/>
            </w:rPr>
            <w:t>44</w:t>
          </w:r>
          <w:r w:rsidRPr="00E13E52">
            <w:rPr>
              <w:rFonts w:asciiTheme="majorHAnsi" w:hAnsiTheme="majorHAnsi"/>
            </w:rPr>
            <w:fldChar w:fldCharType="end"/>
          </w:r>
        </w:p>
      </w:tc>
    </w:tr>
  </w:tbl>
  <w:p w14:paraId="1FB25AAA" w14:textId="77777777" w:rsidR="004A3ED8" w:rsidRPr="00807DBA" w:rsidRDefault="004A3ED8" w:rsidP="00953C7D">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18" w:space="0" w:color="009E49"/>
      </w:tblBorders>
      <w:tblLook w:val="04A0" w:firstRow="1" w:lastRow="0" w:firstColumn="1" w:lastColumn="0" w:noHBand="0" w:noVBand="1"/>
    </w:tblPr>
    <w:tblGrid>
      <w:gridCol w:w="2977"/>
      <w:gridCol w:w="2975"/>
      <w:gridCol w:w="3334"/>
    </w:tblGrid>
    <w:tr w:rsidR="004A3ED8" w:rsidRPr="00334CC1" w14:paraId="0EFA9A48" w14:textId="77777777" w:rsidTr="0000172F">
      <w:tc>
        <w:tcPr>
          <w:tcW w:w="1603" w:type="pct"/>
          <w:vAlign w:val="center"/>
        </w:tcPr>
        <w:p w14:paraId="3407F81C" w14:textId="77777777" w:rsidR="004A3ED8" w:rsidRPr="001865EC" w:rsidRDefault="004A3ED8" w:rsidP="0000172F">
          <w:pPr>
            <w:pStyle w:val="Footer"/>
            <w:spacing w:after="120" w:line="360" w:lineRule="auto"/>
            <w:rPr>
              <w:sz w:val="20"/>
            </w:rPr>
          </w:pPr>
          <w:r w:rsidRPr="001865EC">
            <w:rPr>
              <w:sz w:val="20"/>
              <w:szCs w:val="20"/>
            </w:rPr>
            <w:t xml:space="preserve">Apêndice E - Página </w:t>
          </w:r>
          <w:r w:rsidRPr="001865EC">
            <w:rPr>
              <w:sz w:val="20"/>
              <w:szCs w:val="20"/>
            </w:rPr>
            <w:fldChar w:fldCharType="begin"/>
          </w:r>
          <w:r w:rsidRPr="001865EC">
            <w:rPr>
              <w:sz w:val="20"/>
              <w:szCs w:val="20"/>
            </w:rPr>
            <w:instrText xml:space="preserve"> PAGE   \* MERGEFORMAT </w:instrText>
          </w:r>
          <w:r w:rsidRPr="001865EC">
            <w:rPr>
              <w:sz w:val="20"/>
              <w:szCs w:val="20"/>
            </w:rPr>
            <w:fldChar w:fldCharType="separate"/>
          </w:r>
          <w:r>
            <w:rPr>
              <w:noProof/>
              <w:sz w:val="20"/>
              <w:szCs w:val="20"/>
            </w:rPr>
            <w:t>ii</w:t>
          </w:r>
          <w:r w:rsidRPr="001865EC">
            <w:rPr>
              <w:sz w:val="20"/>
              <w:szCs w:val="20"/>
            </w:rPr>
            <w:fldChar w:fldCharType="end"/>
          </w:r>
        </w:p>
      </w:tc>
      <w:tc>
        <w:tcPr>
          <w:tcW w:w="1602" w:type="pct"/>
          <w:vAlign w:val="center"/>
        </w:tcPr>
        <w:p w14:paraId="30C61F11" w14:textId="77777777" w:rsidR="004A3ED8" w:rsidRPr="001865EC" w:rsidRDefault="004A3ED8" w:rsidP="0000172F">
          <w:pPr>
            <w:pStyle w:val="Footer"/>
            <w:spacing w:after="120"/>
            <w:jc w:val="center"/>
            <w:rPr>
              <w:sz w:val="20"/>
              <w:szCs w:val="20"/>
            </w:rPr>
          </w:pPr>
          <w:r w:rsidRPr="001865EC">
            <w:rPr>
              <w:sz w:val="20"/>
              <w:szCs w:val="20"/>
            </w:rPr>
            <w:t>Março de 2015</w:t>
          </w:r>
        </w:p>
        <w:p w14:paraId="3BA2A14C" w14:textId="77777777" w:rsidR="004A3ED8" w:rsidRPr="001865EC" w:rsidRDefault="004A3ED8" w:rsidP="0000172F">
          <w:pPr>
            <w:pStyle w:val="Footer"/>
            <w:spacing w:after="120"/>
            <w:jc w:val="center"/>
            <w:rPr>
              <w:sz w:val="20"/>
            </w:rPr>
          </w:pPr>
          <w:r w:rsidRPr="001865EC">
            <w:rPr>
              <w:sz w:val="20"/>
              <w:szCs w:val="20"/>
            </w:rPr>
            <w:t>Rev.00</w:t>
          </w:r>
        </w:p>
      </w:tc>
      <w:tc>
        <w:tcPr>
          <w:tcW w:w="1795" w:type="pct"/>
          <w:vAlign w:val="center"/>
        </w:tcPr>
        <w:p w14:paraId="6912BD71" w14:textId="77777777" w:rsidR="004A3ED8" w:rsidRPr="00334CC1" w:rsidRDefault="004A3ED8" w:rsidP="0000172F">
          <w:pPr>
            <w:pStyle w:val="Footer"/>
            <w:spacing w:after="120" w:line="360" w:lineRule="auto"/>
            <w:jc w:val="right"/>
            <w:rPr>
              <w:sz w:val="20"/>
              <w:highlight w:val="yellow"/>
            </w:rPr>
          </w:pPr>
          <w:r>
            <w:rPr>
              <w:noProof/>
              <w:sz w:val="16"/>
              <w:szCs w:val="16"/>
              <w:lang w:val="en-US" w:eastAsia="en-US"/>
            </w:rPr>
            <w:drawing>
              <wp:inline distT="0" distB="0" distL="0" distR="0" wp14:anchorId="0DD96329" wp14:editId="67BDD2BD">
                <wp:extent cx="380852" cy="548640"/>
                <wp:effectExtent l="0" t="0" r="635" b="3810"/>
                <wp:docPr id="1073742140" name="Imagem 107374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r w:rsidRPr="00334CC1">
            <w:rPr>
              <w:sz w:val="20"/>
              <w:highlight w:val="yellow"/>
            </w:rPr>
            <w:t xml:space="preserve"> </w:t>
          </w:r>
        </w:p>
      </w:tc>
    </w:tr>
  </w:tbl>
  <w:p w14:paraId="3EFD63CB" w14:textId="77777777" w:rsidR="004A3ED8" w:rsidRDefault="004A3ED8">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5"/>
      <w:gridCol w:w="3425"/>
      <w:gridCol w:w="3200"/>
    </w:tblGrid>
    <w:tr w:rsidR="004A3ED8" w:rsidRPr="00C3335E" w14:paraId="1EF5FAC4" w14:textId="77777777" w:rsidTr="00E13E52">
      <w:trPr>
        <w:trHeight w:val="469"/>
        <w:jc w:val="center"/>
      </w:trPr>
      <w:tc>
        <w:tcPr>
          <w:tcW w:w="1348" w:type="pct"/>
          <w:tcBorders>
            <w:top w:val="single" w:sz="18" w:space="0" w:color="009E49"/>
          </w:tcBorders>
          <w:vAlign w:val="center"/>
        </w:tcPr>
        <w:p w14:paraId="4AA47258" w14:textId="52E538A5" w:rsidR="004A3ED8" w:rsidRPr="003C1EF6" w:rsidRDefault="004A3ED8" w:rsidP="0027197D">
          <w:pPr>
            <w:pStyle w:val="Footer"/>
            <w:spacing w:before="0"/>
            <w:jc w:val="left"/>
            <w:rPr>
              <w:rFonts w:asciiTheme="majorHAnsi" w:hAnsiTheme="majorHAnsi"/>
              <w:sz w:val="20"/>
              <w:szCs w:val="20"/>
            </w:rPr>
          </w:pPr>
          <w:r w:rsidRPr="003C1EF6">
            <w:rPr>
              <w:rStyle w:val="CabRodChar"/>
              <w:rFonts w:asciiTheme="majorHAnsi" w:hAnsiTheme="majorHAnsi"/>
              <w:szCs w:val="20"/>
            </w:rPr>
            <w:t>Rev.01A</w:t>
          </w:r>
        </w:p>
      </w:tc>
      <w:tc>
        <w:tcPr>
          <w:tcW w:w="1888" w:type="pct"/>
          <w:tcBorders>
            <w:top w:val="single" w:sz="18" w:space="0" w:color="009E49"/>
          </w:tcBorders>
          <w:vAlign w:val="center"/>
        </w:tcPr>
        <w:p w14:paraId="21C379BB" w14:textId="7E9D1169" w:rsidR="004A3ED8" w:rsidRPr="003C1EF6" w:rsidRDefault="003C1EF6" w:rsidP="0027197D">
          <w:pPr>
            <w:pStyle w:val="Footer"/>
            <w:spacing w:before="0"/>
            <w:jc w:val="center"/>
            <w:rPr>
              <w:rFonts w:asciiTheme="majorHAnsi" w:hAnsiTheme="majorHAnsi"/>
              <w:sz w:val="20"/>
              <w:szCs w:val="20"/>
            </w:rPr>
          </w:pPr>
          <w:r w:rsidRPr="003C1EF6">
            <w:rPr>
              <w:rFonts w:asciiTheme="majorHAnsi" w:hAnsiTheme="majorHAnsi"/>
              <w:sz w:val="20"/>
              <w:szCs w:val="20"/>
            </w:rPr>
            <w:t>Setembro</w:t>
          </w:r>
          <w:r w:rsidR="004A3ED8" w:rsidRPr="003C1EF6">
            <w:rPr>
              <w:rFonts w:asciiTheme="majorHAnsi" w:hAnsiTheme="majorHAnsi"/>
              <w:sz w:val="20"/>
              <w:szCs w:val="20"/>
            </w:rPr>
            <w:t>/2018</w:t>
          </w:r>
        </w:p>
      </w:tc>
      <w:tc>
        <w:tcPr>
          <w:tcW w:w="1764" w:type="pct"/>
          <w:tcBorders>
            <w:top w:val="single" w:sz="18" w:space="0" w:color="009E49"/>
          </w:tcBorders>
          <w:vAlign w:val="center"/>
        </w:tcPr>
        <w:p w14:paraId="6321B3A7"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90</w:t>
          </w:r>
          <w:r w:rsidRPr="00C3335E">
            <w:rPr>
              <w:rFonts w:asciiTheme="majorHAnsi" w:hAnsiTheme="majorHAnsi"/>
              <w:szCs w:val="20"/>
            </w:rPr>
            <w:fldChar w:fldCharType="end"/>
          </w:r>
        </w:p>
      </w:tc>
    </w:tr>
  </w:tbl>
  <w:p w14:paraId="5DA1F6A9" w14:textId="77777777" w:rsidR="004A3ED8" w:rsidRPr="003941A0" w:rsidRDefault="004A3ED8" w:rsidP="00953C7D">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3775"/>
      <w:gridCol w:w="5288"/>
      <w:gridCol w:w="4940"/>
    </w:tblGrid>
    <w:tr w:rsidR="004A3ED8" w:rsidRPr="00C3335E" w14:paraId="2EF5B324" w14:textId="77777777" w:rsidTr="008E2BBA">
      <w:trPr>
        <w:trHeight w:val="469"/>
        <w:jc w:val="center"/>
      </w:trPr>
      <w:tc>
        <w:tcPr>
          <w:tcW w:w="1348" w:type="pct"/>
          <w:tcBorders>
            <w:top w:val="single" w:sz="18" w:space="0" w:color="009E49"/>
          </w:tcBorders>
          <w:vAlign w:val="center"/>
        </w:tcPr>
        <w:p w14:paraId="20039A82" w14:textId="70C0D3FC" w:rsidR="004A3ED8" w:rsidRPr="00E17AA0" w:rsidRDefault="004A3ED8" w:rsidP="00B434F8">
          <w:pPr>
            <w:pStyle w:val="Footer"/>
            <w:spacing w:before="0"/>
            <w:jc w:val="left"/>
            <w:rPr>
              <w:rFonts w:asciiTheme="majorHAnsi" w:hAnsiTheme="majorHAnsi"/>
              <w:sz w:val="20"/>
              <w:szCs w:val="20"/>
            </w:rPr>
          </w:pPr>
          <w:r w:rsidRPr="00E17AA0">
            <w:rPr>
              <w:rStyle w:val="CabRodChar"/>
              <w:rFonts w:asciiTheme="majorHAnsi" w:hAnsiTheme="majorHAnsi"/>
              <w:szCs w:val="20"/>
            </w:rPr>
            <w:t>Rev.01A</w:t>
          </w:r>
        </w:p>
      </w:tc>
      <w:tc>
        <w:tcPr>
          <w:tcW w:w="1888" w:type="pct"/>
          <w:tcBorders>
            <w:top w:val="single" w:sz="18" w:space="0" w:color="009E49"/>
          </w:tcBorders>
          <w:vAlign w:val="center"/>
        </w:tcPr>
        <w:p w14:paraId="454B22CD" w14:textId="0DC480CF" w:rsidR="004A3ED8" w:rsidRPr="00E17AA0" w:rsidRDefault="00E17AA0" w:rsidP="00B434F8">
          <w:pPr>
            <w:pStyle w:val="Footer"/>
            <w:spacing w:before="0"/>
            <w:jc w:val="center"/>
            <w:rPr>
              <w:rFonts w:asciiTheme="majorHAnsi" w:hAnsiTheme="majorHAnsi"/>
              <w:sz w:val="20"/>
              <w:szCs w:val="20"/>
            </w:rPr>
          </w:pPr>
          <w:r w:rsidRPr="00E17AA0">
            <w:rPr>
              <w:rFonts w:asciiTheme="majorHAnsi" w:hAnsiTheme="majorHAnsi"/>
              <w:sz w:val="20"/>
              <w:szCs w:val="20"/>
            </w:rPr>
            <w:t>Setembro/</w:t>
          </w:r>
          <w:r w:rsidR="004A3ED8" w:rsidRPr="00E17AA0">
            <w:rPr>
              <w:rFonts w:asciiTheme="majorHAnsi" w:hAnsiTheme="majorHAnsi"/>
              <w:sz w:val="20"/>
              <w:szCs w:val="20"/>
            </w:rPr>
            <w:t>2018</w:t>
          </w:r>
        </w:p>
      </w:tc>
      <w:tc>
        <w:tcPr>
          <w:tcW w:w="1764" w:type="pct"/>
          <w:tcBorders>
            <w:top w:val="single" w:sz="18" w:space="0" w:color="009E49"/>
          </w:tcBorders>
          <w:vAlign w:val="center"/>
        </w:tcPr>
        <w:p w14:paraId="6E82E770"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91</w:t>
          </w:r>
          <w:r w:rsidRPr="00C3335E">
            <w:rPr>
              <w:rFonts w:asciiTheme="majorHAnsi" w:hAnsiTheme="majorHAnsi"/>
              <w:szCs w:val="20"/>
            </w:rPr>
            <w:fldChar w:fldCharType="end"/>
          </w:r>
        </w:p>
      </w:tc>
    </w:tr>
  </w:tbl>
  <w:p w14:paraId="22E644DF" w14:textId="77777777" w:rsidR="004A3ED8" w:rsidRDefault="004A3ED8" w:rsidP="008A76B4">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5"/>
      <w:gridCol w:w="3425"/>
      <w:gridCol w:w="3200"/>
    </w:tblGrid>
    <w:tr w:rsidR="004A3ED8" w:rsidRPr="00C3335E" w14:paraId="02895780" w14:textId="77777777" w:rsidTr="008E2BBA">
      <w:trPr>
        <w:trHeight w:val="469"/>
        <w:jc w:val="center"/>
      </w:trPr>
      <w:tc>
        <w:tcPr>
          <w:tcW w:w="1348" w:type="pct"/>
          <w:tcBorders>
            <w:top w:val="single" w:sz="18" w:space="0" w:color="009E49"/>
          </w:tcBorders>
          <w:vAlign w:val="center"/>
        </w:tcPr>
        <w:p w14:paraId="722A1E96" w14:textId="7397B789" w:rsidR="004A3ED8" w:rsidRPr="00C3335E" w:rsidRDefault="004A3ED8" w:rsidP="00B434F8">
          <w:pPr>
            <w:pStyle w:val="Footer"/>
            <w:spacing w:before="0"/>
            <w:jc w:val="left"/>
            <w:rPr>
              <w:rFonts w:asciiTheme="majorHAnsi" w:hAnsiTheme="majorHAnsi"/>
              <w:sz w:val="20"/>
              <w:szCs w:val="20"/>
            </w:rPr>
          </w:pPr>
          <w:r w:rsidRPr="00C3335E">
            <w:rPr>
              <w:rStyle w:val="CabRodChar"/>
              <w:rFonts w:asciiTheme="majorHAnsi" w:hAnsiTheme="majorHAnsi"/>
              <w:szCs w:val="20"/>
            </w:rPr>
            <w:t>Rev.0</w:t>
          </w:r>
          <w:r>
            <w:rPr>
              <w:rStyle w:val="CabRodChar"/>
              <w:rFonts w:asciiTheme="majorHAnsi" w:hAnsiTheme="majorHAnsi"/>
              <w:szCs w:val="20"/>
            </w:rPr>
            <w:t>1</w:t>
          </w:r>
          <w:r w:rsidR="0072314D">
            <w:rPr>
              <w:rStyle w:val="CabRodChar"/>
              <w:rFonts w:asciiTheme="majorHAnsi" w:hAnsiTheme="majorHAnsi"/>
              <w:szCs w:val="20"/>
            </w:rPr>
            <w:t>A</w:t>
          </w:r>
        </w:p>
      </w:tc>
      <w:tc>
        <w:tcPr>
          <w:tcW w:w="1888" w:type="pct"/>
          <w:tcBorders>
            <w:top w:val="single" w:sz="18" w:space="0" w:color="009E49"/>
          </w:tcBorders>
          <w:vAlign w:val="center"/>
        </w:tcPr>
        <w:p w14:paraId="54E4524F" w14:textId="6557F6E1" w:rsidR="004A3ED8" w:rsidRPr="00C3335E" w:rsidRDefault="0072314D" w:rsidP="00B434F8">
          <w:pPr>
            <w:pStyle w:val="Footer"/>
            <w:spacing w:before="0"/>
            <w:jc w:val="center"/>
            <w:rPr>
              <w:rFonts w:asciiTheme="majorHAnsi" w:hAnsiTheme="majorHAnsi"/>
              <w:sz w:val="20"/>
              <w:szCs w:val="20"/>
            </w:rPr>
          </w:pPr>
          <w:r>
            <w:rPr>
              <w:rFonts w:asciiTheme="majorHAnsi" w:hAnsiTheme="majorHAnsi"/>
              <w:sz w:val="20"/>
              <w:szCs w:val="20"/>
            </w:rPr>
            <w:t>Setembro</w:t>
          </w:r>
          <w:r w:rsidR="004A3ED8"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5636773E"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97</w:t>
          </w:r>
          <w:r w:rsidRPr="00C3335E">
            <w:rPr>
              <w:rFonts w:asciiTheme="majorHAnsi" w:hAnsiTheme="majorHAnsi"/>
              <w:szCs w:val="20"/>
            </w:rPr>
            <w:fldChar w:fldCharType="end"/>
          </w:r>
        </w:p>
      </w:tc>
    </w:tr>
  </w:tbl>
  <w:p w14:paraId="69EE7209" w14:textId="77777777" w:rsidR="004A3ED8" w:rsidRDefault="004A3ED8" w:rsidP="008A76B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3775"/>
      <w:gridCol w:w="5287"/>
      <w:gridCol w:w="4940"/>
    </w:tblGrid>
    <w:tr w:rsidR="004A3ED8" w:rsidRPr="00C3335E" w14:paraId="0BDBF6B4" w14:textId="77777777" w:rsidTr="008E2BBA">
      <w:trPr>
        <w:trHeight w:val="469"/>
        <w:jc w:val="center"/>
      </w:trPr>
      <w:tc>
        <w:tcPr>
          <w:tcW w:w="1348" w:type="pct"/>
          <w:tcBorders>
            <w:top w:val="single" w:sz="18" w:space="0" w:color="009E49"/>
          </w:tcBorders>
          <w:vAlign w:val="center"/>
        </w:tcPr>
        <w:p w14:paraId="4C9F0D0A" w14:textId="7B32111E" w:rsidR="004A3ED8" w:rsidRPr="00C3335E" w:rsidRDefault="004A3ED8" w:rsidP="00EC0293">
          <w:pPr>
            <w:pStyle w:val="Footer"/>
            <w:spacing w:before="0"/>
            <w:jc w:val="left"/>
            <w:rPr>
              <w:rFonts w:asciiTheme="majorHAnsi" w:hAnsiTheme="majorHAnsi"/>
              <w:sz w:val="20"/>
              <w:szCs w:val="20"/>
            </w:rPr>
          </w:pPr>
          <w:r w:rsidRPr="00C3335E">
            <w:rPr>
              <w:rStyle w:val="CabRodChar"/>
              <w:rFonts w:asciiTheme="majorHAnsi" w:hAnsiTheme="majorHAnsi"/>
              <w:szCs w:val="20"/>
            </w:rPr>
            <w:t>Rev.0</w:t>
          </w:r>
          <w:r w:rsidRPr="008C43CA">
            <w:rPr>
              <w:rStyle w:val="CabRodChar"/>
              <w:rFonts w:asciiTheme="majorHAnsi" w:hAnsiTheme="majorHAnsi"/>
              <w:szCs w:val="20"/>
            </w:rPr>
            <w:t>1</w:t>
          </w:r>
          <w:r w:rsidR="008C43CA" w:rsidRPr="008C43CA">
            <w:rPr>
              <w:rStyle w:val="CabRodChar"/>
              <w:rFonts w:asciiTheme="majorHAnsi" w:hAnsiTheme="majorHAnsi"/>
              <w:szCs w:val="20"/>
            </w:rPr>
            <w:t>A</w:t>
          </w:r>
        </w:p>
      </w:tc>
      <w:tc>
        <w:tcPr>
          <w:tcW w:w="1888" w:type="pct"/>
          <w:tcBorders>
            <w:top w:val="single" w:sz="18" w:space="0" w:color="009E49"/>
          </w:tcBorders>
          <w:vAlign w:val="center"/>
        </w:tcPr>
        <w:p w14:paraId="0CC40643" w14:textId="69EEF27B" w:rsidR="004A3ED8" w:rsidRPr="00C3335E" w:rsidRDefault="008C43CA" w:rsidP="00EC0293">
          <w:pPr>
            <w:pStyle w:val="Footer"/>
            <w:spacing w:before="0"/>
            <w:jc w:val="center"/>
            <w:rPr>
              <w:rFonts w:asciiTheme="majorHAnsi" w:hAnsiTheme="majorHAnsi"/>
              <w:sz w:val="20"/>
              <w:szCs w:val="20"/>
            </w:rPr>
          </w:pPr>
          <w:r>
            <w:rPr>
              <w:rFonts w:asciiTheme="majorHAnsi" w:hAnsiTheme="majorHAnsi"/>
              <w:sz w:val="20"/>
              <w:szCs w:val="20"/>
            </w:rPr>
            <w:t>Setembro</w:t>
          </w:r>
          <w:r w:rsidR="004A3ED8" w:rsidRPr="00C3335E">
            <w:rPr>
              <w:rFonts w:asciiTheme="majorHAnsi" w:hAnsiTheme="majorHAnsi"/>
              <w:sz w:val="20"/>
              <w:szCs w:val="20"/>
            </w:rPr>
            <w:t>/201</w:t>
          </w:r>
          <w:r>
            <w:rPr>
              <w:rFonts w:asciiTheme="majorHAnsi" w:hAnsiTheme="majorHAnsi"/>
              <w:sz w:val="20"/>
              <w:szCs w:val="20"/>
            </w:rPr>
            <w:t>8</w:t>
          </w:r>
        </w:p>
      </w:tc>
      <w:tc>
        <w:tcPr>
          <w:tcW w:w="1764" w:type="pct"/>
          <w:tcBorders>
            <w:top w:val="single" w:sz="18" w:space="0" w:color="009E49"/>
          </w:tcBorders>
          <w:vAlign w:val="center"/>
        </w:tcPr>
        <w:p w14:paraId="5730F2B5"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122</w:t>
          </w:r>
          <w:r w:rsidRPr="00C3335E">
            <w:rPr>
              <w:rFonts w:asciiTheme="majorHAnsi" w:hAnsiTheme="majorHAnsi"/>
              <w:szCs w:val="20"/>
            </w:rPr>
            <w:fldChar w:fldCharType="end"/>
          </w:r>
        </w:p>
      </w:tc>
    </w:tr>
  </w:tbl>
  <w:p w14:paraId="10940EEA" w14:textId="77777777" w:rsidR="004A3ED8" w:rsidRDefault="004A3ED8" w:rsidP="008A76B4">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9"/>
      <w:gridCol w:w="3418"/>
      <w:gridCol w:w="2823"/>
    </w:tblGrid>
    <w:tr w:rsidR="004A3ED8" w:rsidRPr="00C3335E" w14:paraId="7F6805FF" w14:textId="77777777" w:rsidTr="008E2BBA">
      <w:trPr>
        <w:trHeight w:val="469"/>
      </w:trPr>
      <w:tc>
        <w:tcPr>
          <w:tcW w:w="1560" w:type="pct"/>
          <w:tcBorders>
            <w:top w:val="single" w:sz="18" w:space="0" w:color="009E49"/>
          </w:tcBorders>
          <w:vAlign w:val="center"/>
        </w:tcPr>
        <w:p w14:paraId="1D9D906E" w14:textId="7D54D7DA" w:rsidR="004A3ED8" w:rsidRPr="008C43CA" w:rsidRDefault="004A3ED8" w:rsidP="00EC0293">
          <w:pPr>
            <w:pStyle w:val="Footer"/>
            <w:spacing w:before="0"/>
            <w:jc w:val="left"/>
            <w:rPr>
              <w:rFonts w:asciiTheme="majorHAnsi" w:hAnsiTheme="majorHAnsi"/>
              <w:sz w:val="20"/>
              <w:szCs w:val="20"/>
            </w:rPr>
          </w:pPr>
          <w:r w:rsidRPr="008C43CA">
            <w:rPr>
              <w:rFonts w:asciiTheme="majorHAnsi" w:hAnsiTheme="majorHAnsi"/>
              <w:sz w:val="20"/>
              <w:szCs w:val="20"/>
            </w:rPr>
            <w:t>Rev.01A</w:t>
          </w:r>
        </w:p>
      </w:tc>
      <w:tc>
        <w:tcPr>
          <w:tcW w:w="1884" w:type="pct"/>
          <w:tcBorders>
            <w:top w:val="single" w:sz="18" w:space="0" w:color="009E49"/>
          </w:tcBorders>
          <w:vAlign w:val="center"/>
        </w:tcPr>
        <w:p w14:paraId="40BA7DF0" w14:textId="665CC589" w:rsidR="004A3ED8" w:rsidRPr="008C43CA" w:rsidRDefault="008C43CA" w:rsidP="00EC0293">
          <w:pPr>
            <w:pStyle w:val="Footer"/>
            <w:spacing w:before="0"/>
            <w:jc w:val="center"/>
            <w:rPr>
              <w:rFonts w:asciiTheme="majorHAnsi" w:hAnsiTheme="majorHAnsi"/>
              <w:sz w:val="20"/>
              <w:szCs w:val="20"/>
            </w:rPr>
          </w:pPr>
          <w:r w:rsidRPr="008C43CA">
            <w:rPr>
              <w:rFonts w:asciiTheme="majorHAnsi" w:hAnsiTheme="majorHAnsi"/>
              <w:sz w:val="20"/>
              <w:szCs w:val="20"/>
            </w:rPr>
            <w:t>Setembro</w:t>
          </w:r>
          <w:r w:rsidR="004A3ED8" w:rsidRPr="008C43CA">
            <w:rPr>
              <w:rFonts w:asciiTheme="majorHAnsi" w:hAnsiTheme="majorHAnsi"/>
              <w:sz w:val="20"/>
              <w:szCs w:val="20"/>
            </w:rPr>
            <w:t>/2018</w:t>
          </w:r>
        </w:p>
      </w:tc>
      <w:tc>
        <w:tcPr>
          <w:tcW w:w="1556" w:type="pct"/>
          <w:tcBorders>
            <w:top w:val="single" w:sz="18" w:space="0" w:color="009E49"/>
          </w:tcBorders>
          <w:vAlign w:val="center"/>
        </w:tcPr>
        <w:p w14:paraId="4D7E3FF2" w14:textId="77777777" w:rsidR="004A3ED8" w:rsidRPr="00C3335E" w:rsidRDefault="004A3ED8" w:rsidP="00C3335E">
          <w:pPr>
            <w:pStyle w:val="Footer"/>
            <w:spacing w:before="0"/>
            <w:jc w:val="right"/>
            <w:rPr>
              <w:rFonts w:asciiTheme="majorHAnsi" w:hAnsiTheme="majorHAnsi"/>
              <w:sz w:val="20"/>
              <w:szCs w:val="20"/>
            </w:rPr>
          </w:pPr>
          <w:r w:rsidRPr="00C3335E">
            <w:rPr>
              <w:rFonts w:asciiTheme="majorHAnsi" w:hAnsiTheme="majorHAnsi" w:cstheme="minorHAnsi"/>
              <w:sz w:val="20"/>
              <w:szCs w:val="20"/>
            </w:rPr>
            <w:fldChar w:fldCharType="begin"/>
          </w:r>
          <w:r w:rsidRPr="00C3335E">
            <w:rPr>
              <w:rFonts w:asciiTheme="majorHAnsi" w:hAnsiTheme="majorHAnsi" w:cstheme="minorHAnsi"/>
              <w:sz w:val="20"/>
              <w:szCs w:val="20"/>
            </w:rPr>
            <w:instrText>PAGE   \* MERGEFORMAT</w:instrText>
          </w:r>
          <w:r w:rsidRPr="00C3335E">
            <w:rPr>
              <w:rFonts w:asciiTheme="majorHAnsi" w:hAnsiTheme="majorHAnsi" w:cstheme="minorHAnsi"/>
              <w:sz w:val="20"/>
              <w:szCs w:val="20"/>
            </w:rPr>
            <w:fldChar w:fldCharType="separate"/>
          </w:r>
          <w:r>
            <w:rPr>
              <w:rFonts w:asciiTheme="majorHAnsi" w:hAnsiTheme="majorHAnsi" w:cstheme="minorHAnsi"/>
              <w:noProof/>
              <w:sz w:val="20"/>
              <w:szCs w:val="20"/>
            </w:rPr>
            <w:t>133</w:t>
          </w:r>
          <w:r w:rsidRPr="00C3335E">
            <w:rPr>
              <w:rFonts w:asciiTheme="majorHAnsi" w:hAnsiTheme="majorHAnsi" w:cstheme="minorHAnsi"/>
              <w:sz w:val="20"/>
              <w:szCs w:val="20"/>
            </w:rPr>
            <w:fldChar w:fldCharType="end"/>
          </w:r>
        </w:p>
      </w:tc>
    </w:tr>
  </w:tbl>
  <w:p w14:paraId="54BAF4BB" w14:textId="77777777" w:rsidR="004A3ED8" w:rsidRDefault="004A3ED8" w:rsidP="006224F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3EE9" w14:textId="77777777" w:rsidR="004A3ED8" w:rsidRDefault="004A3ED8">
    <w:pPr>
      <w:pStyle w:val="Footer"/>
    </w:pPr>
    <w:r>
      <w:rPr>
        <w:noProof/>
        <w:lang w:val="en-US" w:eastAsia="en-US"/>
      </w:rPr>
      <mc:AlternateContent>
        <mc:Choice Requires="wps">
          <w:drawing>
            <wp:anchor distT="0" distB="0" distL="114300" distR="114300" simplePos="0" relativeHeight="251662336" behindDoc="0" locked="0" layoutInCell="1" allowOverlap="1" wp14:anchorId="758975E7" wp14:editId="7E06F617">
              <wp:simplePos x="0" y="0"/>
              <wp:positionH relativeFrom="column">
                <wp:posOffset>4162425</wp:posOffset>
              </wp:positionH>
              <wp:positionV relativeFrom="paragraph">
                <wp:posOffset>-1073150</wp:posOffset>
              </wp:positionV>
              <wp:extent cx="2362200" cy="1729105"/>
              <wp:effectExtent l="0" t="0" r="0" b="635"/>
              <wp:wrapNone/>
              <wp:docPr id="307" name="Caixa de tex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2200" cy="1729105"/>
                      </a:xfrm>
                      <a:prstGeom prst="rect">
                        <a:avLst/>
                      </a:prstGeom>
                      <a:noFill/>
                      <a:ln w="9525">
                        <a:noFill/>
                        <a:miter lim="800000"/>
                        <a:headEnd/>
                        <a:tailEnd/>
                      </a:ln>
                      <a:effectLst/>
                    </wps:spPr>
                    <wps:txbx>
                      <w:txbxContent>
                        <w:p w14:paraId="701876D0"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Witt|O’Brien’s Brasil www.wittobriens.com.br</w:t>
                          </w:r>
                        </w:p>
                        <w:p w14:paraId="7592FAA0"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Rua da Gloria, 306 - 13º Andar | Glória</w:t>
                          </w:r>
                        </w:p>
                        <w:p w14:paraId="22A5D013"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Rio de Janeiro - RJ | Brasil</w:t>
                          </w:r>
                        </w:p>
                        <w:p w14:paraId="4E2C3DCC"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CEP 20.241-180</w:t>
                          </w:r>
                        </w:p>
                        <w:p w14:paraId="124B8D3C"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T: +55 (021) 3032-6750 / 3032-6762</w:t>
                          </w:r>
                        </w:p>
                        <w:p w14:paraId="7775ED44" w14:textId="77777777" w:rsidR="004A3ED8" w:rsidRDefault="004A3ED8" w:rsidP="001500A7">
                          <w:pPr>
                            <w:spacing w:line="276" w:lineRule="auto"/>
                            <w:jc w:val="left"/>
                            <w:rPr>
                              <w:rFonts w:ascii="Cambria" w:hAnsi="Cambria"/>
                              <w:b/>
                              <w:color w:val="FFFFFF"/>
                              <w:sz w:val="16"/>
                            </w:rPr>
                          </w:pPr>
                          <w:r w:rsidRPr="00342EAD">
                            <w:rPr>
                              <w:rFonts w:ascii="Cambria" w:hAnsi="Cambria"/>
                              <w:b/>
                              <w:color w:val="FFFFFF"/>
                              <w:sz w:val="16"/>
                            </w:rPr>
                            <w:t xml:space="preserve">Emergency Line: </w:t>
                          </w:r>
                        </w:p>
                        <w:p w14:paraId="021C4BEF"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0800-OBRIENS [0800-6274367]</w:t>
                          </w:r>
                        </w:p>
                        <w:p w14:paraId="1299B79D" w14:textId="77777777" w:rsidR="004A3ED8" w:rsidRPr="00342EAD" w:rsidRDefault="004A3ED8" w:rsidP="00B05E28">
                          <w:pPr>
                            <w:jc w:val="left"/>
                            <w:rPr>
                              <w:rFonts w:ascii="Cambria" w:hAnsi="Cambria"/>
                              <w:b/>
                              <w:color w:val="FFFFFF"/>
                              <w:sz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58975E7" id="_x0000_t202" coordsize="21600,21600" o:spt="202" path="m,l,21600r21600,l21600,xe">
              <v:stroke joinstyle="miter"/>
              <v:path gradientshapeok="t" o:connecttype="rect"/>
            </v:shapetype>
            <v:shape id="Caixa de texto 307" o:spid="_x0000_s1026" type="#_x0000_t202" style="position:absolute;left:0;text-align:left;margin-left:327.75pt;margin-top:-84.5pt;width:186pt;height:136.1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" filled="f" stroked="f">
              <v:textbox style="mso-fit-shape-to-text:t">
                <w:txbxContent>
                  <w:p w14:paraId="701876D0"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Witt|O’Brien’s Brasil www.wittobriens.com.br</w:t>
                    </w:r>
                  </w:p>
                  <w:p w14:paraId="7592FAA0"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Rua da Gloria, 306 - 13º Andar | Glória</w:t>
                    </w:r>
                  </w:p>
                  <w:p w14:paraId="22A5D013"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Rio de Janeiro - RJ | Brasil</w:t>
                    </w:r>
                  </w:p>
                  <w:p w14:paraId="4E2C3DCC"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CEP 20.241-180</w:t>
                    </w:r>
                  </w:p>
                  <w:p w14:paraId="124B8D3C"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T: +55 (021) 3032-6750 / 3032-6762</w:t>
                    </w:r>
                  </w:p>
                  <w:p w14:paraId="7775ED44" w14:textId="77777777" w:rsidR="004A3ED8" w:rsidRDefault="004A3ED8" w:rsidP="001500A7">
                    <w:pPr>
                      <w:spacing w:line="276" w:lineRule="auto"/>
                      <w:jc w:val="left"/>
                      <w:rPr>
                        <w:rFonts w:ascii="Cambria" w:hAnsi="Cambria"/>
                        <w:b/>
                        <w:color w:val="FFFFFF"/>
                        <w:sz w:val="16"/>
                      </w:rPr>
                    </w:pPr>
                    <w:r w:rsidRPr="00342EAD">
                      <w:rPr>
                        <w:rFonts w:ascii="Cambria" w:hAnsi="Cambria"/>
                        <w:b/>
                        <w:color w:val="FFFFFF"/>
                        <w:sz w:val="16"/>
                      </w:rPr>
                      <w:t xml:space="preserve">Emergency Line: </w:t>
                    </w:r>
                  </w:p>
                  <w:p w14:paraId="021C4BEF" w14:textId="77777777" w:rsidR="004A3ED8" w:rsidRPr="00342EAD" w:rsidRDefault="004A3ED8" w:rsidP="001500A7">
                    <w:pPr>
                      <w:spacing w:line="276" w:lineRule="auto"/>
                      <w:jc w:val="left"/>
                      <w:rPr>
                        <w:rFonts w:ascii="Cambria" w:hAnsi="Cambria"/>
                        <w:b/>
                        <w:color w:val="FFFFFF"/>
                        <w:sz w:val="16"/>
                      </w:rPr>
                    </w:pPr>
                    <w:r w:rsidRPr="00342EAD">
                      <w:rPr>
                        <w:rFonts w:ascii="Cambria" w:hAnsi="Cambria"/>
                        <w:b/>
                        <w:color w:val="FFFFFF"/>
                        <w:sz w:val="16"/>
                      </w:rPr>
                      <w:t>0800-OBRIENS [0800-6274367]</w:t>
                    </w:r>
                  </w:p>
                  <w:p w14:paraId="1299B79D" w14:textId="77777777" w:rsidR="004A3ED8" w:rsidRPr="00342EAD" w:rsidRDefault="004A3ED8" w:rsidP="00B05E28">
                    <w:pPr>
                      <w:jc w:val="left"/>
                      <w:rPr>
                        <w:rFonts w:ascii="Cambria" w:hAnsi="Cambria"/>
                        <w:b/>
                        <w:color w:val="FFFFFF"/>
                        <w:sz w:val="16"/>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719"/>
      <w:gridCol w:w="3808"/>
      <w:gridCol w:w="2716"/>
    </w:tblGrid>
    <w:tr w:rsidR="004A3ED8" w:rsidRPr="008B3E07" w14:paraId="384B8246" w14:textId="77777777" w:rsidTr="004D65B3">
      <w:trPr>
        <w:trHeight w:val="469"/>
        <w:jc w:val="center"/>
      </w:trPr>
      <w:tc>
        <w:tcPr>
          <w:tcW w:w="1471" w:type="pct"/>
          <w:tcBorders>
            <w:top w:val="single" w:sz="18" w:space="0" w:color="009E49"/>
          </w:tcBorders>
          <w:vAlign w:val="center"/>
        </w:tcPr>
        <w:p w14:paraId="7C7E9CC1" w14:textId="77777777" w:rsidR="004A3ED8" w:rsidRPr="008B3E07" w:rsidRDefault="004A3ED8" w:rsidP="004D65B3">
          <w:pPr>
            <w:pStyle w:val="Footer"/>
            <w:jc w:val="left"/>
            <w:rPr>
              <w:sz w:val="20"/>
              <w:szCs w:val="20"/>
            </w:rPr>
          </w:pPr>
          <w:r w:rsidRPr="000725F9">
            <w:rPr>
              <w:rStyle w:val="CabRodChar"/>
            </w:rPr>
            <w:t>Rev.</w:t>
          </w:r>
          <w:r>
            <w:rPr>
              <w:rStyle w:val="CabRodChar"/>
            </w:rPr>
            <w:t>00</w:t>
          </w:r>
        </w:p>
      </w:tc>
      <w:tc>
        <w:tcPr>
          <w:tcW w:w="2060" w:type="pct"/>
          <w:tcBorders>
            <w:top w:val="single" w:sz="18" w:space="0" w:color="009E49"/>
          </w:tcBorders>
          <w:vAlign w:val="center"/>
        </w:tcPr>
        <w:p w14:paraId="2050873C" w14:textId="77777777" w:rsidR="004A3ED8" w:rsidRPr="008B3E07" w:rsidRDefault="004A3ED8" w:rsidP="004D65B3">
          <w:pPr>
            <w:pStyle w:val="Footer"/>
            <w:jc w:val="center"/>
            <w:rPr>
              <w:sz w:val="20"/>
              <w:szCs w:val="20"/>
            </w:rPr>
          </w:pPr>
          <w:r>
            <w:rPr>
              <w:rFonts w:asciiTheme="majorHAnsi" w:hAnsiTheme="majorHAnsi"/>
              <w:sz w:val="20"/>
              <w:szCs w:val="20"/>
            </w:rPr>
            <w:t>Março/2015</w:t>
          </w:r>
        </w:p>
      </w:tc>
      <w:tc>
        <w:tcPr>
          <w:tcW w:w="1469" w:type="pct"/>
          <w:tcBorders>
            <w:top w:val="single" w:sz="18" w:space="0" w:color="009E49"/>
          </w:tcBorders>
          <w:vAlign w:val="center"/>
        </w:tcPr>
        <w:p w14:paraId="4C60CAA9" w14:textId="77777777" w:rsidR="004A3ED8" w:rsidRPr="008B3E07" w:rsidRDefault="004A3ED8" w:rsidP="004D65B3">
          <w:pPr>
            <w:pStyle w:val="CabRod"/>
            <w:jc w:val="right"/>
          </w:pPr>
          <w:r w:rsidRPr="004365B6">
            <w:fldChar w:fldCharType="begin"/>
          </w:r>
          <w:r w:rsidRPr="004365B6">
            <w:instrText>PAGE   \* MERGEFORMAT</w:instrText>
          </w:r>
          <w:r w:rsidRPr="004365B6">
            <w:fldChar w:fldCharType="separate"/>
          </w:r>
          <w:r>
            <w:rPr>
              <w:noProof/>
            </w:rPr>
            <w:t>4</w:t>
          </w:r>
          <w:r w:rsidRPr="004365B6">
            <w:fldChar w:fldCharType="end"/>
          </w:r>
        </w:p>
      </w:tc>
    </w:tr>
  </w:tbl>
  <w:p w14:paraId="43D178D8" w14:textId="77777777" w:rsidR="004A3ED8" w:rsidRDefault="004A3E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6"/>
      <w:gridCol w:w="3418"/>
      <w:gridCol w:w="2826"/>
    </w:tblGrid>
    <w:tr w:rsidR="004A3ED8" w:rsidRPr="00656D39" w14:paraId="656D5A4A" w14:textId="77777777" w:rsidTr="00150CAE">
      <w:trPr>
        <w:trHeight w:val="469"/>
      </w:trPr>
      <w:tc>
        <w:tcPr>
          <w:tcW w:w="1558" w:type="pct"/>
          <w:tcBorders>
            <w:top w:val="single" w:sz="18" w:space="0" w:color="009E49"/>
          </w:tcBorders>
          <w:vAlign w:val="center"/>
        </w:tcPr>
        <w:p w14:paraId="43110723" w14:textId="35751E12" w:rsidR="004A3ED8" w:rsidRPr="00F12E56" w:rsidRDefault="004A3ED8" w:rsidP="00B07A0A">
          <w:pPr>
            <w:pStyle w:val="Footer"/>
            <w:spacing w:before="0"/>
            <w:jc w:val="left"/>
            <w:rPr>
              <w:rFonts w:asciiTheme="majorHAnsi" w:hAnsiTheme="majorHAnsi"/>
              <w:sz w:val="20"/>
              <w:szCs w:val="20"/>
            </w:rPr>
          </w:pPr>
          <w:r w:rsidRPr="00F12E56">
            <w:rPr>
              <w:rStyle w:val="CabRodChar"/>
              <w:rFonts w:asciiTheme="majorHAnsi" w:hAnsiTheme="majorHAnsi"/>
              <w:szCs w:val="20"/>
            </w:rPr>
            <w:t>Rev.01A</w:t>
          </w:r>
        </w:p>
      </w:tc>
      <w:tc>
        <w:tcPr>
          <w:tcW w:w="1884" w:type="pct"/>
          <w:tcBorders>
            <w:top w:val="single" w:sz="18" w:space="0" w:color="009E49"/>
          </w:tcBorders>
          <w:vAlign w:val="center"/>
        </w:tcPr>
        <w:p w14:paraId="7F4B93E4" w14:textId="4AE55C66" w:rsidR="004A3ED8" w:rsidRPr="00F12E56" w:rsidRDefault="00F12E56" w:rsidP="00B07A0A">
          <w:pPr>
            <w:pStyle w:val="Footer"/>
            <w:spacing w:before="0"/>
            <w:jc w:val="center"/>
            <w:rPr>
              <w:rFonts w:asciiTheme="majorHAnsi" w:hAnsiTheme="majorHAnsi"/>
              <w:sz w:val="20"/>
              <w:szCs w:val="20"/>
            </w:rPr>
          </w:pPr>
          <w:r w:rsidRPr="00F12E56">
            <w:rPr>
              <w:rFonts w:asciiTheme="majorHAnsi" w:hAnsiTheme="majorHAnsi"/>
              <w:sz w:val="20"/>
              <w:szCs w:val="20"/>
            </w:rPr>
            <w:t>Setembro</w:t>
          </w:r>
          <w:r w:rsidR="004A3ED8" w:rsidRPr="00F12E56">
            <w:rPr>
              <w:rFonts w:asciiTheme="majorHAnsi" w:hAnsiTheme="majorHAnsi"/>
              <w:sz w:val="20"/>
              <w:szCs w:val="20"/>
            </w:rPr>
            <w:t>/2018</w:t>
          </w:r>
        </w:p>
      </w:tc>
      <w:tc>
        <w:tcPr>
          <w:tcW w:w="1558" w:type="pct"/>
          <w:tcBorders>
            <w:top w:val="single" w:sz="18" w:space="0" w:color="009E49"/>
          </w:tcBorders>
          <w:vAlign w:val="center"/>
        </w:tcPr>
        <w:p w14:paraId="11758B4A" w14:textId="77777777" w:rsidR="004A3ED8" w:rsidRPr="00656D39" w:rsidRDefault="004A3ED8" w:rsidP="00656D39">
          <w:pPr>
            <w:pStyle w:val="CabRod"/>
            <w:spacing w:line="240" w:lineRule="auto"/>
            <w:jc w:val="right"/>
            <w:rPr>
              <w:rFonts w:asciiTheme="majorHAnsi" w:hAnsiTheme="majorHAnsi"/>
              <w:szCs w:val="20"/>
            </w:rPr>
          </w:pPr>
          <w:r w:rsidRPr="00656D39">
            <w:rPr>
              <w:rFonts w:asciiTheme="majorHAnsi" w:hAnsiTheme="majorHAnsi"/>
              <w:szCs w:val="20"/>
            </w:rPr>
            <w:fldChar w:fldCharType="begin"/>
          </w:r>
          <w:r w:rsidRPr="00656D39">
            <w:rPr>
              <w:rFonts w:asciiTheme="majorHAnsi" w:hAnsiTheme="majorHAnsi"/>
              <w:szCs w:val="20"/>
            </w:rPr>
            <w:instrText>PAGE   \* MERGEFORMAT</w:instrText>
          </w:r>
          <w:r w:rsidRPr="00656D39">
            <w:rPr>
              <w:rFonts w:asciiTheme="majorHAnsi" w:hAnsiTheme="majorHAnsi"/>
              <w:szCs w:val="20"/>
            </w:rPr>
            <w:fldChar w:fldCharType="separate"/>
          </w:r>
          <w:r>
            <w:rPr>
              <w:rFonts w:asciiTheme="majorHAnsi" w:hAnsiTheme="majorHAnsi"/>
              <w:noProof/>
              <w:szCs w:val="20"/>
            </w:rPr>
            <w:t>xiii</w:t>
          </w:r>
          <w:r w:rsidRPr="00656D39">
            <w:rPr>
              <w:rFonts w:asciiTheme="majorHAnsi" w:hAnsiTheme="majorHAnsi"/>
              <w:szCs w:val="20"/>
            </w:rPr>
            <w:fldChar w:fldCharType="end"/>
          </w:r>
        </w:p>
      </w:tc>
    </w:tr>
  </w:tbl>
  <w:p w14:paraId="2F2DC2DE" w14:textId="77777777" w:rsidR="004A3ED8" w:rsidRPr="00EC726B" w:rsidRDefault="004A3ED8" w:rsidP="007D297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2826"/>
      <w:gridCol w:w="3418"/>
      <w:gridCol w:w="2826"/>
    </w:tblGrid>
    <w:tr w:rsidR="004A3ED8" w:rsidRPr="00C3335E" w14:paraId="11F07A37" w14:textId="77777777" w:rsidTr="00E13E52">
      <w:trPr>
        <w:trHeight w:val="469"/>
      </w:trPr>
      <w:tc>
        <w:tcPr>
          <w:tcW w:w="1558" w:type="pct"/>
          <w:tcBorders>
            <w:top w:val="single" w:sz="18" w:space="0" w:color="009E49"/>
          </w:tcBorders>
          <w:vAlign w:val="center"/>
        </w:tcPr>
        <w:p w14:paraId="1C4D6BC2" w14:textId="019E7D51" w:rsidR="004A3ED8" w:rsidRPr="00F12E56" w:rsidRDefault="004A3ED8" w:rsidP="0049107D">
          <w:pPr>
            <w:pStyle w:val="Footer"/>
            <w:spacing w:before="0"/>
            <w:jc w:val="left"/>
            <w:rPr>
              <w:rFonts w:asciiTheme="majorHAnsi" w:hAnsiTheme="majorHAnsi"/>
              <w:sz w:val="20"/>
              <w:szCs w:val="20"/>
            </w:rPr>
          </w:pPr>
          <w:r w:rsidRPr="00F12E56">
            <w:rPr>
              <w:rStyle w:val="CabRodChar"/>
              <w:rFonts w:asciiTheme="majorHAnsi" w:hAnsiTheme="majorHAnsi"/>
              <w:szCs w:val="20"/>
            </w:rPr>
            <w:t>Rev.01A</w:t>
          </w:r>
        </w:p>
      </w:tc>
      <w:tc>
        <w:tcPr>
          <w:tcW w:w="1884" w:type="pct"/>
          <w:tcBorders>
            <w:top w:val="single" w:sz="18" w:space="0" w:color="009E49"/>
          </w:tcBorders>
          <w:vAlign w:val="center"/>
        </w:tcPr>
        <w:p w14:paraId="612BB6EF" w14:textId="29A026A2" w:rsidR="004A3ED8" w:rsidRPr="00F12E56" w:rsidRDefault="00F12E56" w:rsidP="0049107D">
          <w:pPr>
            <w:pStyle w:val="Footer"/>
            <w:spacing w:before="0"/>
            <w:jc w:val="center"/>
            <w:rPr>
              <w:rFonts w:asciiTheme="majorHAnsi" w:hAnsiTheme="majorHAnsi"/>
              <w:sz w:val="20"/>
              <w:szCs w:val="20"/>
            </w:rPr>
          </w:pPr>
          <w:r w:rsidRPr="00F12E56">
            <w:rPr>
              <w:rFonts w:asciiTheme="majorHAnsi" w:hAnsiTheme="majorHAnsi"/>
              <w:sz w:val="20"/>
              <w:szCs w:val="20"/>
            </w:rPr>
            <w:t>Setembro</w:t>
          </w:r>
          <w:r w:rsidR="004A3ED8" w:rsidRPr="00F12E56">
            <w:rPr>
              <w:rFonts w:asciiTheme="majorHAnsi" w:hAnsiTheme="majorHAnsi"/>
              <w:sz w:val="20"/>
              <w:szCs w:val="20"/>
            </w:rPr>
            <w:t>/2018</w:t>
          </w:r>
        </w:p>
      </w:tc>
      <w:tc>
        <w:tcPr>
          <w:tcW w:w="1558" w:type="pct"/>
          <w:tcBorders>
            <w:top w:val="single" w:sz="18" w:space="0" w:color="009E49"/>
          </w:tcBorders>
          <w:vAlign w:val="center"/>
        </w:tcPr>
        <w:p w14:paraId="6515D746"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6</w:t>
          </w:r>
          <w:r w:rsidRPr="00C3335E">
            <w:rPr>
              <w:rFonts w:asciiTheme="majorHAnsi" w:hAnsiTheme="majorHAnsi"/>
              <w:szCs w:val="20"/>
            </w:rPr>
            <w:fldChar w:fldCharType="end"/>
          </w:r>
        </w:p>
      </w:tc>
    </w:tr>
  </w:tbl>
  <w:p w14:paraId="518D4507" w14:textId="77777777" w:rsidR="004A3ED8" w:rsidRPr="00EC726B" w:rsidRDefault="004A3ED8" w:rsidP="00E13E52">
    <w:pPr>
      <w:pStyle w:val="Footer"/>
      <w:tabs>
        <w:tab w:val="clear" w:pos="4252"/>
        <w:tab w:val="clear" w:pos="8504"/>
        <w:tab w:val="left" w:pos="3345"/>
      </w:tabs>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single" w:sz="18" w:space="0" w:color="009E49"/>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9"/>
      <w:gridCol w:w="4556"/>
      <w:gridCol w:w="5105"/>
    </w:tblGrid>
    <w:tr w:rsidR="004A3ED8" w14:paraId="68504364" w14:textId="77777777" w:rsidTr="008A76B4">
      <w:tc>
        <w:tcPr>
          <w:tcW w:w="1603" w:type="pct"/>
          <w:vAlign w:val="center"/>
        </w:tcPr>
        <w:p w14:paraId="20B510DA" w14:textId="77777777" w:rsidR="004A3ED8" w:rsidRPr="00FE529E" w:rsidRDefault="004A3ED8" w:rsidP="008A76B4">
          <w:pPr>
            <w:pStyle w:val="Footer"/>
            <w:spacing w:after="120" w:line="360" w:lineRule="auto"/>
            <w:rPr>
              <w:rFonts w:asciiTheme="majorHAnsi" w:hAnsiTheme="majorHAnsi"/>
            </w:rPr>
          </w:pPr>
          <w:r w:rsidRPr="00FE529E">
            <w:rPr>
              <w:rFonts w:asciiTheme="majorHAnsi" w:hAnsiTheme="majorHAnsi"/>
              <w:sz w:val="20"/>
              <w:szCs w:val="20"/>
            </w:rPr>
            <w:t xml:space="preserve">Página </w:t>
          </w:r>
          <w:r w:rsidRPr="00FE529E">
            <w:rPr>
              <w:rFonts w:asciiTheme="majorHAnsi" w:hAnsiTheme="majorHAnsi"/>
              <w:sz w:val="20"/>
              <w:szCs w:val="20"/>
            </w:rPr>
            <w:fldChar w:fldCharType="begin"/>
          </w:r>
          <w:r w:rsidRPr="00FE529E">
            <w:rPr>
              <w:rFonts w:asciiTheme="majorHAnsi" w:hAnsiTheme="majorHAnsi"/>
              <w:sz w:val="20"/>
              <w:szCs w:val="20"/>
            </w:rPr>
            <w:instrText xml:space="preserve"> PAGE   \* MERGEFORMAT </w:instrText>
          </w:r>
          <w:r w:rsidRPr="00FE529E">
            <w:rPr>
              <w:rFonts w:asciiTheme="majorHAnsi" w:hAnsiTheme="majorHAnsi"/>
              <w:sz w:val="20"/>
              <w:szCs w:val="20"/>
            </w:rPr>
            <w:fldChar w:fldCharType="separate"/>
          </w:r>
          <w:r>
            <w:rPr>
              <w:rFonts w:asciiTheme="majorHAnsi" w:hAnsiTheme="majorHAnsi"/>
              <w:noProof/>
              <w:sz w:val="20"/>
              <w:szCs w:val="20"/>
            </w:rPr>
            <w:t>4</w:t>
          </w:r>
          <w:r w:rsidRPr="00FE529E">
            <w:rPr>
              <w:rFonts w:asciiTheme="majorHAnsi" w:hAnsiTheme="majorHAnsi"/>
              <w:sz w:val="20"/>
              <w:szCs w:val="20"/>
            </w:rPr>
            <w:fldChar w:fldCharType="end"/>
          </w:r>
        </w:p>
      </w:tc>
      <w:tc>
        <w:tcPr>
          <w:tcW w:w="1602" w:type="pct"/>
          <w:vAlign w:val="center"/>
        </w:tcPr>
        <w:p w14:paraId="5D543FD4" w14:textId="77777777" w:rsidR="004A3ED8" w:rsidRDefault="004A3ED8" w:rsidP="008A76B4">
          <w:pPr>
            <w:pStyle w:val="Footer"/>
            <w:spacing w:after="120"/>
            <w:jc w:val="center"/>
            <w:rPr>
              <w:rFonts w:asciiTheme="majorHAnsi" w:hAnsiTheme="majorHAnsi"/>
              <w:sz w:val="20"/>
              <w:szCs w:val="20"/>
            </w:rPr>
          </w:pPr>
          <w:r>
            <w:rPr>
              <w:rFonts w:asciiTheme="majorHAnsi" w:hAnsiTheme="majorHAnsi"/>
              <w:sz w:val="20"/>
              <w:szCs w:val="20"/>
            </w:rPr>
            <w:t>Março de 2015</w:t>
          </w:r>
        </w:p>
        <w:p w14:paraId="0421908B" w14:textId="77777777" w:rsidR="004A3ED8" w:rsidRPr="00FE529E" w:rsidRDefault="004A3ED8" w:rsidP="008A76B4">
          <w:pPr>
            <w:pStyle w:val="Footer"/>
            <w:spacing w:after="120" w:line="360" w:lineRule="auto"/>
            <w:jc w:val="center"/>
            <w:rPr>
              <w:rFonts w:asciiTheme="majorHAnsi" w:hAnsiTheme="majorHAnsi"/>
            </w:rPr>
          </w:pPr>
          <w:r w:rsidRPr="00FE529E">
            <w:rPr>
              <w:rFonts w:asciiTheme="majorHAnsi" w:hAnsiTheme="majorHAnsi"/>
              <w:sz w:val="20"/>
              <w:szCs w:val="20"/>
            </w:rPr>
            <w:t>Rev.00</w:t>
          </w:r>
        </w:p>
      </w:tc>
      <w:tc>
        <w:tcPr>
          <w:tcW w:w="1795" w:type="pct"/>
          <w:vAlign w:val="center"/>
        </w:tcPr>
        <w:p w14:paraId="16B2E6E3" w14:textId="77777777" w:rsidR="004A3ED8" w:rsidRPr="00FE529E" w:rsidRDefault="004A3ED8" w:rsidP="008A76B4">
          <w:pPr>
            <w:pStyle w:val="Footer"/>
            <w:spacing w:after="120" w:line="360" w:lineRule="auto"/>
            <w:jc w:val="right"/>
            <w:rPr>
              <w:rFonts w:asciiTheme="majorHAnsi" w:hAnsiTheme="majorHAnsi"/>
            </w:rPr>
          </w:pPr>
          <w:r>
            <w:rPr>
              <w:noProof/>
              <w:sz w:val="16"/>
              <w:szCs w:val="16"/>
              <w:lang w:val="en-US"/>
            </w:rPr>
            <w:drawing>
              <wp:inline distT="0" distB="0" distL="0" distR="0" wp14:anchorId="476C827D" wp14:editId="28D6CE80">
                <wp:extent cx="380852" cy="548640"/>
                <wp:effectExtent l="0" t="0" r="635" b="3810"/>
                <wp:docPr id="1073742126" name="Imagem 107374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r>
  </w:tbl>
  <w:p w14:paraId="6A36449E" w14:textId="77777777" w:rsidR="004A3ED8" w:rsidRDefault="004A3ED8">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tblBorders>
      <w:tblLook w:val="01E0" w:firstRow="1" w:lastRow="1" w:firstColumn="1" w:lastColumn="1" w:noHBand="0" w:noVBand="0"/>
    </w:tblPr>
    <w:tblGrid>
      <w:gridCol w:w="4120"/>
      <w:gridCol w:w="5770"/>
      <w:gridCol w:w="4114"/>
    </w:tblGrid>
    <w:tr w:rsidR="004A3ED8" w:rsidRPr="00C3335E" w14:paraId="1DF12789" w14:textId="77777777" w:rsidTr="00E13E52">
      <w:trPr>
        <w:trHeight w:val="469"/>
      </w:trPr>
      <w:tc>
        <w:tcPr>
          <w:tcW w:w="1471" w:type="pct"/>
          <w:tcBorders>
            <w:top w:val="single" w:sz="18" w:space="0" w:color="009E49"/>
          </w:tcBorders>
          <w:vAlign w:val="center"/>
        </w:tcPr>
        <w:p w14:paraId="17E33A6A" w14:textId="406798FC" w:rsidR="004A3ED8" w:rsidRPr="00F12E56" w:rsidRDefault="004A3ED8" w:rsidP="00C3335E">
          <w:pPr>
            <w:pStyle w:val="Footer"/>
            <w:spacing w:before="0"/>
            <w:jc w:val="left"/>
            <w:rPr>
              <w:rFonts w:asciiTheme="majorHAnsi" w:hAnsiTheme="majorHAnsi"/>
              <w:sz w:val="20"/>
              <w:szCs w:val="20"/>
            </w:rPr>
          </w:pPr>
          <w:r w:rsidRPr="00F12E56">
            <w:rPr>
              <w:rStyle w:val="CabRodChar"/>
              <w:rFonts w:asciiTheme="majorHAnsi" w:hAnsiTheme="majorHAnsi"/>
              <w:szCs w:val="20"/>
            </w:rPr>
            <w:t>Rev.01A</w:t>
          </w:r>
        </w:p>
      </w:tc>
      <w:tc>
        <w:tcPr>
          <w:tcW w:w="2060" w:type="pct"/>
          <w:tcBorders>
            <w:top w:val="single" w:sz="18" w:space="0" w:color="009E49"/>
          </w:tcBorders>
          <w:vAlign w:val="center"/>
        </w:tcPr>
        <w:p w14:paraId="0344C4E9" w14:textId="6E82EB46" w:rsidR="004A3ED8" w:rsidRPr="00F12E56" w:rsidRDefault="00F12E56" w:rsidP="00BA32BA">
          <w:pPr>
            <w:pStyle w:val="Footer"/>
            <w:spacing w:before="0"/>
            <w:jc w:val="center"/>
            <w:rPr>
              <w:rFonts w:asciiTheme="majorHAnsi" w:hAnsiTheme="majorHAnsi"/>
              <w:sz w:val="20"/>
              <w:szCs w:val="20"/>
            </w:rPr>
          </w:pPr>
          <w:r w:rsidRPr="00F12E56">
            <w:rPr>
              <w:rFonts w:asciiTheme="majorHAnsi" w:hAnsiTheme="majorHAnsi"/>
              <w:sz w:val="20"/>
              <w:szCs w:val="20"/>
            </w:rPr>
            <w:t>Setembro</w:t>
          </w:r>
          <w:r w:rsidR="004A3ED8" w:rsidRPr="00F12E56">
            <w:rPr>
              <w:rFonts w:asciiTheme="majorHAnsi" w:hAnsiTheme="majorHAnsi"/>
              <w:sz w:val="20"/>
              <w:szCs w:val="20"/>
            </w:rPr>
            <w:t>/2018</w:t>
          </w:r>
        </w:p>
      </w:tc>
      <w:tc>
        <w:tcPr>
          <w:tcW w:w="1469" w:type="pct"/>
          <w:tcBorders>
            <w:top w:val="single" w:sz="18" w:space="0" w:color="009E49"/>
          </w:tcBorders>
          <w:vAlign w:val="center"/>
        </w:tcPr>
        <w:p w14:paraId="0042CE4E"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9</w:t>
          </w:r>
          <w:r w:rsidRPr="00C3335E">
            <w:rPr>
              <w:rFonts w:asciiTheme="majorHAnsi" w:hAnsiTheme="majorHAnsi"/>
              <w:szCs w:val="20"/>
            </w:rPr>
            <w:fldChar w:fldCharType="end"/>
          </w:r>
        </w:p>
      </w:tc>
    </w:tr>
  </w:tbl>
  <w:p w14:paraId="478668CA" w14:textId="77777777" w:rsidR="004A3ED8" w:rsidRDefault="004A3ED8" w:rsidP="008A76B4">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446"/>
      <w:gridCol w:w="3425"/>
      <w:gridCol w:w="3200"/>
    </w:tblGrid>
    <w:tr w:rsidR="004A3ED8" w:rsidRPr="00C3335E" w14:paraId="7D070CC6" w14:textId="77777777" w:rsidTr="00E13E52">
      <w:trPr>
        <w:trHeight w:val="469"/>
        <w:jc w:val="center"/>
      </w:trPr>
      <w:tc>
        <w:tcPr>
          <w:tcW w:w="1348" w:type="pct"/>
          <w:tcBorders>
            <w:top w:val="single" w:sz="18" w:space="0" w:color="009E49"/>
          </w:tcBorders>
          <w:vAlign w:val="center"/>
        </w:tcPr>
        <w:p w14:paraId="6881E747" w14:textId="491C4EBA" w:rsidR="004A3ED8" w:rsidRPr="004A3ED8" w:rsidRDefault="004A3ED8" w:rsidP="00D86BA1">
          <w:pPr>
            <w:pStyle w:val="Footer"/>
            <w:spacing w:before="0"/>
            <w:jc w:val="left"/>
            <w:rPr>
              <w:rFonts w:asciiTheme="majorHAnsi" w:hAnsiTheme="majorHAnsi"/>
              <w:sz w:val="20"/>
              <w:szCs w:val="20"/>
            </w:rPr>
          </w:pPr>
          <w:r w:rsidRPr="004A3ED8">
            <w:rPr>
              <w:rStyle w:val="CabRodChar"/>
              <w:rFonts w:asciiTheme="majorHAnsi" w:hAnsiTheme="majorHAnsi"/>
              <w:szCs w:val="20"/>
            </w:rPr>
            <w:t>Rev.01A</w:t>
          </w:r>
        </w:p>
      </w:tc>
      <w:tc>
        <w:tcPr>
          <w:tcW w:w="1888" w:type="pct"/>
          <w:tcBorders>
            <w:top w:val="single" w:sz="18" w:space="0" w:color="009E49"/>
          </w:tcBorders>
          <w:vAlign w:val="center"/>
        </w:tcPr>
        <w:p w14:paraId="5A928FE5" w14:textId="228D16BA" w:rsidR="004A3ED8" w:rsidRPr="004A3ED8" w:rsidRDefault="004A3ED8" w:rsidP="00D86BA1">
          <w:pPr>
            <w:pStyle w:val="Footer"/>
            <w:spacing w:before="0"/>
            <w:jc w:val="center"/>
            <w:rPr>
              <w:rFonts w:asciiTheme="majorHAnsi" w:hAnsiTheme="majorHAnsi"/>
              <w:sz w:val="20"/>
              <w:szCs w:val="20"/>
            </w:rPr>
          </w:pPr>
          <w:r>
            <w:rPr>
              <w:rFonts w:asciiTheme="majorHAnsi" w:hAnsiTheme="majorHAnsi"/>
              <w:sz w:val="20"/>
              <w:szCs w:val="20"/>
            </w:rPr>
            <w:t>Setembro</w:t>
          </w:r>
          <w:r w:rsidRPr="004A3ED8">
            <w:rPr>
              <w:rFonts w:asciiTheme="majorHAnsi" w:hAnsiTheme="majorHAnsi"/>
              <w:sz w:val="20"/>
              <w:szCs w:val="20"/>
            </w:rPr>
            <w:t>/2018</w:t>
          </w:r>
        </w:p>
      </w:tc>
      <w:tc>
        <w:tcPr>
          <w:tcW w:w="1764" w:type="pct"/>
          <w:tcBorders>
            <w:top w:val="single" w:sz="18" w:space="0" w:color="009E49"/>
          </w:tcBorders>
          <w:vAlign w:val="center"/>
        </w:tcPr>
        <w:p w14:paraId="43A71CC2" w14:textId="77777777" w:rsidR="004A3ED8" w:rsidRPr="00C3335E" w:rsidRDefault="004A3ED8" w:rsidP="00C3335E">
          <w:pPr>
            <w:pStyle w:val="CabRod"/>
            <w:spacing w:line="240" w:lineRule="auto"/>
            <w:jc w:val="right"/>
            <w:rPr>
              <w:rFonts w:asciiTheme="majorHAnsi" w:hAnsiTheme="majorHAnsi"/>
              <w:szCs w:val="20"/>
            </w:rPr>
          </w:pPr>
          <w:r w:rsidRPr="00C3335E">
            <w:rPr>
              <w:rFonts w:asciiTheme="majorHAnsi" w:hAnsiTheme="majorHAnsi"/>
              <w:szCs w:val="20"/>
            </w:rPr>
            <w:fldChar w:fldCharType="begin"/>
          </w:r>
          <w:r w:rsidRPr="00C3335E">
            <w:rPr>
              <w:rFonts w:asciiTheme="majorHAnsi" w:hAnsiTheme="majorHAnsi"/>
              <w:szCs w:val="20"/>
            </w:rPr>
            <w:instrText>PAGE   \* MERGEFORMAT</w:instrText>
          </w:r>
          <w:r w:rsidRPr="00C3335E">
            <w:rPr>
              <w:rFonts w:asciiTheme="majorHAnsi" w:hAnsiTheme="majorHAnsi"/>
              <w:szCs w:val="20"/>
            </w:rPr>
            <w:fldChar w:fldCharType="separate"/>
          </w:r>
          <w:r>
            <w:rPr>
              <w:rFonts w:asciiTheme="majorHAnsi" w:hAnsiTheme="majorHAnsi"/>
              <w:noProof/>
              <w:szCs w:val="20"/>
            </w:rPr>
            <w:t>41</w:t>
          </w:r>
          <w:r w:rsidRPr="00C3335E">
            <w:rPr>
              <w:rFonts w:asciiTheme="majorHAnsi" w:hAnsiTheme="majorHAnsi"/>
              <w:szCs w:val="20"/>
            </w:rPr>
            <w:fldChar w:fldCharType="end"/>
          </w:r>
        </w:p>
      </w:tc>
    </w:tr>
  </w:tbl>
  <w:p w14:paraId="12820104" w14:textId="77777777" w:rsidR="004A3ED8" w:rsidRDefault="004A3ED8" w:rsidP="008A76B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top w:val="single" w:sz="4" w:space="0" w:color="auto"/>
      </w:tblBorders>
      <w:tblLook w:val="01E0" w:firstRow="1" w:lastRow="1" w:firstColumn="1" w:lastColumn="1" w:noHBand="0" w:noVBand="0"/>
    </w:tblPr>
    <w:tblGrid>
      <w:gridCol w:w="2732"/>
      <w:gridCol w:w="3826"/>
      <w:gridCol w:w="2729"/>
    </w:tblGrid>
    <w:tr w:rsidR="004A3ED8" w:rsidRPr="00E13E52" w14:paraId="1F389320" w14:textId="77777777" w:rsidTr="00E13E52">
      <w:trPr>
        <w:trHeight w:val="469"/>
        <w:jc w:val="center"/>
      </w:trPr>
      <w:tc>
        <w:tcPr>
          <w:tcW w:w="1471" w:type="pct"/>
          <w:tcBorders>
            <w:top w:val="single" w:sz="18" w:space="0" w:color="009E49"/>
          </w:tcBorders>
          <w:vAlign w:val="center"/>
        </w:tcPr>
        <w:p w14:paraId="22D59C1E" w14:textId="77777777" w:rsidR="004A3ED8" w:rsidRPr="00E13E52" w:rsidRDefault="004A3ED8" w:rsidP="004D65B3">
          <w:pPr>
            <w:pStyle w:val="Footer"/>
            <w:jc w:val="left"/>
            <w:rPr>
              <w:rFonts w:asciiTheme="majorHAnsi" w:hAnsiTheme="majorHAnsi"/>
              <w:sz w:val="20"/>
              <w:szCs w:val="20"/>
            </w:rPr>
          </w:pPr>
          <w:r w:rsidRPr="00E13E52">
            <w:rPr>
              <w:rStyle w:val="CabRodChar"/>
              <w:rFonts w:asciiTheme="majorHAnsi" w:hAnsiTheme="majorHAnsi"/>
            </w:rPr>
            <w:t>Rev.00</w:t>
          </w:r>
        </w:p>
      </w:tc>
      <w:tc>
        <w:tcPr>
          <w:tcW w:w="2060" w:type="pct"/>
          <w:tcBorders>
            <w:top w:val="single" w:sz="18" w:space="0" w:color="009E49"/>
          </w:tcBorders>
          <w:vAlign w:val="center"/>
        </w:tcPr>
        <w:p w14:paraId="77D2DF32" w14:textId="77777777" w:rsidR="004A3ED8" w:rsidRPr="00E13E52" w:rsidRDefault="004A3ED8" w:rsidP="004D65B3">
          <w:pPr>
            <w:pStyle w:val="Footer"/>
            <w:jc w:val="center"/>
            <w:rPr>
              <w:rFonts w:asciiTheme="majorHAnsi" w:hAnsiTheme="majorHAnsi"/>
              <w:sz w:val="20"/>
              <w:szCs w:val="20"/>
            </w:rPr>
          </w:pPr>
          <w:r w:rsidRPr="00E13E52">
            <w:rPr>
              <w:rFonts w:asciiTheme="majorHAnsi" w:hAnsiTheme="majorHAnsi"/>
              <w:sz w:val="20"/>
              <w:szCs w:val="20"/>
            </w:rPr>
            <w:t>Março/2015</w:t>
          </w:r>
        </w:p>
      </w:tc>
      <w:tc>
        <w:tcPr>
          <w:tcW w:w="1469" w:type="pct"/>
          <w:tcBorders>
            <w:top w:val="single" w:sz="18" w:space="0" w:color="009E49"/>
          </w:tcBorders>
          <w:vAlign w:val="center"/>
        </w:tcPr>
        <w:p w14:paraId="6FC9791F" w14:textId="77777777" w:rsidR="004A3ED8" w:rsidRPr="00E13E52" w:rsidRDefault="004A3ED8" w:rsidP="004D65B3">
          <w:pPr>
            <w:pStyle w:val="CabRod"/>
            <w:jc w:val="right"/>
            <w:rPr>
              <w:rFonts w:asciiTheme="majorHAnsi" w:hAnsiTheme="majorHAnsi"/>
            </w:rPr>
          </w:pPr>
          <w:r w:rsidRPr="00E13E52">
            <w:rPr>
              <w:rFonts w:asciiTheme="majorHAnsi" w:hAnsiTheme="majorHAnsi"/>
            </w:rPr>
            <w:fldChar w:fldCharType="begin"/>
          </w:r>
          <w:r w:rsidRPr="00E13E52">
            <w:rPr>
              <w:rFonts w:asciiTheme="majorHAnsi" w:hAnsiTheme="majorHAnsi"/>
            </w:rPr>
            <w:instrText>PAGE   \* MERGEFORMAT</w:instrText>
          </w:r>
          <w:r w:rsidRPr="00E13E52">
            <w:rPr>
              <w:rFonts w:asciiTheme="majorHAnsi" w:hAnsiTheme="majorHAnsi"/>
            </w:rPr>
            <w:fldChar w:fldCharType="separate"/>
          </w:r>
          <w:r>
            <w:rPr>
              <w:rFonts w:asciiTheme="majorHAnsi" w:hAnsiTheme="majorHAnsi"/>
              <w:noProof/>
            </w:rPr>
            <w:t>10</w:t>
          </w:r>
          <w:r w:rsidRPr="00E13E52">
            <w:rPr>
              <w:rFonts w:asciiTheme="majorHAnsi" w:hAnsiTheme="majorHAnsi"/>
            </w:rPr>
            <w:fldChar w:fldCharType="end"/>
          </w:r>
        </w:p>
      </w:tc>
    </w:tr>
  </w:tbl>
  <w:p w14:paraId="5870E5A6" w14:textId="77777777" w:rsidR="004A3ED8" w:rsidRDefault="004A3E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DAC4DC" w14:textId="77777777" w:rsidR="004A3ED8" w:rsidRDefault="004A3ED8" w:rsidP="003E0E5D">
      <w:pPr>
        <w:spacing w:before="0" w:line="240" w:lineRule="auto"/>
      </w:pPr>
      <w:r>
        <w:separator/>
      </w:r>
    </w:p>
    <w:p w14:paraId="15BF13B3" w14:textId="77777777" w:rsidR="004A3ED8" w:rsidRDefault="004A3ED8" w:rsidP="003E0E5D">
      <w:pPr>
        <w:spacing w:before="0" w:line="240" w:lineRule="auto"/>
      </w:pPr>
    </w:p>
    <w:p w14:paraId="5E638375" w14:textId="77777777" w:rsidR="004A3ED8" w:rsidRDefault="004A3ED8" w:rsidP="004365B6"/>
  </w:footnote>
  <w:footnote w:type="continuationSeparator" w:id="0">
    <w:p w14:paraId="4893F620" w14:textId="77777777" w:rsidR="004A3ED8" w:rsidRPr="003E0E5D" w:rsidRDefault="004A3ED8" w:rsidP="003E0E5D">
      <w:pPr>
        <w:pStyle w:val="Footer"/>
      </w:pPr>
    </w:p>
  </w:footnote>
  <w:footnote w:type="continuationNotice" w:id="1">
    <w:p w14:paraId="4F461B21" w14:textId="77777777" w:rsidR="004A3ED8" w:rsidRDefault="004A3ED8">
      <w:pPr>
        <w:spacing w:before="0" w:line="240" w:lineRule="auto"/>
      </w:pPr>
    </w:p>
  </w:footnote>
  <w:footnote w:id="2">
    <w:p w14:paraId="0B4A44CE" w14:textId="3656423D" w:rsidR="004A3ED8" w:rsidRPr="007344BA" w:rsidRDefault="004A3ED8" w:rsidP="007344BA">
      <w:pPr>
        <w:pStyle w:val="FootnoteText"/>
        <w:jc w:val="left"/>
        <w:rPr>
          <w:rFonts w:asciiTheme="majorHAnsi" w:hAnsiTheme="majorHAnsi"/>
          <w:sz w:val="18"/>
          <w:szCs w:val="18"/>
        </w:rPr>
      </w:pPr>
      <w:r w:rsidRPr="007344BA">
        <w:rPr>
          <w:rFonts w:asciiTheme="majorHAnsi" w:hAnsiTheme="majorHAnsi"/>
          <w:sz w:val="18"/>
          <w:szCs w:val="18"/>
          <w:vertAlign w:val="superscript"/>
        </w:rPr>
        <w:footnoteRef/>
      </w:r>
      <w:r w:rsidRPr="007344BA">
        <w:rPr>
          <w:rFonts w:asciiTheme="majorHAnsi" w:hAnsiTheme="majorHAnsi"/>
          <w:sz w:val="18"/>
          <w:szCs w:val="18"/>
        </w:rPr>
        <w:t xml:space="preserve"> “Representante legal da empresa operadora” </w:t>
      </w:r>
      <w:r>
        <w:rPr>
          <w:rFonts w:asciiTheme="majorHAnsi" w:hAnsiTheme="majorHAnsi"/>
          <w:sz w:val="18"/>
          <w:szCs w:val="18"/>
        </w:rPr>
        <w:t xml:space="preserve">é, neste caso, </w:t>
      </w:r>
      <w:r w:rsidRPr="007344BA">
        <w:rPr>
          <w:rFonts w:asciiTheme="majorHAnsi" w:hAnsiTheme="majorHAnsi"/>
          <w:sz w:val="18"/>
          <w:szCs w:val="18"/>
        </w:rPr>
        <w:t>equivale</w:t>
      </w:r>
      <w:r>
        <w:rPr>
          <w:rFonts w:asciiTheme="majorHAnsi" w:hAnsiTheme="majorHAnsi"/>
          <w:sz w:val="18"/>
          <w:szCs w:val="18"/>
        </w:rPr>
        <w:t>nte</w:t>
      </w:r>
      <w:r w:rsidRPr="007344BA">
        <w:rPr>
          <w:rFonts w:asciiTheme="majorHAnsi" w:hAnsiTheme="majorHAnsi"/>
          <w:sz w:val="18"/>
          <w:szCs w:val="18"/>
        </w:rPr>
        <w:t xml:space="preserve"> ao “Representante Legal da Instalação” da Resolução CONAMA n° 398/08.</w:t>
      </w:r>
    </w:p>
  </w:footnote>
  <w:footnote w:id="3">
    <w:p w14:paraId="3B3E3EE5"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cstheme="majorHAnsi"/>
          <w:sz w:val="18"/>
          <w:szCs w:val="18"/>
        </w:rPr>
        <w:t xml:space="preserve"> Com relação ao município de Oiapoque</w:t>
      </w:r>
      <w:r w:rsidRPr="007344BA">
        <w:rPr>
          <w:rFonts w:asciiTheme="majorHAnsi" w:hAnsiTheme="majorHAnsi"/>
          <w:sz w:val="18"/>
          <w:szCs w:val="18"/>
        </w:rPr>
        <w:t>.</w:t>
      </w:r>
    </w:p>
  </w:footnote>
  <w:footnote w:id="4">
    <w:p w14:paraId="4E7460A1" w14:textId="53144221" w:rsidR="004A3ED8" w:rsidRPr="00CE6488" w:rsidRDefault="004A3ED8" w:rsidP="00CE6488">
      <w:pPr>
        <w:autoSpaceDE w:val="0"/>
        <w:autoSpaceDN w:val="0"/>
        <w:rPr>
          <w:rFonts w:asciiTheme="majorHAnsi" w:hAnsiTheme="majorHAnsi" w:cstheme="majorHAnsi"/>
          <w:sz w:val="18"/>
          <w:szCs w:val="18"/>
        </w:rPr>
      </w:pPr>
      <w:r>
        <w:rPr>
          <w:rStyle w:val="FootnoteReference"/>
        </w:rPr>
        <w:footnoteRef/>
      </w:r>
      <w:r>
        <w:t xml:space="preserve"> </w:t>
      </w:r>
      <w:r w:rsidRPr="00CE6488">
        <w:rPr>
          <w:rFonts w:asciiTheme="majorHAnsi" w:hAnsiTheme="majorHAnsi" w:cstheme="majorHAnsi"/>
          <w:sz w:val="18"/>
          <w:szCs w:val="18"/>
        </w:rPr>
        <w:t xml:space="preserve">A descrição da Unidade de Perfuração do tipo navio-sonda ENSCO DS-9 a ser empregada na Atividade de Perfuração Marítima </w:t>
      </w:r>
      <w:r>
        <w:rPr>
          <w:rFonts w:asciiTheme="majorHAnsi" w:hAnsiTheme="majorHAnsi" w:cstheme="majorHAnsi"/>
          <w:sz w:val="18"/>
          <w:szCs w:val="18"/>
        </w:rPr>
        <w:t xml:space="preserve">no Bloco FZA-M-59 - </w:t>
      </w:r>
      <w:r w:rsidRPr="00CE6488">
        <w:rPr>
          <w:rFonts w:asciiTheme="majorHAnsi" w:hAnsiTheme="majorHAnsi" w:cstheme="majorHAnsi"/>
          <w:sz w:val="18"/>
          <w:szCs w:val="18"/>
        </w:rPr>
        <w:t>Bacia da Foz do Amazonas</w:t>
      </w:r>
      <w:r>
        <w:rPr>
          <w:rFonts w:asciiTheme="majorHAnsi" w:hAnsiTheme="majorHAnsi" w:cstheme="majorHAnsi"/>
          <w:sz w:val="18"/>
          <w:szCs w:val="18"/>
        </w:rPr>
        <w:t>,</w:t>
      </w:r>
      <w:r w:rsidRPr="00CE6488">
        <w:rPr>
          <w:rFonts w:asciiTheme="majorHAnsi" w:hAnsiTheme="majorHAnsi" w:cstheme="majorHAnsi"/>
          <w:sz w:val="18"/>
          <w:szCs w:val="18"/>
        </w:rPr>
        <w:t xml:space="preserve"> foi apresentada no âmbito do processo administrativo  02022.000936/2016-83, referente ao Cadastro de Unidades Marítimas de Perfuração – CADUMP, documento protocolado pela e</w:t>
      </w:r>
      <w:r>
        <w:rPr>
          <w:rFonts w:asciiTheme="majorHAnsi" w:hAnsiTheme="majorHAnsi" w:cstheme="majorHAnsi"/>
          <w:sz w:val="18"/>
          <w:szCs w:val="18"/>
        </w:rPr>
        <w:t>mpresa Total E&amp;P do Brasil Ltda, e será anexada à versão consolidada do PEI, quando da sua aprovação.</w:t>
      </w:r>
    </w:p>
  </w:footnote>
  <w:footnote w:id="5">
    <w:p w14:paraId="5DFFA989"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Estes números só serão atribuídos quando a unidade estiver no país</w:t>
      </w:r>
      <w:r w:rsidRPr="007344BA">
        <w:rPr>
          <w:rFonts w:asciiTheme="majorHAnsi" w:hAnsiTheme="majorHAnsi"/>
          <w:sz w:val="18"/>
          <w:szCs w:val="18"/>
        </w:rPr>
        <w:t>.</w:t>
      </w:r>
    </w:p>
  </w:footnote>
  <w:footnote w:id="6">
    <w:p w14:paraId="6E429C7A"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ICS 201 – formulário de resumo de informações do incidente que fornece ao IC e às Equipes Geral e de Comando informações básicas sobre o evento, a resposta tática e os recursos alocados na sua resposta. Também serve como o Plano de Ação Inicial do incidente e como um registro de sua fase inicial de resposta.</w:t>
      </w:r>
    </w:p>
  </w:footnote>
  <w:footnote w:id="7">
    <w:p w14:paraId="0C79ED55" w14:textId="1E518688" w:rsidR="004A3ED8" w:rsidRPr="007344BA" w:rsidRDefault="004A3ED8" w:rsidP="00CD1FE6">
      <w:pPr>
        <w:pStyle w:val="FootnoteText"/>
        <w:rPr>
          <w:rFonts w:asciiTheme="majorHAnsi" w:hAnsiTheme="majorHAnsi" w:cs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Por meio do Relatório Geral do Incidente (ICS 201)</w:t>
      </w:r>
      <w:r w:rsidRPr="007344BA">
        <w:rPr>
          <w:rFonts w:asciiTheme="majorHAnsi" w:hAnsiTheme="majorHAnsi"/>
          <w:sz w:val="18"/>
          <w:szCs w:val="18"/>
        </w:rPr>
        <w:t xml:space="preserve">. </w:t>
      </w:r>
      <w:r w:rsidRPr="007344BA">
        <w:rPr>
          <w:rFonts w:asciiTheme="majorHAnsi" w:hAnsiTheme="majorHAnsi" w:cstheme="majorHAnsi"/>
          <w:sz w:val="18"/>
          <w:szCs w:val="18"/>
        </w:rPr>
        <w:t xml:space="preserve">Na primeira comunicação, deverá ser enfatizada a importância da passagem das informações </w:t>
      </w:r>
      <w:r>
        <w:rPr>
          <w:rFonts w:asciiTheme="majorHAnsi" w:hAnsiTheme="majorHAnsi" w:cstheme="majorHAnsi"/>
          <w:sz w:val="18"/>
          <w:szCs w:val="18"/>
        </w:rPr>
        <w:t>constantes do</w:t>
      </w:r>
      <w:r w:rsidRPr="007344BA">
        <w:rPr>
          <w:rFonts w:asciiTheme="majorHAnsi" w:hAnsiTheme="majorHAnsi" w:cstheme="majorHAnsi"/>
          <w:sz w:val="18"/>
          <w:szCs w:val="18"/>
        </w:rPr>
        <w:t xml:space="preserve"> relatório, </w:t>
      </w:r>
      <w:r>
        <w:rPr>
          <w:rFonts w:asciiTheme="majorHAnsi" w:hAnsiTheme="majorHAnsi" w:cstheme="majorHAnsi"/>
          <w:sz w:val="18"/>
          <w:szCs w:val="18"/>
        </w:rPr>
        <w:t>sobrepondo a elaboração d</w:t>
      </w:r>
      <w:r w:rsidRPr="007344BA">
        <w:rPr>
          <w:rFonts w:asciiTheme="majorHAnsi" w:hAnsiTheme="majorHAnsi" w:cstheme="majorHAnsi"/>
          <w:sz w:val="18"/>
          <w:szCs w:val="18"/>
        </w:rPr>
        <w:t>o próprio, que deverá ser montado e enviado quando possível.</w:t>
      </w:r>
    </w:p>
  </w:footnote>
  <w:footnote w:id="8">
    <w:p w14:paraId="3C9296D8"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Conceito de disponibilidade operacional (24 horas, 7 dias por semana).</w:t>
      </w:r>
    </w:p>
  </w:footnote>
  <w:footnote w:id="9">
    <w:p w14:paraId="5FB208A4"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A função de Coordenador Operacional será exercida por um membro do GAA, escolhido de acordo com o tipo de acidente, sendo: a Marinha, nos casos de incidentes ocorridos em águas abertas, bem como em águas interiores compreendidas entre a costa e a linha de base reta, a partir da qual se mede o mar territorial; o IBAMA, nos casos de incidentes ocorridos em terra e em águas interiores, excetuando as águas compreendidas entre a costa e a linha de base reta, a partir da qual se mede o mar territorial; e a ANP, nos casos de incidentes de poluição por óleo a partir de estruturas submarinas de perfuração e produção de petróleo.</w:t>
      </w:r>
    </w:p>
  </w:footnote>
  <w:footnote w:id="10">
    <w:p w14:paraId="4C0266E0" w14:textId="11B96193"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Conforme diretrizes da Instrução Normativa nº 15 de 2014, a comunicação inicial ao IBAMA (C</w:t>
      </w:r>
      <w:r>
        <w:rPr>
          <w:rFonts w:asciiTheme="majorHAnsi" w:hAnsiTheme="majorHAnsi"/>
          <w:sz w:val="18"/>
          <w:szCs w:val="18"/>
        </w:rPr>
        <w:t>OEXP</w:t>
      </w:r>
      <w:r w:rsidRPr="007344BA">
        <w:rPr>
          <w:rFonts w:asciiTheme="majorHAnsi" w:hAnsiTheme="majorHAnsi"/>
          <w:sz w:val="18"/>
          <w:szCs w:val="18"/>
        </w:rPr>
        <w:t xml:space="preserve"> e CGEMA) só deverá ser feita através do SIEMA (Sistema Nacional de Emergências Ambientais), salvo em situações em que o sistema encontrar-se inoperante, quando deverão ser utilizados os canais tradicionais de comunicação (fax/e</w:t>
      </w:r>
      <w:r w:rsidRPr="007344BA">
        <w:rPr>
          <w:rFonts w:asciiTheme="majorHAnsi" w:hAnsiTheme="majorHAnsi"/>
          <w:sz w:val="18"/>
          <w:szCs w:val="18"/>
        </w:rPr>
        <w:noBreakHyphen/>
        <w:t>mail).</w:t>
      </w:r>
    </w:p>
  </w:footnote>
  <w:footnote w:id="11">
    <w:p w14:paraId="13317D6A" w14:textId="77777777"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Conforme diretrizes fornecidas no site da ANP (</w:t>
      </w:r>
      <w:hyperlink r:id="rId1" w:history="1">
        <w:r w:rsidRPr="007344BA">
          <w:rPr>
            <w:rStyle w:val="Hyperlink"/>
            <w:rFonts w:asciiTheme="majorHAnsi" w:hAnsiTheme="majorHAnsi"/>
            <w:sz w:val="18"/>
            <w:szCs w:val="18"/>
          </w:rPr>
          <w:t>www.anp.gov.br</w:t>
        </w:r>
      </w:hyperlink>
      <w:r w:rsidRPr="007344BA">
        <w:rPr>
          <w:rFonts w:asciiTheme="majorHAnsi" w:hAnsiTheme="majorHAnsi"/>
          <w:sz w:val="18"/>
          <w:szCs w:val="18"/>
        </w:rPr>
        <w:t>), a comunicação inicial a ANP deverá ser feita através do SISO (Sistema Integrado de Segurança Operacional), salvo em situações em que o sistema encontrar-se inoperante, quando deverão ser utilizados os canais tradicionais de comunicação (fax/e</w:t>
      </w:r>
      <w:r w:rsidRPr="007344BA">
        <w:rPr>
          <w:rFonts w:asciiTheme="majorHAnsi" w:hAnsiTheme="majorHAnsi"/>
          <w:sz w:val="18"/>
          <w:szCs w:val="18"/>
        </w:rPr>
        <w:noBreakHyphen/>
        <w:t>mail).</w:t>
      </w:r>
    </w:p>
  </w:footnote>
  <w:footnote w:id="12">
    <w:p w14:paraId="6CA4FD68" w14:textId="77777777"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Se uma comunicação a uma agência governamental for feita fora do </w:t>
      </w:r>
      <w:r w:rsidRPr="007344BA">
        <w:rPr>
          <w:rFonts w:asciiTheme="majorHAnsi" w:hAnsiTheme="majorHAnsi" w:cstheme="majorHAnsi"/>
          <w:sz w:val="18"/>
          <w:szCs w:val="18"/>
        </w:rPr>
        <w:t>período de</w:t>
      </w:r>
      <w:r w:rsidRPr="007344BA">
        <w:rPr>
          <w:rFonts w:asciiTheme="majorHAnsi" w:hAnsiTheme="majorHAnsi"/>
          <w:sz w:val="18"/>
          <w:szCs w:val="18"/>
        </w:rPr>
        <w:t xml:space="preserve"> trabalho e lá não houver sistema de plantão 24 horas, o contato para a confirmação do recebimento deverá ser feito como a primeira ação no período de trabalho seguinte.</w:t>
      </w:r>
    </w:p>
  </w:footnote>
  <w:footnote w:id="13">
    <w:p w14:paraId="109A7DF0" w14:textId="77777777"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Outros formulários do ICS podem ser obtidos na </w:t>
      </w:r>
      <w:r w:rsidRPr="007344BA">
        <w:rPr>
          <w:rFonts w:asciiTheme="majorHAnsi" w:hAnsiTheme="majorHAnsi"/>
          <w:i/>
          <w:sz w:val="18"/>
          <w:szCs w:val="18"/>
        </w:rPr>
        <w:t>intranet</w:t>
      </w:r>
      <w:r w:rsidRPr="007344BA">
        <w:rPr>
          <w:rFonts w:asciiTheme="majorHAnsi" w:hAnsiTheme="majorHAnsi"/>
          <w:sz w:val="18"/>
          <w:szCs w:val="18"/>
        </w:rPr>
        <w:t xml:space="preserve"> da empresa e no </w:t>
      </w:r>
      <w:r w:rsidRPr="007344BA">
        <w:rPr>
          <w:rFonts w:asciiTheme="majorHAnsi" w:hAnsiTheme="majorHAnsi"/>
          <w:i/>
          <w:sz w:val="18"/>
          <w:szCs w:val="18"/>
        </w:rPr>
        <w:t>Incident Management Plan</w:t>
      </w:r>
      <w:r w:rsidRPr="007344BA">
        <w:rPr>
          <w:rFonts w:asciiTheme="majorHAnsi" w:hAnsiTheme="majorHAnsi"/>
          <w:sz w:val="18"/>
          <w:szCs w:val="18"/>
        </w:rPr>
        <w:t xml:space="preserve"> (IMP) da BP Energy do Brasil</w:t>
      </w:r>
    </w:p>
  </w:footnote>
  <w:footnote w:id="14">
    <w:p w14:paraId="11DE1D1B" w14:textId="4F963133"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Considerando o prazo para a coleta das informações iniciais confiáveis (principalmente as do formulário ‘Relatório Geral do Incidente’) e recolhimento das aprovações para liberação do documento, conforme procedimento definido</w:t>
      </w:r>
      <w:r>
        <w:rPr>
          <w:rFonts w:asciiTheme="majorHAnsi" w:hAnsiTheme="majorHAnsi"/>
          <w:sz w:val="18"/>
          <w:szCs w:val="18"/>
        </w:rPr>
        <w:t xml:space="preserve"> e prazos definidos pela ANP no MCI versão 3.0</w:t>
      </w:r>
    </w:p>
  </w:footnote>
  <w:footnote w:id="15">
    <w:p w14:paraId="110F6223" w14:textId="77777777" w:rsidR="004A3ED8" w:rsidRPr="007344BA" w:rsidRDefault="004A3ED8" w:rsidP="00CD1FE6">
      <w:pPr>
        <w:pStyle w:val="FootnoteText"/>
        <w:rPr>
          <w:rFonts w:asciiTheme="majorHAnsi" w:hAnsiTheme="majorHAnsi" w:cs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Termo qualitativo utilizado para enfatizar a importância de um recurso, um processo, uma posição ou um contratante, que deve estar disponível e operacional constantemente ou o mais cedo possível, após a ocorrência de um incidente, emergência ou desastre.</w:t>
      </w:r>
    </w:p>
  </w:footnote>
  <w:footnote w:id="16">
    <w:p w14:paraId="16349D94"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cstheme="majorHAnsi"/>
          <w:sz w:val="18"/>
          <w:szCs w:val="18"/>
        </w:rPr>
        <w:footnoteRef/>
      </w:r>
      <w:r w:rsidRPr="007344BA">
        <w:rPr>
          <w:rFonts w:asciiTheme="majorHAnsi" w:hAnsiTheme="majorHAnsi" w:cstheme="majorHAnsi"/>
          <w:sz w:val="18"/>
          <w:szCs w:val="18"/>
        </w:rPr>
        <w:t xml:space="preserve"> Alguém não designado para exercer a posição primária, mas com a capacidade técnica e qualificação para prestar importante apoio para esta posição primária.</w:t>
      </w:r>
    </w:p>
  </w:footnote>
  <w:footnote w:id="17">
    <w:p w14:paraId="58BE7D0F" w14:textId="0FFE7EE9" w:rsidR="004A3ED8" w:rsidRPr="003C1EF6" w:rsidRDefault="004A3ED8">
      <w:pPr>
        <w:pStyle w:val="FootnoteText"/>
        <w:rPr>
          <w:highlight w:val="lightGray"/>
        </w:rPr>
      </w:pPr>
      <w:r w:rsidRPr="003C1EF6">
        <w:rPr>
          <w:rStyle w:val="FootnoteReference"/>
          <w:highlight w:val="lightGray"/>
        </w:rPr>
        <w:footnoteRef/>
      </w:r>
      <w:r w:rsidRPr="003C1EF6">
        <w:rPr>
          <w:highlight w:val="lightGray"/>
        </w:rPr>
        <w:t xml:space="preserve"> </w:t>
      </w:r>
      <w:r w:rsidRPr="003C1EF6">
        <w:rPr>
          <w:rFonts w:asciiTheme="majorHAnsi" w:hAnsiTheme="majorHAnsi"/>
          <w:sz w:val="18"/>
          <w:highlight w:val="lightGray"/>
        </w:rPr>
        <w:t>Do inglês “Communications and External Affairs” (Comunicação e Relações Externas).</w:t>
      </w:r>
    </w:p>
  </w:footnote>
  <w:footnote w:id="18">
    <w:p w14:paraId="253C1EBA" w14:textId="2AE630A3" w:rsidR="004A3ED8" w:rsidRPr="00463AB3" w:rsidRDefault="004A3ED8">
      <w:pPr>
        <w:pStyle w:val="FootnoteText"/>
        <w:rPr>
          <w:color w:val="FF0000"/>
        </w:rPr>
      </w:pPr>
      <w:r w:rsidRPr="003C1EF6">
        <w:rPr>
          <w:rStyle w:val="FootnoteReference"/>
          <w:highlight w:val="lightGray"/>
        </w:rPr>
        <w:footnoteRef/>
      </w:r>
      <w:r w:rsidRPr="003C1EF6">
        <w:rPr>
          <w:highlight w:val="lightGray"/>
        </w:rPr>
        <w:t xml:space="preserve"> </w:t>
      </w:r>
      <w:r w:rsidRPr="003C1EF6">
        <w:rPr>
          <w:rFonts w:asciiTheme="majorHAnsi" w:hAnsiTheme="majorHAnsi"/>
          <w:sz w:val="18"/>
          <w:highlight w:val="lightGray"/>
        </w:rPr>
        <w:t>Informações obtidas em consulta ao site “Regional Pollution Emergency, Information and Training Centre – Caribe” (www.racrempeitec.org), onde existe uma base de dados dos países com informações contatos de notificação de emergências e pontos focais, entre outras.</w:t>
      </w:r>
      <w:r w:rsidRPr="003C1EF6">
        <w:rPr>
          <w:rFonts w:asciiTheme="majorHAnsi" w:hAnsiTheme="majorHAnsi"/>
          <w:sz w:val="18"/>
        </w:rPr>
        <w:t xml:space="preserve"> </w:t>
      </w:r>
    </w:p>
  </w:footnote>
  <w:footnote w:id="19">
    <w:p w14:paraId="7B8DE777"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i/>
          <w:sz w:val="18"/>
          <w:szCs w:val="18"/>
        </w:rPr>
        <w:t xml:space="preserve">Oil Spill Response Limited </w:t>
      </w:r>
      <w:r w:rsidRPr="007344BA">
        <w:rPr>
          <w:rFonts w:asciiTheme="majorHAnsi" w:hAnsiTheme="majorHAnsi"/>
          <w:sz w:val="18"/>
          <w:szCs w:val="18"/>
        </w:rPr>
        <w:t xml:space="preserve">(OSRL) é uma cooperativa de propriedade da indústria, que existe para responder aos derramamentos de petróleo em várias localidades do planeta. Esses serviços incluem assessoria técnica, provisão de pessoal especializado, aluguel e manutenção de equipamentos e treinamento. Seus recursos encontram-se distribuídos em grandes centros de resposta Tier 3 (UK, USA e Bahrein) e centros de resposta Tier 2 regionais. Mais informações podem ser obtidas em </w:t>
      </w:r>
      <w:hyperlink r:id="rId2" w:history="1">
        <w:r w:rsidRPr="007344BA">
          <w:rPr>
            <w:rStyle w:val="Hyperlink"/>
            <w:rFonts w:asciiTheme="majorHAnsi" w:hAnsiTheme="majorHAnsi"/>
            <w:sz w:val="18"/>
            <w:szCs w:val="18"/>
          </w:rPr>
          <w:t>http://www.oilspillresponse.com/</w:t>
        </w:r>
      </w:hyperlink>
      <w:r w:rsidRPr="007344BA">
        <w:rPr>
          <w:rFonts w:asciiTheme="majorHAnsi" w:hAnsiTheme="majorHAnsi"/>
          <w:sz w:val="18"/>
          <w:szCs w:val="18"/>
        </w:rPr>
        <w:t>.</w:t>
      </w:r>
    </w:p>
  </w:footnote>
  <w:footnote w:id="20">
    <w:p w14:paraId="0DF5C2FC" w14:textId="77777777"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A filosofia de resposta da BP é de exceder a reação e a resposta, reavaliar sucessivamente a situação e fazer os ajustes necessários de acordo. “Sempre se preparar para o pior; é melhor ter redundância de recursos de resposta e pessoal do que faltar” (Manual de Táticas da BP).</w:t>
      </w:r>
    </w:p>
  </w:footnote>
  <w:footnote w:id="21">
    <w:p w14:paraId="2845EFAD" w14:textId="77777777" w:rsidR="004A3ED8" w:rsidRPr="007344BA" w:rsidRDefault="004A3ED8" w:rsidP="007344BA">
      <w:pPr>
        <w:pStyle w:val="FootnoteText"/>
        <w:rPr>
          <w:rFonts w:asciiTheme="majorHAnsi" w:hAnsiTheme="majorHAnsi"/>
          <w:sz w:val="18"/>
          <w:szCs w:val="18"/>
          <w:lang w:val="en-US"/>
        </w:rPr>
      </w:pPr>
      <w:r w:rsidRPr="007344BA">
        <w:rPr>
          <w:rStyle w:val="FootnoteReference"/>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Petroleum Industry Environmental Conservation Association</w:t>
      </w:r>
      <w:r w:rsidRPr="007344BA">
        <w:rPr>
          <w:rFonts w:asciiTheme="majorHAnsi" w:hAnsiTheme="majorHAnsi"/>
          <w:sz w:val="18"/>
          <w:szCs w:val="18"/>
          <w:lang w:val="en-US"/>
        </w:rPr>
        <w:t>.</w:t>
      </w:r>
    </w:p>
  </w:footnote>
  <w:footnote w:id="22">
    <w:p w14:paraId="1E08872F" w14:textId="77777777" w:rsidR="004A3ED8" w:rsidRPr="007344BA" w:rsidRDefault="004A3ED8" w:rsidP="007344B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International Maritime Organization (Organização Marítima Internacional).</w:t>
      </w:r>
    </w:p>
  </w:footnote>
  <w:footnote w:id="23">
    <w:p w14:paraId="4836C68D" w14:textId="77777777" w:rsidR="004A3ED8" w:rsidRPr="007344BA" w:rsidRDefault="004A3ED8" w:rsidP="007344BA">
      <w:pPr>
        <w:pStyle w:val="FootnoteText"/>
        <w:rPr>
          <w:rFonts w:asciiTheme="majorHAnsi" w:hAnsiTheme="majorHAnsi"/>
          <w:sz w:val="18"/>
          <w:szCs w:val="18"/>
          <w:lang w:val="en-US"/>
        </w:rPr>
      </w:pPr>
      <w:r w:rsidRPr="007344BA">
        <w:rPr>
          <w:rStyle w:val="FootnoteReference"/>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Tanker Owners Pollution Federation</w:t>
      </w:r>
      <w:r w:rsidRPr="007344BA">
        <w:rPr>
          <w:rFonts w:asciiTheme="majorHAnsi" w:hAnsiTheme="majorHAnsi"/>
          <w:sz w:val="18"/>
          <w:szCs w:val="18"/>
          <w:lang w:val="en-US"/>
        </w:rPr>
        <w:t>.</w:t>
      </w:r>
    </w:p>
  </w:footnote>
  <w:footnote w:id="24">
    <w:p w14:paraId="786BFD10" w14:textId="0B6CEF36"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Oil Spill Response Operations Plan</w:t>
      </w:r>
      <w:r w:rsidRPr="007344BA">
        <w:rPr>
          <w:rFonts w:asciiTheme="majorHAnsi" w:hAnsiTheme="majorHAnsi" w:cstheme="majorHAnsi"/>
          <w:sz w:val="18"/>
          <w:szCs w:val="18"/>
        </w:rPr>
        <w:t xml:space="preserve"> (Plano de Operações de Resposta a Derrame de Óleo).</w:t>
      </w:r>
    </w:p>
  </w:footnote>
  <w:footnote w:id="25">
    <w:p w14:paraId="61D859F4" w14:textId="27F570CA"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Filial (em inglês, </w:t>
      </w:r>
      <w:r w:rsidRPr="007344BA">
        <w:rPr>
          <w:rFonts w:asciiTheme="majorHAnsi" w:hAnsiTheme="majorHAnsi"/>
          <w:i/>
          <w:sz w:val="18"/>
          <w:szCs w:val="18"/>
        </w:rPr>
        <w:t>Branch</w:t>
      </w:r>
      <w:r w:rsidRPr="007344BA">
        <w:rPr>
          <w:rFonts w:asciiTheme="majorHAnsi" w:hAnsiTheme="majorHAnsi"/>
          <w:sz w:val="18"/>
          <w:szCs w:val="18"/>
        </w:rPr>
        <w:t xml:space="preserve">) é uma reprodução </w:t>
      </w:r>
      <w:r>
        <w:rPr>
          <w:rFonts w:asciiTheme="majorHAnsi" w:hAnsiTheme="majorHAnsi"/>
          <w:sz w:val="18"/>
          <w:szCs w:val="18"/>
        </w:rPr>
        <w:t>do ICP com um time à semelhança da IMT,</w:t>
      </w:r>
      <w:r w:rsidRPr="007344BA">
        <w:rPr>
          <w:rFonts w:asciiTheme="majorHAnsi" w:hAnsiTheme="majorHAnsi"/>
          <w:sz w:val="18"/>
          <w:szCs w:val="18"/>
        </w:rPr>
        <w:t xml:space="preserve"> com as posições especificadas como necessárias e </w:t>
      </w:r>
      <w:r>
        <w:rPr>
          <w:rFonts w:asciiTheme="majorHAnsi" w:hAnsiTheme="majorHAnsi"/>
          <w:sz w:val="18"/>
          <w:szCs w:val="18"/>
        </w:rPr>
        <w:t xml:space="preserve">que </w:t>
      </w:r>
      <w:r w:rsidRPr="007344BA">
        <w:rPr>
          <w:rFonts w:asciiTheme="majorHAnsi" w:hAnsiTheme="majorHAnsi"/>
          <w:sz w:val="18"/>
          <w:szCs w:val="18"/>
        </w:rPr>
        <w:t xml:space="preserve">trabalha de forma integrada com os times locais (divisões e grupos de ação) e com a própria IMT, reforçando a representatividade desta </w:t>
      </w:r>
      <w:r>
        <w:rPr>
          <w:rFonts w:asciiTheme="majorHAnsi" w:hAnsiTheme="majorHAnsi"/>
          <w:sz w:val="18"/>
          <w:szCs w:val="18"/>
        </w:rPr>
        <w:t>na coordenação local de um incidente</w:t>
      </w:r>
      <w:r w:rsidRPr="007344BA">
        <w:rPr>
          <w:rFonts w:asciiTheme="majorHAnsi" w:hAnsiTheme="majorHAnsi"/>
          <w:sz w:val="18"/>
          <w:szCs w:val="18"/>
        </w:rPr>
        <w:t>.</w:t>
      </w:r>
    </w:p>
  </w:footnote>
  <w:footnote w:id="26">
    <w:p w14:paraId="43FFCB52"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Significante ao ponto em que a avaliação do potencial do incidente possa gerar ameaça considerável para o pessoal a bordo, ao meio ambiente ou à continuidade das operações</w:t>
      </w:r>
      <w:r w:rsidRPr="007344BA">
        <w:rPr>
          <w:rFonts w:asciiTheme="majorHAnsi" w:hAnsiTheme="majorHAnsi"/>
          <w:sz w:val="18"/>
          <w:szCs w:val="18"/>
        </w:rPr>
        <w:t>.</w:t>
      </w:r>
    </w:p>
  </w:footnote>
  <w:footnote w:id="27">
    <w:p w14:paraId="4727CEEC"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Voltado para o caso de problemas na drenagem secundária de contenção. A fonte do vazamento descrita será tratada conforme é descrito no primeiro ponto deste item (“</w:t>
      </w:r>
      <w:r w:rsidRPr="007344BA">
        <w:rPr>
          <w:rFonts w:asciiTheme="majorHAnsi" w:hAnsiTheme="majorHAnsi" w:cstheme="majorHAnsi"/>
          <w:i/>
          <w:sz w:val="18"/>
          <w:szCs w:val="18"/>
        </w:rPr>
        <w:t>Derramamento de óleo a partir da ruptura de mangueiras, linhas, conexões, válvulas ou bombas de sistemas abordo da instalação/embarcação de apoio</w:t>
      </w:r>
      <w:r w:rsidRPr="007344BA">
        <w:rPr>
          <w:rFonts w:asciiTheme="majorHAnsi" w:hAnsiTheme="majorHAnsi" w:cstheme="majorHAnsi"/>
          <w:sz w:val="18"/>
          <w:szCs w:val="18"/>
        </w:rPr>
        <w:t>”).</w:t>
      </w:r>
    </w:p>
  </w:footnote>
  <w:footnote w:id="28">
    <w:p w14:paraId="5D3A0E2C"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LMRP - Lower Marine Riser Package (dispositivo da parte inferior da coluna de perfuração ou intervenção nos poços)</w:t>
      </w:r>
    </w:p>
  </w:footnote>
  <w:footnote w:id="29">
    <w:p w14:paraId="173E910B"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ROV –</w:t>
      </w:r>
      <w:r w:rsidRPr="007344BA">
        <w:rPr>
          <w:rFonts w:asciiTheme="majorHAnsi" w:hAnsiTheme="majorHAnsi"/>
          <w:sz w:val="18"/>
          <w:szCs w:val="18"/>
        </w:rPr>
        <w:t xml:space="preserve"> </w:t>
      </w:r>
      <w:r w:rsidRPr="007344BA">
        <w:rPr>
          <w:rFonts w:asciiTheme="majorHAnsi" w:hAnsiTheme="majorHAnsi" w:cstheme="majorHAnsi"/>
          <w:i/>
          <w:sz w:val="18"/>
          <w:szCs w:val="18"/>
        </w:rPr>
        <w:t>Remotely Operated Vehicle</w:t>
      </w:r>
      <w:r w:rsidRPr="007344BA">
        <w:rPr>
          <w:rFonts w:asciiTheme="majorHAnsi" w:hAnsiTheme="majorHAnsi" w:cstheme="majorHAnsi"/>
          <w:sz w:val="18"/>
          <w:szCs w:val="18"/>
        </w:rPr>
        <w:t xml:space="preserve"> (veículo operado remotamente) / BOP – </w:t>
      </w:r>
      <w:r w:rsidRPr="007344BA">
        <w:rPr>
          <w:rFonts w:asciiTheme="majorHAnsi" w:hAnsiTheme="majorHAnsi" w:cstheme="majorHAnsi"/>
          <w:i/>
          <w:sz w:val="18"/>
          <w:szCs w:val="18"/>
        </w:rPr>
        <w:t>BlowOut Prevention</w:t>
      </w:r>
      <w:r w:rsidRPr="007344BA">
        <w:rPr>
          <w:rFonts w:asciiTheme="majorHAnsi" w:hAnsiTheme="majorHAnsi" w:cstheme="majorHAnsi"/>
          <w:sz w:val="18"/>
          <w:szCs w:val="18"/>
        </w:rPr>
        <w:t xml:space="preserve"> (Dispositivo de prevenção de descontrole de poço).</w:t>
      </w:r>
    </w:p>
  </w:footnote>
  <w:footnote w:id="30">
    <w:p w14:paraId="564F0B6B"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Dynamic Positioning</w:t>
      </w:r>
      <w:r w:rsidRPr="007344BA">
        <w:rPr>
          <w:rFonts w:asciiTheme="majorHAnsi" w:hAnsiTheme="majorHAnsi" w:cstheme="majorHAnsi"/>
          <w:sz w:val="18"/>
          <w:szCs w:val="18"/>
        </w:rPr>
        <w:t xml:space="preserve"> (Posicionamento dinâmico).</w:t>
      </w:r>
    </w:p>
  </w:footnote>
  <w:footnote w:id="31">
    <w:p w14:paraId="3175D918" w14:textId="15A61669"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i/>
          <w:sz w:val="18"/>
          <w:szCs w:val="18"/>
        </w:rPr>
        <w:t>Oil Companies</w:t>
      </w:r>
      <w:r w:rsidRPr="007344BA">
        <w:rPr>
          <w:rFonts w:asciiTheme="majorHAnsi" w:hAnsiTheme="majorHAnsi" w:cstheme="majorHAnsi"/>
          <w:sz w:val="18"/>
          <w:szCs w:val="18"/>
        </w:rPr>
        <w:t xml:space="preserve"> (empresas de petróleo)</w:t>
      </w:r>
      <w:r>
        <w:rPr>
          <w:rFonts w:asciiTheme="majorHAnsi" w:hAnsiTheme="majorHAnsi" w:cstheme="majorHAnsi"/>
          <w:sz w:val="18"/>
          <w:szCs w:val="18"/>
        </w:rPr>
        <w:t xml:space="preserve"> – Mutual Agreement Plan</w:t>
      </w:r>
      <w:r w:rsidRPr="007344BA">
        <w:rPr>
          <w:rFonts w:asciiTheme="majorHAnsi" w:hAnsiTheme="majorHAnsi" w:cstheme="majorHAnsi"/>
          <w:sz w:val="18"/>
          <w:szCs w:val="18"/>
        </w:rPr>
        <w:t>.</w:t>
      </w:r>
    </w:p>
  </w:footnote>
  <w:footnote w:id="32">
    <w:p w14:paraId="111643AA"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O Acordo de Bonn (Bonn Agreement) é o acordo regional de cooperação mútua na resposta à poluição por óleo entre Estados costeiros do Atlântico Nordeste</w:t>
      </w:r>
      <w:r w:rsidRPr="007344BA">
        <w:rPr>
          <w:rFonts w:asciiTheme="majorHAnsi" w:hAnsiTheme="majorHAnsi"/>
          <w:sz w:val="18"/>
          <w:szCs w:val="18"/>
        </w:rPr>
        <w:t>.</w:t>
      </w:r>
    </w:p>
  </w:footnote>
  <w:footnote w:id="33">
    <w:p w14:paraId="1E2E9159" w14:textId="77777777" w:rsidR="004A3ED8" w:rsidRPr="007344BA" w:rsidRDefault="004A3ED8" w:rsidP="00CD1FE6">
      <w:pPr>
        <w:pStyle w:val="FootnoteText"/>
        <w:rPr>
          <w:rFonts w:asciiTheme="majorHAnsi" w:hAnsiTheme="majorHAnsi" w:cstheme="majorHAnsi"/>
          <w:sz w:val="18"/>
          <w:szCs w:val="18"/>
          <w:lang w:val="en-US"/>
        </w:rPr>
      </w:pPr>
      <w:r w:rsidRPr="007344BA">
        <w:rPr>
          <w:rStyle w:val="FootnoteReference"/>
          <w:rFonts w:asciiTheme="majorHAnsi" w:hAnsiTheme="majorHAnsi"/>
          <w:sz w:val="18"/>
          <w:szCs w:val="18"/>
        </w:rPr>
        <w:footnoteRef/>
      </w:r>
      <w:r w:rsidRPr="007344BA">
        <w:rPr>
          <w:rFonts w:asciiTheme="majorHAnsi" w:hAnsiTheme="majorHAnsi"/>
          <w:sz w:val="18"/>
          <w:szCs w:val="18"/>
          <w:lang w:val="en-US"/>
        </w:rPr>
        <w:t xml:space="preserve"> </w:t>
      </w:r>
      <w:r w:rsidRPr="007344BA">
        <w:rPr>
          <w:rFonts w:asciiTheme="majorHAnsi" w:hAnsiTheme="majorHAnsi" w:cstheme="majorHAnsi"/>
          <w:sz w:val="18"/>
          <w:szCs w:val="18"/>
          <w:lang w:val="en-US"/>
        </w:rPr>
        <w:t>International Tanker Owners Pollution Federation Limited</w:t>
      </w:r>
    </w:p>
  </w:footnote>
  <w:footnote w:id="34">
    <w:p w14:paraId="7B8ACCD5"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cstheme="majorHAnsi"/>
          <w:sz w:val="18"/>
          <w:szCs w:val="18"/>
        </w:rPr>
        <w:footnoteRef/>
      </w:r>
      <w:r w:rsidRPr="007344BA">
        <w:rPr>
          <w:rFonts w:asciiTheme="majorHAnsi" w:hAnsiTheme="majorHAnsi" w:cstheme="majorHAnsi"/>
          <w:sz w:val="18"/>
          <w:szCs w:val="18"/>
        </w:rPr>
        <w:t xml:space="preserve"> Operational, Technical and Scientific Questions Technical Committee - Comitê de Especialistas em Questões Operacionais, Técnicas e Científicas, relativas a atividades comuns de poluição, sob o Acordo de Bonn.</w:t>
      </w:r>
    </w:p>
  </w:footnote>
  <w:footnote w:id="35">
    <w:p w14:paraId="48F5A142"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Neste caso, a contribuição da influência do vento se sentirá apenas na ação derivada da interface ar-mar local, onde o efeito de arrasto do vento regional sobre as camadas superficiais do oceano afeta diretamente o padrão atual (direção e intensidade) nesta camada e tem influência sobre a redução das camadas ao longo da coluna de água (transporte de Ekman).</w:t>
      </w:r>
    </w:p>
  </w:footnote>
  <w:footnote w:id="36">
    <w:p w14:paraId="12382D2F"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Protegida por senha</w:t>
      </w:r>
      <w:r w:rsidRPr="007344BA">
        <w:rPr>
          <w:rFonts w:asciiTheme="majorHAnsi" w:hAnsiTheme="majorHAnsi"/>
          <w:sz w:val="18"/>
          <w:szCs w:val="18"/>
        </w:rPr>
        <w:t>.</w:t>
      </w:r>
    </w:p>
  </w:footnote>
  <w:footnote w:id="37">
    <w:p w14:paraId="102A0D23"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OSCAR é a sigla para Oil Spill Contingency And Response (Contingência e resposta a vazamento de óleo)</w:t>
      </w:r>
    </w:p>
  </w:footnote>
  <w:footnote w:id="38">
    <w:p w14:paraId="19B64C10" w14:textId="319B5E66" w:rsidR="004A3ED8" w:rsidRPr="00FB78EA" w:rsidRDefault="004A3ED8">
      <w:pPr>
        <w:pStyle w:val="FootnoteText"/>
      </w:pPr>
      <w:r>
        <w:rPr>
          <w:rStyle w:val="FootnoteReference"/>
        </w:rPr>
        <w:footnoteRef/>
      </w:r>
      <w:r>
        <w:t xml:space="preserve"> </w:t>
      </w:r>
      <w:r w:rsidRPr="007344BA">
        <w:rPr>
          <w:rFonts w:asciiTheme="majorHAnsi" w:hAnsiTheme="majorHAnsi" w:cstheme="majorHAnsi"/>
          <w:i/>
          <w:sz w:val="18"/>
          <w:szCs w:val="18"/>
        </w:rPr>
        <w:t>SWATH</w:t>
      </w:r>
      <w:r w:rsidRPr="007344BA">
        <w:rPr>
          <w:rFonts w:asciiTheme="majorHAnsi" w:hAnsiTheme="majorHAnsi" w:cstheme="majorHAnsi"/>
          <w:sz w:val="18"/>
          <w:szCs w:val="18"/>
        </w:rPr>
        <w:t xml:space="preserve"> - Abertura da barreira, de uma ponta à outra das estruturas de reboque, em linha reta</w:t>
      </w:r>
      <w:r>
        <w:rPr>
          <w:rFonts w:asciiTheme="majorHAnsi" w:hAnsiTheme="majorHAnsi" w:cstheme="majorHAnsi"/>
          <w:sz w:val="18"/>
          <w:szCs w:val="18"/>
        </w:rPr>
        <w:t>.</w:t>
      </w:r>
    </w:p>
  </w:footnote>
  <w:footnote w:id="39">
    <w:p w14:paraId="0D3BA4C8"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sz w:val="18"/>
          <w:szCs w:val="18"/>
        </w:rPr>
        <w:t>O IBAMA apresenta em sua página inicial uma lista de dispersantes químicos registrados e aprovados para uso no país, atualmente o COREXIT EC9500 (A) (Tipo I – Convencional com a validade 20 de julho de 2015) e Ultrasperse II (Tipo II - Concentrado e diluível em água / validade 09 de maio de 2016).</w:t>
      </w:r>
    </w:p>
  </w:footnote>
  <w:footnote w:id="40">
    <w:p w14:paraId="442D4D2B"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O mapa da área de exclusão utilizou a batimetria de 20 metros em virtude da inexistência de dados batimétricos públicos e oficiais inferiores a 20 metros.</w:t>
      </w:r>
    </w:p>
  </w:footnote>
  <w:footnote w:id="41">
    <w:p w14:paraId="18F65386"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sz w:val="18"/>
          <w:szCs w:val="18"/>
        </w:rPr>
        <w:t>O uso de roupas de proteção está sujeito às diretrizes de Equipamentos de Proteção Pessoal regulamentado pelas normas do Ministério do Trabalho (NR) n º 6</w:t>
      </w:r>
      <w:r w:rsidRPr="007344BA">
        <w:rPr>
          <w:rFonts w:asciiTheme="majorHAnsi" w:hAnsiTheme="majorHAnsi"/>
          <w:sz w:val="18"/>
          <w:szCs w:val="18"/>
        </w:rPr>
        <w:t>.</w:t>
      </w:r>
    </w:p>
  </w:footnote>
  <w:footnote w:id="42">
    <w:p w14:paraId="3CEEFA8C"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noProof/>
          <w:sz w:val="18"/>
          <w:szCs w:val="18"/>
        </w:rPr>
        <w:footnoteRef/>
      </w:r>
      <w:r w:rsidRPr="007344BA">
        <w:rPr>
          <w:rFonts w:asciiTheme="majorHAnsi" w:hAnsiTheme="majorHAnsi"/>
          <w:noProof/>
          <w:sz w:val="18"/>
          <w:szCs w:val="18"/>
        </w:rPr>
        <w:t xml:space="preserve"> </w:t>
      </w:r>
      <w:r w:rsidRPr="007344BA">
        <w:rPr>
          <w:rFonts w:asciiTheme="majorHAnsi" w:hAnsiTheme="majorHAnsi" w:cstheme="majorHAnsi"/>
          <w:b/>
          <w:kern w:val="24"/>
          <w:position w:val="1"/>
          <w:sz w:val="18"/>
          <w:szCs w:val="18"/>
        </w:rPr>
        <w:t>Grupo I: API &gt;45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Óleo, Condensado; </w:t>
      </w:r>
      <w:r w:rsidRPr="007344BA">
        <w:rPr>
          <w:rFonts w:asciiTheme="majorHAnsi" w:hAnsiTheme="majorHAnsi" w:cstheme="majorHAnsi"/>
          <w:b/>
          <w:kern w:val="24"/>
          <w:position w:val="1"/>
          <w:sz w:val="18"/>
          <w:szCs w:val="18"/>
        </w:rPr>
        <w:t>Grupo II: API 35 – 45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querosene, combustível para aviões, Diesel, Nº 2; </w:t>
      </w:r>
      <w:r w:rsidRPr="007344BA">
        <w:rPr>
          <w:rFonts w:asciiTheme="majorHAnsi" w:hAnsiTheme="majorHAnsi" w:cstheme="majorHAnsi"/>
          <w:b/>
          <w:kern w:val="24"/>
          <w:position w:val="1"/>
          <w:sz w:val="18"/>
          <w:szCs w:val="18"/>
        </w:rPr>
        <w:t>Grupo III: API 17,5 – 35</w:t>
      </w:r>
      <w:r w:rsidRPr="007344BA">
        <w:rPr>
          <w:rFonts w:asciiTheme="majorHAnsi" w:hAnsiTheme="majorHAnsi" w:cstheme="majorHAnsi"/>
          <w:kern w:val="24"/>
          <w:position w:val="1"/>
          <w:sz w:val="18"/>
          <w:szCs w:val="18"/>
        </w:rPr>
        <w:t xml:space="preserve">: e.x. </w:t>
      </w:r>
      <w:r w:rsidRPr="007344BA">
        <w:rPr>
          <w:rFonts w:asciiTheme="majorHAnsi" w:hAnsiTheme="majorHAnsi" w:cstheme="majorHAnsi"/>
          <w:kern w:val="24"/>
          <w:sz w:val="18"/>
          <w:szCs w:val="18"/>
        </w:rPr>
        <w:t xml:space="preserve">Cru médio, IFO; </w:t>
      </w:r>
      <w:r w:rsidRPr="007344BA">
        <w:rPr>
          <w:rFonts w:asciiTheme="majorHAnsi" w:hAnsiTheme="majorHAnsi" w:cstheme="majorHAnsi"/>
          <w:b/>
          <w:kern w:val="24"/>
          <w:position w:val="1"/>
          <w:sz w:val="18"/>
          <w:szCs w:val="18"/>
        </w:rPr>
        <w:t>Grupo IV: API 10 - 17.5</w:t>
      </w:r>
      <w:r w:rsidRPr="007344BA">
        <w:rPr>
          <w:rFonts w:asciiTheme="majorHAnsi" w:hAnsiTheme="majorHAnsi" w:cstheme="majorHAnsi"/>
          <w:kern w:val="24"/>
          <w:position w:val="1"/>
          <w:sz w:val="18"/>
          <w:szCs w:val="18"/>
        </w:rPr>
        <w:t>: e.x. Cru pesado</w:t>
      </w:r>
      <w:r w:rsidRPr="007344BA">
        <w:rPr>
          <w:rFonts w:asciiTheme="majorHAnsi" w:hAnsiTheme="majorHAnsi" w:cstheme="majorHAnsi"/>
          <w:kern w:val="24"/>
          <w:sz w:val="18"/>
          <w:szCs w:val="18"/>
        </w:rPr>
        <w:t xml:space="preserve">, óleo de abastecimento Nº. 6); e </w:t>
      </w:r>
      <w:r w:rsidRPr="007344BA">
        <w:rPr>
          <w:rFonts w:asciiTheme="majorHAnsi" w:hAnsiTheme="majorHAnsi" w:cstheme="majorHAnsi"/>
          <w:b/>
          <w:kern w:val="24"/>
          <w:sz w:val="18"/>
          <w:szCs w:val="18"/>
        </w:rPr>
        <w:t>Grupo V</w:t>
      </w:r>
      <w:r w:rsidRPr="007344BA">
        <w:rPr>
          <w:rFonts w:asciiTheme="majorHAnsi" w:hAnsiTheme="majorHAnsi" w:cstheme="majorHAnsi"/>
          <w:b/>
          <w:kern w:val="24"/>
          <w:position w:val="1"/>
          <w:sz w:val="18"/>
          <w:szCs w:val="18"/>
        </w:rPr>
        <w:t>: API &lt;10</w:t>
      </w:r>
      <w:r w:rsidRPr="007344BA">
        <w:rPr>
          <w:rFonts w:asciiTheme="majorHAnsi" w:hAnsiTheme="majorHAnsi" w:cstheme="majorHAnsi"/>
          <w:kern w:val="24"/>
          <w:position w:val="1"/>
          <w:sz w:val="18"/>
          <w:szCs w:val="18"/>
        </w:rPr>
        <w:t xml:space="preserve">: e </w:t>
      </w:r>
      <w:r w:rsidRPr="007344BA">
        <w:rPr>
          <w:rFonts w:asciiTheme="majorHAnsi" w:hAnsiTheme="majorHAnsi" w:cstheme="majorHAnsi"/>
          <w:kern w:val="24"/>
          <w:sz w:val="18"/>
          <w:szCs w:val="18"/>
        </w:rPr>
        <w:t>óleos residuais, asfalto</w:t>
      </w:r>
      <w:r w:rsidRPr="007344BA">
        <w:rPr>
          <w:rFonts w:asciiTheme="majorHAnsi" w:hAnsiTheme="majorHAnsi"/>
          <w:kern w:val="24"/>
          <w:sz w:val="18"/>
          <w:szCs w:val="18"/>
        </w:rPr>
        <w:t>.</w:t>
      </w:r>
    </w:p>
  </w:footnote>
  <w:footnote w:id="43">
    <w:p w14:paraId="370E8F8C" w14:textId="77777777" w:rsidR="004A3ED8" w:rsidRPr="007344BA" w:rsidRDefault="004A3ED8" w:rsidP="00CD1FE6">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w:t>
      </w:r>
      <w:r w:rsidRPr="007344BA">
        <w:rPr>
          <w:rFonts w:asciiTheme="majorHAnsi" w:hAnsiTheme="majorHAnsi" w:cstheme="majorHAnsi"/>
          <w:sz w:val="18"/>
          <w:szCs w:val="18"/>
        </w:rPr>
        <w:t>Santa Lúcia, São Vicente &amp; Granadinas, Barbados e Trinidad &amp; Tobago</w:t>
      </w:r>
      <w:r w:rsidRPr="007344BA">
        <w:rPr>
          <w:rFonts w:asciiTheme="majorHAnsi" w:hAnsiTheme="majorHAnsi"/>
          <w:sz w:val="18"/>
          <w:szCs w:val="18"/>
        </w:rPr>
        <w:t>.</w:t>
      </w:r>
    </w:p>
  </w:footnote>
  <w:footnote w:id="44">
    <w:p w14:paraId="685CF53A" w14:textId="77777777" w:rsidR="004A3ED8" w:rsidRPr="007344BA" w:rsidRDefault="004A3ED8" w:rsidP="00C4748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Caso o incidente não envolva a unidade de perfuração, tendo origem nas embarcações dedicada ou de apoio, o IC Local deverá ser o comandante da mesma, podendo variar sua empresa de origem.</w:t>
      </w:r>
    </w:p>
  </w:footnote>
  <w:footnote w:id="45">
    <w:p w14:paraId="5138A815" w14:textId="77777777" w:rsidR="004A3ED8" w:rsidRPr="007344BA" w:rsidRDefault="004A3ED8" w:rsidP="00C4748A">
      <w:pPr>
        <w:pStyle w:val="FootnoteText"/>
        <w:rPr>
          <w:rFonts w:asciiTheme="majorHAnsi" w:hAnsiTheme="majorHAnsi"/>
          <w:sz w:val="18"/>
          <w:szCs w:val="18"/>
        </w:rPr>
      </w:pPr>
      <w:r w:rsidRPr="007344BA">
        <w:rPr>
          <w:rStyle w:val="FootnoteReference"/>
          <w:rFonts w:asciiTheme="majorHAnsi" w:hAnsiTheme="majorHAnsi"/>
          <w:sz w:val="18"/>
          <w:szCs w:val="18"/>
        </w:rPr>
        <w:footnoteRef/>
      </w:r>
      <w:r w:rsidRPr="007344BA">
        <w:rPr>
          <w:rFonts w:asciiTheme="majorHAnsi" w:hAnsiTheme="majorHAnsi"/>
          <w:sz w:val="18"/>
          <w:szCs w:val="18"/>
        </w:rPr>
        <w:t xml:space="preserve"> Na ocorrência de incidentes que demandem o acionamento da IMT, o Comandante do Incidente passa a ser o responsável técnico pela execução do Plano de Emergência Individual (PEI) da instalação.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85378" w14:textId="77777777" w:rsidR="00F12E56" w:rsidRDefault="00F12E5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single" w:sz="18" w:space="0" w:color="009E49"/>
        <w:right w:val="none" w:sz="0" w:space="0" w:color="auto"/>
        <w:insideH w:val="none" w:sz="0" w:space="0" w:color="auto"/>
        <w:insideV w:val="none" w:sz="0" w:space="0" w:color="auto"/>
      </w:tblBorders>
      <w:tblLook w:val="04A0" w:firstRow="1" w:lastRow="0" w:firstColumn="1" w:lastColumn="0" w:noHBand="0" w:noVBand="1"/>
    </w:tblPr>
    <w:tblGrid>
      <w:gridCol w:w="6325"/>
      <w:gridCol w:w="7894"/>
    </w:tblGrid>
    <w:tr w:rsidR="004A3ED8" w:rsidRPr="00AE0145" w14:paraId="6268EB86" w14:textId="77777777" w:rsidTr="00953C7D">
      <w:trPr>
        <w:trHeight w:val="845"/>
      </w:trPr>
      <w:tc>
        <w:tcPr>
          <w:tcW w:w="2224" w:type="pct"/>
          <w:vAlign w:val="center"/>
        </w:tcPr>
        <w:p w14:paraId="3A19EDF2" w14:textId="77777777" w:rsidR="004A3ED8" w:rsidRPr="00FE529E" w:rsidRDefault="004A3ED8" w:rsidP="00953C7D">
          <w:pPr>
            <w:pStyle w:val="Header"/>
            <w:tabs>
              <w:tab w:val="center" w:pos="4357"/>
              <w:tab w:val="right" w:pos="9720"/>
            </w:tabs>
            <w:spacing w:after="120"/>
            <w:rPr>
              <w:rFonts w:asciiTheme="majorHAnsi" w:hAnsiTheme="majorHAnsi"/>
            </w:rPr>
          </w:pPr>
          <w:r w:rsidRPr="00FE529E">
            <w:rPr>
              <w:rFonts w:asciiTheme="majorHAnsi" w:hAnsiTheme="majorHAnsi"/>
              <w:noProof/>
              <w:lang w:val="en-US"/>
            </w:rPr>
            <w:drawing>
              <wp:inline distT="0" distB="0" distL="0" distR="0" wp14:anchorId="5B398A3F" wp14:editId="497971E5">
                <wp:extent cx="2265045" cy="431800"/>
                <wp:effectExtent l="0" t="0" r="1905" b="6350"/>
                <wp:docPr id="1073742131" name="Imagem 1073742131"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776" w:type="pct"/>
          <w:vAlign w:val="center"/>
        </w:tcPr>
        <w:p w14:paraId="0FCA28F8" w14:textId="77777777" w:rsidR="004A3ED8" w:rsidRDefault="004A3ED8" w:rsidP="00953C7D">
          <w:pPr>
            <w:pStyle w:val="Header"/>
            <w:tabs>
              <w:tab w:val="right" w:pos="9720"/>
            </w:tabs>
            <w:spacing w:after="120"/>
            <w:ind w:right="176"/>
            <w:jc w:val="right"/>
            <w:rPr>
              <w:rFonts w:asciiTheme="majorHAnsi" w:hAnsiTheme="majorHAnsi"/>
            </w:rPr>
          </w:pPr>
          <w:r w:rsidRPr="00FD3090">
            <w:rPr>
              <w:rFonts w:asciiTheme="majorHAnsi" w:hAnsiTheme="majorHAnsi"/>
            </w:rPr>
            <w:t>Plano de Emergência Individual</w:t>
          </w:r>
        </w:p>
        <w:p w14:paraId="59927394" w14:textId="77777777" w:rsidR="004A3ED8" w:rsidRPr="00FE529E" w:rsidRDefault="004A3ED8" w:rsidP="00953C7D">
          <w:pPr>
            <w:pStyle w:val="Header"/>
            <w:tabs>
              <w:tab w:val="right" w:pos="9720"/>
            </w:tabs>
            <w:spacing w:after="120"/>
            <w:ind w:right="176"/>
            <w:jc w:val="right"/>
            <w:rPr>
              <w:rFonts w:asciiTheme="majorHAnsi" w:hAnsiTheme="majorHAnsi"/>
              <w:i/>
              <w:noProof/>
            </w:rPr>
          </w:pPr>
          <w:r w:rsidRPr="00FD3090">
            <w:rPr>
              <w:rFonts w:asciiTheme="majorHAnsi" w:hAnsiTheme="majorHAnsi"/>
            </w:rPr>
            <w:t xml:space="preserve">Bloco </w:t>
          </w:r>
          <w:r w:rsidRPr="003941A0">
            <w:rPr>
              <w:rFonts w:asciiTheme="majorHAnsi" w:hAnsiTheme="majorHAnsi"/>
            </w:rPr>
            <w:t>FZA-M-</w:t>
          </w:r>
          <w:r>
            <w:rPr>
              <w:rFonts w:asciiTheme="majorHAnsi" w:hAnsiTheme="majorHAnsi"/>
            </w:rPr>
            <w:t>59</w:t>
          </w:r>
          <w:r w:rsidRPr="003941A0">
            <w:rPr>
              <w:rFonts w:asciiTheme="majorHAnsi" w:hAnsiTheme="majorHAnsi"/>
            </w:rPr>
            <w:t xml:space="preserve"> </w:t>
          </w:r>
          <w:r>
            <w:rPr>
              <w:rFonts w:asciiTheme="majorHAnsi" w:hAnsiTheme="majorHAnsi"/>
            </w:rPr>
            <w:t xml:space="preserve">- </w:t>
          </w:r>
          <w:r w:rsidRPr="00FD3090">
            <w:rPr>
              <w:rFonts w:asciiTheme="majorHAnsi" w:hAnsiTheme="majorHAnsi"/>
            </w:rPr>
            <w:t>Bacia da Foz do Amazonas</w:t>
          </w:r>
        </w:p>
      </w:tc>
    </w:tr>
  </w:tbl>
  <w:p w14:paraId="6E20700F" w14:textId="77777777" w:rsidR="004A3ED8" w:rsidRPr="00FD3090" w:rsidRDefault="004A3E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7"/>
    </w:tblGrid>
    <w:tr w:rsidR="004A3ED8" w:rsidRPr="00B366A0" w14:paraId="1C5AD903" w14:textId="77777777" w:rsidTr="00E13E52">
      <w:trPr>
        <w:trHeight w:val="845"/>
        <w:jc w:val="center"/>
      </w:trPr>
      <w:tc>
        <w:tcPr>
          <w:tcW w:w="1172" w:type="pct"/>
          <w:tcBorders>
            <w:bottom w:val="single" w:sz="18" w:space="0" w:color="009E49"/>
          </w:tcBorders>
          <w:vAlign w:val="center"/>
        </w:tcPr>
        <w:p w14:paraId="2A744AF9"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53134451" wp14:editId="2530C75F">
                <wp:extent cx="380852" cy="548640"/>
                <wp:effectExtent l="0" t="0" r="635" b="3810"/>
                <wp:docPr id="1073742132" name="Imagem 107374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A6CF49E"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50F13A26" w14:textId="2C59748B"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1509B18"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5B5D4939" wp14:editId="24CEF503">
                <wp:extent cx="1627504" cy="310262"/>
                <wp:effectExtent l="0" t="0" r="0" b="0"/>
                <wp:docPr id="1073742133" name="Imagem 1073742133"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4441424" w14:textId="77777777" w:rsidR="004A3ED8" w:rsidRPr="00807DBA" w:rsidRDefault="004A3ED8" w:rsidP="00953C7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333"/>
      <w:gridCol w:w="5833"/>
      <w:gridCol w:w="5053"/>
    </w:tblGrid>
    <w:tr w:rsidR="004A3ED8" w:rsidRPr="00B366A0" w14:paraId="67DA4738" w14:textId="77777777" w:rsidTr="00E13E52">
      <w:trPr>
        <w:trHeight w:val="845"/>
        <w:jc w:val="center"/>
      </w:trPr>
      <w:tc>
        <w:tcPr>
          <w:tcW w:w="1172" w:type="pct"/>
          <w:tcBorders>
            <w:bottom w:val="single" w:sz="18" w:space="0" w:color="009E49"/>
          </w:tcBorders>
          <w:vAlign w:val="center"/>
        </w:tcPr>
        <w:p w14:paraId="55FB686E" w14:textId="77777777" w:rsidR="004A3ED8" w:rsidRPr="00CE3601" w:rsidRDefault="004A3ED8" w:rsidP="00FC10A8">
          <w:pPr>
            <w:pStyle w:val="Header"/>
            <w:tabs>
              <w:tab w:val="center" w:pos="4357"/>
              <w:tab w:val="right" w:pos="9720"/>
            </w:tabs>
            <w:spacing w:before="240" w:after="120"/>
            <w:jc w:val="center"/>
            <w:rPr>
              <w:rFonts w:ascii="Cambria" w:hAnsi="Cambria"/>
            </w:rPr>
          </w:pPr>
          <w:r>
            <w:rPr>
              <w:noProof/>
              <w:sz w:val="16"/>
              <w:szCs w:val="16"/>
              <w:lang w:val="en-US"/>
            </w:rPr>
            <w:drawing>
              <wp:inline distT="0" distB="0" distL="0" distR="0" wp14:anchorId="3BAD1A5C" wp14:editId="7AD90573">
                <wp:extent cx="380852" cy="548640"/>
                <wp:effectExtent l="0" t="0" r="635" b="3810"/>
                <wp:docPr id="1073742135" name="Imagem 107374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28E2291E" w14:textId="77777777" w:rsidR="004A3ED8" w:rsidRPr="0085655D" w:rsidRDefault="004A3ED8" w:rsidP="00FC10A8">
          <w:pPr>
            <w:pStyle w:val="Header"/>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07501F9F" w14:textId="77777777" w:rsidR="004A3ED8" w:rsidRPr="0085655D" w:rsidRDefault="004A3ED8" w:rsidP="00FC10A8">
          <w:pPr>
            <w:pStyle w:val="Header"/>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27D9C153" w14:textId="77777777" w:rsidR="004A3ED8" w:rsidRPr="00807DBA" w:rsidRDefault="004A3ED8" w:rsidP="00FC10A8">
          <w:pPr>
            <w:pStyle w:val="Header"/>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72B2F84C" wp14:editId="56EC6EA0">
                <wp:extent cx="1627504" cy="310262"/>
                <wp:effectExtent l="0" t="0" r="0" b="0"/>
                <wp:docPr id="1073742136" name="Imagem 1073742136"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BEB26C8" w14:textId="77777777" w:rsidR="004A3ED8" w:rsidRDefault="004A3ED8" w:rsidP="00953C7D">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bottom w:val="single" w:sz="18" w:space="0" w:color="009E49"/>
      </w:tblBorders>
      <w:tblLook w:val="04A0" w:firstRow="1" w:lastRow="0" w:firstColumn="1" w:lastColumn="0" w:noHBand="0" w:noVBand="1"/>
    </w:tblPr>
    <w:tblGrid>
      <w:gridCol w:w="4470"/>
      <w:gridCol w:w="4816"/>
    </w:tblGrid>
    <w:tr w:rsidR="004A3ED8" w:rsidRPr="00376EE0" w14:paraId="2A515EB9" w14:textId="77777777" w:rsidTr="0000172F">
      <w:trPr>
        <w:trHeight w:val="845"/>
      </w:trPr>
      <w:tc>
        <w:tcPr>
          <w:tcW w:w="2407" w:type="pct"/>
          <w:vAlign w:val="center"/>
        </w:tcPr>
        <w:p w14:paraId="5B27CF6C" w14:textId="77777777" w:rsidR="004A3ED8" w:rsidRPr="00EE37BA" w:rsidRDefault="004A3ED8" w:rsidP="0000172F">
          <w:pPr>
            <w:pStyle w:val="Header"/>
            <w:tabs>
              <w:tab w:val="center" w:pos="4357"/>
              <w:tab w:val="right" w:pos="9720"/>
            </w:tabs>
            <w:spacing w:after="120"/>
          </w:pPr>
          <w:r w:rsidRPr="00EE37BA">
            <w:rPr>
              <w:noProof/>
              <w:lang w:val="en-US" w:eastAsia="en-US"/>
            </w:rPr>
            <w:drawing>
              <wp:inline distT="0" distB="0" distL="0" distR="0" wp14:anchorId="475CC312" wp14:editId="4CB4664D">
                <wp:extent cx="2265045" cy="431800"/>
                <wp:effectExtent l="0" t="0" r="1905" b="6350"/>
                <wp:docPr id="1073742137" name="Imagem 1073742137"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593" w:type="pct"/>
          <w:vAlign w:val="center"/>
        </w:tcPr>
        <w:p w14:paraId="214D375B" w14:textId="77777777" w:rsidR="004A3ED8" w:rsidRPr="00EE37BA" w:rsidRDefault="004A3ED8" w:rsidP="0000172F">
          <w:pPr>
            <w:pStyle w:val="Header"/>
            <w:tabs>
              <w:tab w:val="right" w:pos="9720"/>
            </w:tabs>
            <w:spacing w:before="240" w:after="120"/>
            <w:jc w:val="right"/>
            <w:rPr>
              <w:i/>
              <w:noProof/>
            </w:rPr>
          </w:pPr>
          <w:r w:rsidRPr="00EE37BA">
            <w:t xml:space="preserve">Plano de Emergência Individual - Bloco </w:t>
          </w:r>
          <w:r>
            <w:t>FZA-M-90</w:t>
          </w:r>
          <w:r w:rsidRPr="00EE37BA">
            <w:t xml:space="preserve"> - Bacia da Foz do Amazonas</w:t>
          </w:r>
        </w:p>
      </w:tc>
    </w:tr>
  </w:tbl>
  <w:p w14:paraId="0EABAFAF" w14:textId="77777777" w:rsidR="004A3ED8" w:rsidRPr="00EE37BA" w:rsidRDefault="004A3ED8" w:rsidP="0000172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4A3ED8" w:rsidRPr="00B366A0" w14:paraId="3B0C071C" w14:textId="77777777" w:rsidTr="00E13E52">
      <w:trPr>
        <w:trHeight w:val="845"/>
        <w:jc w:val="center"/>
      </w:trPr>
      <w:tc>
        <w:tcPr>
          <w:tcW w:w="1172" w:type="pct"/>
          <w:tcBorders>
            <w:bottom w:val="single" w:sz="18" w:space="0" w:color="009E49"/>
          </w:tcBorders>
          <w:vAlign w:val="center"/>
        </w:tcPr>
        <w:p w14:paraId="15D8FEF7"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3FC56CDE" wp14:editId="13EE52C6">
                <wp:extent cx="380852" cy="548640"/>
                <wp:effectExtent l="0" t="0" r="635" b="3810"/>
                <wp:docPr id="1073742138" name="Imagem 107374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0BA0F7D"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3CF10C5F" w14:textId="375F3DAC"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67469D0"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38EA2C67" wp14:editId="0AB64749">
                <wp:extent cx="1627504" cy="310262"/>
                <wp:effectExtent l="0" t="0" r="0" b="0"/>
                <wp:docPr id="1073742139" name="Imagem 1073742139"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5779A000" w14:textId="77777777" w:rsidR="004A3ED8" w:rsidRPr="00807DBA" w:rsidRDefault="004A3ED8" w:rsidP="00953C7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7"/>
    </w:tblGrid>
    <w:tr w:rsidR="004A3ED8" w:rsidRPr="00B366A0" w14:paraId="1EE59A02" w14:textId="77777777" w:rsidTr="008E2BBA">
      <w:trPr>
        <w:trHeight w:val="845"/>
        <w:jc w:val="center"/>
      </w:trPr>
      <w:tc>
        <w:tcPr>
          <w:tcW w:w="1172" w:type="pct"/>
          <w:tcBorders>
            <w:bottom w:val="single" w:sz="18" w:space="0" w:color="009E49"/>
          </w:tcBorders>
          <w:vAlign w:val="center"/>
        </w:tcPr>
        <w:p w14:paraId="3954EF8A"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74774A86" wp14:editId="1F72DFE2">
                <wp:extent cx="380852" cy="548640"/>
                <wp:effectExtent l="0" t="0" r="635" b="3810"/>
                <wp:docPr id="1073742143" name="Imagem 107374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0A765AC0"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79843483" w14:textId="6D6C03A8"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FDF91B4"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1503957B" wp14:editId="458A41E3">
                <wp:extent cx="1627504" cy="310262"/>
                <wp:effectExtent l="0" t="0" r="0" b="0"/>
                <wp:docPr id="1073742144" name="Imagem 1073742144"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951FC9D" w14:textId="77777777" w:rsidR="004A3ED8" w:rsidRPr="00807DBA" w:rsidRDefault="004A3ED8" w:rsidP="008A76B4">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4A3ED8" w:rsidRPr="00B366A0" w14:paraId="7AA6041F" w14:textId="77777777" w:rsidTr="008E2BBA">
      <w:trPr>
        <w:trHeight w:val="845"/>
        <w:jc w:val="center"/>
      </w:trPr>
      <w:tc>
        <w:tcPr>
          <w:tcW w:w="1172" w:type="pct"/>
          <w:tcBorders>
            <w:bottom w:val="single" w:sz="18" w:space="0" w:color="009E49"/>
          </w:tcBorders>
          <w:vAlign w:val="center"/>
        </w:tcPr>
        <w:p w14:paraId="77BB26EA"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640E6FC3" wp14:editId="18E284ED">
                <wp:extent cx="380852" cy="548640"/>
                <wp:effectExtent l="0" t="0" r="635" b="3810"/>
                <wp:docPr id="1073742145" name="Imagem 107374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61D0CE6D"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28C0956" w14:textId="287D0AB4"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14EE4A2"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45123FF4" wp14:editId="682C54E5">
                <wp:extent cx="1627504" cy="310262"/>
                <wp:effectExtent l="0" t="0" r="0" b="0"/>
                <wp:docPr id="1073742146" name="Imagem 1073742146"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4DF92168" w14:textId="77777777" w:rsidR="004A3ED8" w:rsidRPr="00807DBA" w:rsidRDefault="004A3ED8" w:rsidP="008A76B4">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282"/>
      <w:gridCol w:w="5744"/>
      <w:gridCol w:w="4976"/>
    </w:tblGrid>
    <w:tr w:rsidR="004A3ED8" w:rsidRPr="00B366A0" w14:paraId="372FACCC" w14:textId="77777777" w:rsidTr="008E2BBA">
      <w:trPr>
        <w:trHeight w:val="845"/>
        <w:jc w:val="center"/>
      </w:trPr>
      <w:tc>
        <w:tcPr>
          <w:tcW w:w="1172" w:type="pct"/>
          <w:tcBorders>
            <w:bottom w:val="single" w:sz="18" w:space="0" w:color="009E49"/>
          </w:tcBorders>
          <w:vAlign w:val="center"/>
        </w:tcPr>
        <w:p w14:paraId="50B6F221"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07C1CC8E" wp14:editId="30D124A0">
                <wp:extent cx="380852" cy="548640"/>
                <wp:effectExtent l="0" t="0" r="635" b="3810"/>
                <wp:docPr id="1073742147" name="Imagem 107374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1573B754"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134CD51B" w14:textId="006FD404"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5981A25"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6276DB13" wp14:editId="04BF56A6">
                <wp:extent cx="1627504" cy="310262"/>
                <wp:effectExtent l="0" t="0" r="0" b="0"/>
                <wp:docPr id="1073742148" name="Imagem 107374214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B04E028" w14:textId="77777777" w:rsidR="004A3ED8" w:rsidRPr="00807DBA" w:rsidRDefault="004A3ED8" w:rsidP="008A76B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4A3ED8" w:rsidRPr="00B366A0" w14:paraId="16D30045" w14:textId="77777777" w:rsidTr="008E2BBA">
      <w:trPr>
        <w:trHeight w:val="845"/>
        <w:jc w:val="center"/>
      </w:trPr>
      <w:tc>
        <w:tcPr>
          <w:tcW w:w="1172" w:type="pct"/>
          <w:tcBorders>
            <w:bottom w:val="single" w:sz="18" w:space="0" w:color="009E49"/>
          </w:tcBorders>
          <w:vAlign w:val="center"/>
        </w:tcPr>
        <w:p w14:paraId="5A935146"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3B6BE39D" wp14:editId="3507D88D">
                <wp:extent cx="380852" cy="548640"/>
                <wp:effectExtent l="0" t="0" r="635" b="3810"/>
                <wp:docPr id="1073742117" name="Imagem 107374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60A1CCE2"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3A3DEDDE" w14:textId="37830F1C" w:rsidR="004A3ED8" w:rsidRPr="0085655D" w:rsidRDefault="004A3ED8" w:rsidP="00C3335E">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4DB2979"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090B5CE3" wp14:editId="13F724C5">
                <wp:extent cx="1627504" cy="310262"/>
                <wp:effectExtent l="0" t="0" r="0" b="0"/>
                <wp:docPr id="1073742118" name="Imagem 107374211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37BE0D8A" w14:textId="77777777" w:rsidR="004A3ED8" w:rsidRPr="008E2BBA" w:rsidRDefault="004A3ED8" w:rsidP="008E2B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8A217B" w14:textId="77777777" w:rsidR="004A3ED8" w:rsidRDefault="004A3ED8">
    <w:pPr>
      <w:pStyle w:val="Header"/>
    </w:pPr>
    <w:r>
      <w:rPr>
        <w:noProof/>
        <w:lang w:val="en-US" w:eastAsia="en-US"/>
      </w:rPr>
      <w:drawing>
        <wp:anchor distT="0" distB="0" distL="114300" distR="114300" simplePos="0" relativeHeight="251661312" behindDoc="1" locked="0" layoutInCell="1" allowOverlap="1" wp14:anchorId="5D257718" wp14:editId="0156AF23">
          <wp:simplePos x="0" y="0"/>
          <wp:positionH relativeFrom="column">
            <wp:posOffset>-930910</wp:posOffset>
          </wp:positionH>
          <wp:positionV relativeFrom="paragraph">
            <wp:posOffset>-469265</wp:posOffset>
          </wp:positionV>
          <wp:extent cx="7794625" cy="10727690"/>
          <wp:effectExtent l="0" t="0" r="0" b="0"/>
          <wp:wrapNone/>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94625" cy="1072769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67"/>
      <w:gridCol w:w="3791"/>
      <w:gridCol w:w="3285"/>
    </w:tblGrid>
    <w:tr w:rsidR="004A3ED8" w:rsidRPr="00B366A0" w14:paraId="5D9228C5" w14:textId="77777777" w:rsidTr="00832A69">
      <w:trPr>
        <w:trHeight w:val="845"/>
        <w:jc w:val="center"/>
      </w:trPr>
      <w:tc>
        <w:tcPr>
          <w:tcW w:w="1172" w:type="pct"/>
          <w:tcBorders>
            <w:bottom w:val="single" w:sz="18" w:space="0" w:color="009E49"/>
          </w:tcBorders>
          <w:vAlign w:val="center"/>
        </w:tcPr>
        <w:p w14:paraId="5B4A5D69" w14:textId="77777777" w:rsidR="004A3ED8" w:rsidRPr="00CE3601" w:rsidRDefault="004A3ED8" w:rsidP="007564CC">
          <w:pPr>
            <w:pStyle w:val="Header"/>
            <w:tabs>
              <w:tab w:val="center" w:pos="4357"/>
              <w:tab w:val="right" w:pos="9720"/>
            </w:tabs>
            <w:spacing w:before="240" w:after="120"/>
            <w:jc w:val="center"/>
            <w:rPr>
              <w:rFonts w:ascii="Cambria" w:hAnsi="Cambria"/>
            </w:rPr>
          </w:pPr>
          <w:r>
            <w:rPr>
              <w:noProof/>
              <w:sz w:val="16"/>
              <w:szCs w:val="16"/>
              <w:lang w:val="en-US"/>
            </w:rPr>
            <w:drawing>
              <wp:inline distT="0" distB="0" distL="0" distR="0" wp14:anchorId="1A95F731" wp14:editId="0638E048">
                <wp:extent cx="380852" cy="548640"/>
                <wp:effectExtent l="0" t="0" r="635" b="3810"/>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4EEE65BA" w14:textId="77777777" w:rsidR="004A3ED8" w:rsidRPr="0085655D" w:rsidRDefault="004A3ED8" w:rsidP="007564CC">
          <w:pPr>
            <w:pStyle w:val="Header"/>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2AC16F95" w14:textId="77777777" w:rsidR="004A3ED8" w:rsidRPr="0085655D" w:rsidRDefault="004A3ED8" w:rsidP="007564CC">
          <w:pPr>
            <w:pStyle w:val="Header"/>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59E266E4" w14:textId="77777777" w:rsidR="004A3ED8" w:rsidRPr="00807DBA" w:rsidRDefault="004A3ED8" w:rsidP="007564CC">
          <w:pPr>
            <w:pStyle w:val="Header"/>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4F00D697" wp14:editId="6E352DAD">
                <wp:extent cx="1627504" cy="310262"/>
                <wp:effectExtent l="0" t="0" r="0" b="0"/>
                <wp:docPr id="57" name="Imagem 57"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4B32F5A4" w14:textId="77777777" w:rsidR="004A3ED8" w:rsidRDefault="004A3E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4A3ED8" w:rsidRPr="00B366A0" w14:paraId="49BE95A1" w14:textId="77777777" w:rsidTr="00150CAE">
      <w:trPr>
        <w:trHeight w:val="845"/>
        <w:jc w:val="center"/>
      </w:trPr>
      <w:tc>
        <w:tcPr>
          <w:tcW w:w="1172" w:type="pct"/>
          <w:tcBorders>
            <w:bottom w:val="single" w:sz="18" w:space="0" w:color="009E49"/>
          </w:tcBorders>
          <w:vAlign w:val="center"/>
        </w:tcPr>
        <w:p w14:paraId="1B6FB4B2" w14:textId="77777777" w:rsidR="004A3ED8" w:rsidRPr="00CE3601" w:rsidRDefault="004A3ED8" w:rsidP="00656D39">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0926495A" wp14:editId="1CD8ACC8">
                <wp:extent cx="380852" cy="548640"/>
                <wp:effectExtent l="0" t="0" r="635" b="3810"/>
                <wp:docPr id="1073742119" name="Imagem 107374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2773D7D9" w14:textId="77777777" w:rsidR="004A3ED8" w:rsidRPr="0085655D" w:rsidRDefault="004A3ED8" w:rsidP="00656D39">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22C68BD" w14:textId="3025A3AF" w:rsidR="004A3ED8" w:rsidRPr="0085655D" w:rsidRDefault="004A3ED8" w:rsidP="003523A8">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1CBAEA63" w14:textId="77777777" w:rsidR="004A3ED8" w:rsidRPr="00807DBA" w:rsidRDefault="004A3ED8" w:rsidP="00656D39">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3F693924" wp14:editId="42C1F4AB">
                <wp:extent cx="1627504" cy="310262"/>
                <wp:effectExtent l="0" t="0" r="0" b="0"/>
                <wp:docPr id="1073742120" name="Imagem 1073742120"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2F7F2E23" w14:textId="77777777" w:rsidR="004A3ED8" w:rsidRPr="00D37C34" w:rsidRDefault="004A3ED8" w:rsidP="00023EAB">
    <w:pPr>
      <w:pStyle w:val="Header"/>
      <w:rPr>
        <w:lang w:val="en-U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3"/>
    </w:tblGrid>
    <w:tr w:rsidR="004A3ED8" w:rsidRPr="00B366A0" w14:paraId="13613E94" w14:textId="77777777" w:rsidTr="00E13E52">
      <w:trPr>
        <w:trHeight w:val="845"/>
        <w:jc w:val="center"/>
      </w:trPr>
      <w:tc>
        <w:tcPr>
          <w:tcW w:w="1172" w:type="pct"/>
          <w:tcBorders>
            <w:bottom w:val="single" w:sz="18" w:space="0" w:color="009E49"/>
          </w:tcBorders>
          <w:vAlign w:val="center"/>
        </w:tcPr>
        <w:p w14:paraId="62D25838"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25D40EC0" wp14:editId="5346B24B">
                <wp:extent cx="380852" cy="548640"/>
                <wp:effectExtent l="0" t="0" r="635" b="3810"/>
                <wp:docPr id="1073742121" name="Imagem 107374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3A8F5833"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28378009" w14:textId="27749DE5" w:rsidR="004A3ED8" w:rsidRPr="0085655D" w:rsidRDefault="004A3ED8" w:rsidP="003523A8">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74379522"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5A32B937" wp14:editId="66F8683E">
                <wp:extent cx="1627504" cy="310262"/>
                <wp:effectExtent l="0" t="0" r="0" b="0"/>
                <wp:docPr id="1073742122" name="Imagem 1073742122"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14AA65BF" w14:textId="77777777" w:rsidR="004A3ED8" w:rsidRPr="00D37C34" w:rsidRDefault="004A3ED8" w:rsidP="00023EAB">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1" w:type="pct"/>
      <w:tblBorders>
        <w:top w:val="none" w:sz="0" w:space="0" w:color="auto"/>
        <w:left w:val="none" w:sz="0" w:space="0" w:color="auto"/>
        <w:bottom w:val="single" w:sz="18" w:space="0" w:color="009E49"/>
        <w:right w:val="none" w:sz="0" w:space="0" w:color="auto"/>
        <w:insideH w:val="none" w:sz="0" w:space="0" w:color="auto"/>
        <w:insideV w:val="none" w:sz="0" w:space="0" w:color="auto"/>
      </w:tblBorders>
      <w:tblLook w:val="04A0" w:firstRow="1" w:lastRow="0" w:firstColumn="1" w:lastColumn="0" w:noHBand="0" w:noVBand="1"/>
    </w:tblPr>
    <w:tblGrid>
      <w:gridCol w:w="7111"/>
      <w:gridCol w:w="7112"/>
    </w:tblGrid>
    <w:tr w:rsidR="004A3ED8" w:rsidRPr="0093270C" w14:paraId="1996D15C" w14:textId="77777777" w:rsidTr="008A76B4">
      <w:trPr>
        <w:trHeight w:val="845"/>
      </w:trPr>
      <w:tc>
        <w:tcPr>
          <w:tcW w:w="2500" w:type="pct"/>
          <w:vAlign w:val="center"/>
        </w:tcPr>
        <w:p w14:paraId="519D9471" w14:textId="77777777" w:rsidR="004A3ED8" w:rsidRPr="00FE529E" w:rsidRDefault="004A3ED8" w:rsidP="008A76B4">
          <w:pPr>
            <w:pStyle w:val="Header"/>
            <w:tabs>
              <w:tab w:val="center" w:pos="4357"/>
              <w:tab w:val="right" w:pos="9720"/>
            </w:tabs>
            <w:spacing w:before="240" w:after="120"/>
            <w:rPr>
              <w:rFonts w:asciiTheme="majorHAnsi" w:hAnsiTheme="majorHAnsi"/>
            </w:rPr>
          </w:pPr>
          <w:r w:rsidRPr="00FE529E">
            <w:rPr>
              <w:rFonts w:asciiTheme="majorHAnsi" w:hAnsiTheme="majorHAnsi"/>
              <w:noProof/>
              <w:lang w:val="en-US"/>
            </w:rPr>
            <w:drawing>
              <wp:inline distT="0" distB="0" distL="0" distR="0" wp14:anchorId="62C3F6A0" wp14:editId="12D94BBE">
                <wp:extent cx="2265045" cy="431800"/>
                <wp:effectExtent l="0" t="0" r="1905" b="6350"/>
                <wp:docPr id="1073742123" name="Imagem 1073742123"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5045" cy="431800"/>
                        </a:xfrm>
                        <a:prstGeom prst="rect">
                          <a:avLst/>
                        </a:prstGeom>
                        <a:noFill/>
                      </pic:spPr>
                    </pic:pic>
                  </a:graphicData>
                </a:graphic>
              </wp:inline>
            </w:drawing>
          </w:r>
        </w:p>
      </w:tc>
      <w:tc>
        <w:tcPr>
          <w:tcW w:w="2500" w:type="pct"/>
          <w:vAlign w:val="center"/>
        </w:tcPr>
        <w:p w14:paraId="25548925" w14:textId="77777777" w:rsidR="004A3ED8" w:rsidRDefault="004A3ED8" w:rsidP="008A76B4">
          <w:pPr>
            <w:pStyle w:val="Header"/>
            <w:tabs>
              <w:tab w:val="right" w:pos="9720"/>
            </w:tabs>
            <w:spacing w:line="360" w:lineRule="auto"/>
            <w:ind w:right="176"/>
            <w:jc w:val="right"/>
            <w:rPr>
              <w:rFonts w:asciiTheme="majorHAnsi" w:hAnsiTheme="majorHAnsi"/>
            </w:rPr>
          </w:pPr>
          <w:r w:rsidRPr="00FD3090">
            <w:rPr>
              <w:rFonts w:asciiTheme="majorHAnsi" w:hAnsiTheme="majorHAnsi"/>
            </w:rPr>
            <w:t>Plano de Emergência Individual</w:t>
          </w:r>
          <w:r>
            <w:rPr>
              <w:rFonts w:asciiTheme="majorHAnsi" w:hAnsiTheme="majorHAnsi"/>
            </w:rPr>
            <w:t xml:space="preserve"> - </w:t>
          </w:r>
          <w:r w:rsidRPr="00FD3090">
            <w:rPr>
              <w:rFonts w:asciiTheme="majorHAnsi" w:hAnsiTheme="majorHAnsi"/>
            </w:rPr>
            <w:t xml:space="preserve">Bloco </w:t>
          </w:r>
          <w:r>
            <w:rPr>
              <w:rFonts w:asciiTheme="majorHAnsi" w:hAnsiTheme="majorHAnsi"/>
            </w:rPr>
            <w:t xml:space="preserve">FZA-M-59 </w:t>
          </w:r>
        </w:p>
        <w:p w14:paraId="371E1EF8" w14:textId="77777777" w:rsidR="004A3ED8" w:rsidRPr="00FE529E" w:rsidRDefault="004A3ED8" w:rsidP="008A76B4">
          <w:pPr>
            <w:pStyle w:val="Header"/>
            <w:tabs>
              <w:tab w:val="right" w:pos="9720"/>
            </w:tabs>
            <w:spacing w:line="360" w:lineRule="auto"/>
            <w:ind w:right="176"/>
            <w:jc w:val="right"/>
            <w:rPr>
              <w:rFonts w:asciiTheme="majorHAnsi" w:hAnsiTheme="majorHAnsi"/>
              <w:i/>
              <w:noProof/>
            </w:rPr>
          </w:pPr>
          <w:r w:rsidRPr="00FD3090">
            <w:rPr>
              <w:rFonts w:asciiTheme="majorHAnsi" w:hAnsiTheme="majorHAnsi"/>
            </w:rPr>
            <w:t>Bacia da Foz do Amazonas</w:t>
          </w:r>
        </w:p>
      </w:tc>
    </w:tr>
  </w:tbl>
  <w:p w14:paraId="49EA71EA" w14:textId="77777777" w:rsidR="004A3ED8" w:rsidRPr="00FD3090" w:rsidRDefault="004A3ED8">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3582"/>
      <w:gridCol w:w="6268"/>
      <w:gridCol w:w="4154"/>
    </w:tblGrid>
    <w:tr w:rsidR="004A3ED8" w:rsidRPr="00B366A0" w14:paraId="17EC903C" w14:textId="77777777" w:rsidTr="00E13E52">
      <w:trPr>
        <w:trHeight w:val="845"/>
      </w:trPr>
      <w:tc>
        <w:tcPr>
          <w:tcW w:w="1279" w:type="pct"/>
          <w:tcBorders>
            <w:bottom w:val="single" w:sz="18" w:space="0" w:color="009E49"/>
          </w:tcBorders>
          <w:vAlign w:val="center"/>
        </w:tcPr>
        <w:p w14:paraId="0718C2C4"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353B75EA" wp14:editId="45276D32">
                <wp:extent cx="380852" cy="548640"/>
                <wp:effectExtent l="0" t="0" r="635" b="3810"/>
                <wp:docPr id="1073742124" name="Imagem 107374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238" w:type="pct"/>
          <w:tcBorders>
            <w:bottom w:val="single" w:sz="18" w:space="0" w:color="009E49"/>
          </w:tcBorders>
          <w:vAlign w:val="center"/>
        </w:tcPr>
        <w:p w14:paraId="5BF482C9"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4E4A51F4" w14:textId="1C8C3B3E" w:rsidR="004A3ED8" w:rsidRPr="0085655D" w:rsidRDefault="004A3ED8" w:rsidP="003523A8">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483" w:type="pct"/>
          <w:tcBorders>
            <w:bottom w:val="single" w:sz="18" w:space="0" w:color="009E49"/>
          </w:tcBorders>
          <w:vAlign w:val="center"/>
        </w:tcPr>
        <w:p w14:paraId="1436DDED"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1494F32E" wp14:editId="3141E149">
                <wp:extent cx="1627504" cy="310262"/>
                <wp:effectExtent l="0" t="0" r="0" b="0"/>
                <wp:docPr id="1073742125" name="Imagem 1073742125"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9661E0B" w14:textId="77777777" w:rsidR="004A3ED8" w:rsidRPr="00807DBA" w:rsidRDefault="004A3ED8" w:rsidP="008A76B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26"/>
      <w:gridCol w:w="3721"/>
      <w:gridCol w:w="3224"/>
    </w:tblGrid>
    <w:tr w:rsidR="004A3ED8" w:rsidRPr="00B366A0" w14:paraId="5B4E32DA" w14:textId="77777777" w:rsidTr="00E13E52">
      <w:trPr>
        <w:trHeight w:val="845"/>
        <w:jc w:val="center"/>
      </w:trPr>
      <w:tc>
        <w:tcPr>
          <w:tcW w:w="1172" w:type="pct"/>
          <w:tcBorders>
            <w:bottom w:val="single" w:sz="18" w:space="0" w:color="009E49"/>
          </w:tcBorders>
          <w:vAlign w:val="center"/>
        </w:tcPr>
        <w:p w14:paraId="5902E5E6" w14:textId="77777777" w:rsidR="004A3ED8" w:rsidRPr="00CE3601" w:rsidRDefault="004A3ED8" w:rsidP="00C3335E">
          <w:pPr>
            <w:pStyle w:val="Header"/>
            <w:tabs>
              <w:tab w:val="center" w:pos="4357"/>
              <w:tab w:val="right" w:pos="9720"/>
            </w:tabs>
            <w:spacing w:before="0"/>
            <w:jc w:val="center"/>
            <w:rPr>
              <w:rFonts w:ascii="Cambria" w:hAnsi="Cambria"/>
            </w:rPr>
          </w:pPr>
          <w:r>
            <w:rPr>
              <w:noProof/>
              <w:sz w:val="16"/>
              <w:szCs w:val="16"/>
              <w:lang w:val="en-US"/>
            </w:rPr>
            <w:drawing>
              <wp:inline distT="0" distB="0" distL="0" distR="0" wp14:anchorId="53BCDD37" wp14:editId="0F7F6338">
                <wp:extent cx="380852" cy="548640"/>
                <wp:effectExtent l="0" t="0" r="635" b="3810"/>
                <wp:docPr id="1073742127" name="Imagem 107374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5F3A8F6E" w14:textId="77777777" w:rsidR="004A3ED8" w:rsidRPr="0085655D" w:rsidRDefault="004A3ED8" w:rsidP="00C3335E">
          <w:pPr>
            <w:pStyle w:val="Header"/>
            <w:tabs>
              <w:tab w:val="center" w:pos="4357"/>
              <w:tab w:val="right" w:pos="9720"/>
            </w:tabs>
            <w:spacing w:before="0"/>
            <w:jc w:val="center"/>
            <w:rPr>
              <w:rFonts w:asciiTheme="majorHAnsi" w:hAnsiTheme="majorHAnsi"/>
              <w:sz w:val="18"/>
            </w:rPr>
          </w:pPr>
          <w:r w:rsidRPr="0085655D">
            <w:rPr>
              <w:rFonts w:asciiTheme="majorHAnsi" w:hAnsiTheme="majorHAnsi"/>
              <w:sz w:val="18"/>
            </w:rPr>
            <w:t>Plano de Emergência Individual</w:t>
          </w:r>
        </w:p>
        <w:p w14:paraId="649D57DC" w14:textId="2DF42736" w:rsidR="004A3ED8" w:rsidRPr="0085655D" w:rsidRDefault="004A3ED8" w:rsidP="003523A8">
          <w:pPr>
            <w:pStyle w:val="Header"/>
            <w:tabs>
              <w:tab w:val="center" w:pos="4357"/>
              <w:tab w:val="right" w:pos="9720"/>
            </w:tabs>
            <w:spacing w:before="0"/>
            <w:jc w:val="center"/>
            <w:rPr>
              <w:rFonts w:asciiTheme="majorHAnsi" w:hAnsiTheme="majorHAnsi"/>
              <w:sz w:val="18"/>
            </w:rPr>
          </w:pPr>
          <w:r>
            <w:rPr>
              <w:rFonts w:asciiTheme="majorHAnsi" w:hAnsiTheme="majorHAnsi"/>
              <w:sz w:val="18"/>
            </w:rPr>
            <w:t xml:space="preserve">ENSCO DS-9 </w:t>
          </w:r>
          <w:r>
            <w:rPr>
              <w:rFonts w:asciiTheme="majorHAnsi" w:hAnsiTheme="majorHAnsi"/>
              <w:sz w:val="18"/>
            </w:rPr>
            <w:sym w:font="Symbol" w:char="F02D"/>
          </w:r>
          <w:r>
            <w:rPr>
              <w:rFonts w:asciiTheme="majorHAnsi" w:hAnsiTheme="majorHAnsi"/>
              <w:sz w:val="18"/>
            </w:rPr>
            <w:t xml:space="preserve"> </w:t>
          </w: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03407827" w14:textId="77777777" w:rsidR="004A3ED8" w:rsidRPr="00807DBA" w:rsidRDefault="004A3ED8" w:rsidP="00C3335E">
          <w:pPr>
            <w:pStyle w:val="Header"/>
            <w:tabs>
              <w:tab w:val="right" w:pos="9720"/>
            </w:tabs>
            <w:spacing w:before="0"/>
            <w:ind w:right="-144"/>
            <w:jc w:val="center"/>
            <w:rPr>
              <w:rFonts w:ascii="Cambria" w:hAnsi="Cambria"/>
              <w:i/>
              <w:noProof/>
            </w:rPr>
          </w:pPr>
          <w:r w:rsidRPr="00BC71EA">
            <w:rPr>
              <w:rFonts w:ascii="Cambria" w:hAnsi="Cambria"/>
              <w:noProof/>
              <w:lang w:val="en-US"/>
            </w:rPr>
            <w:drawing>
              <wp:inline distT="0" distB="0" distL="0" distR="0" wp14:anchorId="250E25D3" wp14:editId="2ACDD842">
                <wp:extent cx="1627504" cy="310262"/>
                <wp:effectExtent l="0" t="0" r="0" b="0"/>
                <wp:docPr id="1073742128" name="Imagem 1073742128"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6201C85C" w14:textId="77777777" w:rsidR="004A3ED8" w:rsidRPr="00807DBA" w:rsidRDefault="004A3ED8" w:rsidP="008A76B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jc w:val="center"/>
      <w:tblBorders>
        <w:top w:val="none" w:sz="0" w:space="0" w:color="auto"/>
        <w:left w:val="none" w:sz="0" w:space="0" w:color="auto"/>
        <w:bottom w:val="single" w:sz="36" w:space="0" w:color="009E49"/>
        <w:right w:val="none" w:sz="0" w:space="0" w:color="auto"/>
        <w:insideH w:val="none" w:sz="0" w:space="0" w:color="auto"/>
        <w:insideV w:val="none" w:sz="0" w:space="0" w:color="auto"/>
      </w:tblBorders>
      <w:tblLook w:val="04A0" w:firstRow="1" w:lastRow="0" w:firstColumn="1" w:lastColumn="0" w:noHBand="0" w:noVBand="1"/>
    </w:tblPr>
    <w:tblGrid>
      <w:gridCol w:w="2176"/>
      <w:gridCol w:w="3810"/>
      <w:gridCol w:w="3301"/>
    </w:tblGrid>
    <w:tr w:rsidR="004A3ED8" w:rsidRPr="00B366A0" w14:paraId="461824E4" w14:textId="77777777" w:rsidTr="00E13E52">
      <w:trPr>
        <w:trHeight w:val="845"/>
        <w:jc w:val="center"/>
      </w:trPr>
      <w:tc>
        <w:tcPr>
          <w:tcW w:w="1172" w:type="pct"/>
          <w:tcBorders>
            <w:bottom w:val="single" w:sz="18" w:space="0" w:color="009E49"/>
          </w:tcBorders>
          <w:vAlign w:val="center"/>
        </w:tcPr>
        <w:p w14:paraId="2D2ABDF5" w14:textId="77777777" w:rsidR="004A3ED8" w:rsidRPr="00CE3601" w:rsidRDefault="004A3ED8" w:rsidP="007564CC">
          <w:pPr>
            <w:pStyle w:val="Header"/>
            <w:tabs>
              <w:tab w:val="center" w:pos="4357"/>
              <w:tab w:val="right" w:pos="9720"/>
            </w:tabs>
            <w:spacing w:before="240" w:after="120"/>
            <w:jc w:val="center"/>
            <w:rPr>
              <w:rFonts w:ascii="Cambria" w:hAnsi="Cambria"/>
            </w:rPr>
          </w:pPr>
          <w:r>
            <w:rPr>
              <w:noProof/>
              <w:sz w:val="16"/>
              <w:szCs w:val="16"/>
              <w:lang w:val="en-US"/>
            </w:rPr>
            <w:drawing>
              <wp:inline distT="0" distB="0" distL="0" distR="0" wp14:anchorId="35EE3631" wp14:editId="0EA1C3F4">
                <wp:extent cx="380852" cy="548640"/>
                <wp:effectExtent l="0" t="0" r="635" b="3810"/>
                <wp:docPr id="1073742129" name="Imagem 107374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jpg"/>
                        <pic:cNvPicPr/>
                      </pic:nvPicPr>
                      <pic:blipFill>
                        <a:blip r:embed="rId1">
                          <a:extLst>
                            <a:ext uri="{28A0092B-C50C-407E-A947-70E740481C1C}">
                              <a14:useLocalDpi xmlns:a14="http://schemas.microsoft.com/office/drawing/2010/main" val="0"/>
                            </a:ext>
                          </a:extLst>
                        </a:blip>
                        <a:stretch>
                          <a:fillRect/>
                        </a:stretch>
                      </pic:blipFill>
                      <pic:spPr>
                        <a:xfrm>
                          <a:off x="0" y="0"/>
                          <a:ext cx="399971" cy="576182"/>
                        </a:xfrm>
                        <a:prstGeom prst="rect">
                          <a:avLst/>
                        </a:prstGeom>
                      </pic:spPr>
                    </pic:pic>
                  </a:graphicData>
                </a:graphic>
              </wp:inline>
            </w:drawing>
          </w:r>
        </w:p>
      </w:tc>
      <w:tc>
        <w:tcPr>
          <w:tcW w:w="2051" w:type="pct"/>
          <w:tcBorders>
            <w:bottom w:val="single" w:sz="18" w:space="0" w:color="009E49"/>
          </w:tcBorders>
          <w:vAlign w:val="center"/>
        </w:tcPr>
        <w:p w14:paraId="5BC63100" w14:textId="77777777" w:rsidR="004A3ED8" w:rsidRPr="0085655D" w:rsidRDefault="004A3ED8" w:rsidP="007564CC">
          <w:pPr>
            <w:pStyle w:val="Header"/>
            <w:tabs>
              <w:tab w:val="center" w:pos="4357"/>
              <w:tab w:val="right" w:pos="9720"/>
            </w:tabs>
            <w:spacing w:after="120"/>
            <w:jc w:val="center"/>
            <w:rPr>
              <w:rFonts w:asciiTheme="majorHAnsi" w:hAnsiTheme="majorHAnsi"/>
              <w:sz w:val="18"/>
            </w:rPr>
          </w:pPr>
          <w:r w:rsidRPr="0085655D">
            <w:rPr>
              <w:rFonts w:asciiTheme="majorHAnsi" w:hAnsiTheme="majorHAnsi"/>
              <w:sz w:val="18"/>
            </w:rPr>
            <w:t>Plano de Emergência Individual</w:t>
          </w:r>
        </w:p>
        <w:p w14:paraId="5D52B466" w14:textId="77777777" w:rsidR="004A3ED8" w:rsidRPr="0085655D" w:rsidRDefault="004A3ED8" w:rsidP="007564CC">
          <w:pPr>
            <w:pStyle w:val="Header"/>
            <w:tabs>
              <w:tab w:val="center" w:pos="4357"/>
              <w:tab w:val="right" w:pos="9720"/>
            </w:tabs>
            <w:spacing w:before="60" w:after="60"/>
            <w:jc w:val="center"/>
            <w:rPr>
              <w:rFonts w:asciiTheme="majorHAnsi" w:hAnsiTheme="majorHAnsi"/>
              <w:sz w:val="18"/>
            </w:rPr>
          </w:pPr>
          <w:r w:rsidRPr="0085655D">
            <w:rPr>
              <w:rFonts w:asciiTheme="majorHAnsi" w:hAnsiTheme="majorHAnsi"/>
              <w:sz w:val="18"/>
            </w:rPr>
            <w:t xml:space="preserve">Bloco FZA-M-59 </w:t>
          </w:r>
          <w:r>
            <w:rPr>
              <w:rFonts w:asciiTheme="majorHAnsi" w:hAnsiTheme="majorHAnsi"/>
              <w:sz w:val="18"/>
            </w:rPr>
            <w:t>–</w:t>
          </w:r>
          <w:r w:rsidRPr="0085655D">
            <w:rPr>
              <w:rFonts w:asciiTheme="majorHAnsi" w:hAnsiTheme="majorHAnsi"/>
              <w:sz w:val="18"/>
            </w:rPr>
            <w:t xml:space="preserve"> Bacia da Foz do Amazonas</w:t>
          </w:r>
        </w:p>
      </w:tc>
      <w:tc>
        <w:tcPr>
          <w:tcW w:w="1777" w:type="pct"/>
          <w:tcBorders>
            <w:bottom w:val="single" w:sz="18" w:space="0" w:color="009E49"/>
          </w:tcBorders>
          <w:vAlign w:val="center"/>
        </w:tcPr>
        <w:p w14:paraId="48DFA05E" w14:textId="77777777" w:rsidR="004A3ED8" w:rsidRPr="00807DBA" w:rsidRDefault="004A3ED8" w:rsidP="007564CC">
          <w:pPr>
            <w:pStyle w:val="Header"/>
            <w:tabs>
              <w:tab w:val="right" w:pos="9720"/>
            </w:tabs>
            <w:spacing w:after="120"/>
            <w:ind w:right="-144"/>
            <w:jc w:val="center"/>
            <w:rPr>
              <w:rFonts w:ascii="Cambria" w:hAnsi="Cambria"/>
              <w:i/>
              <w:noProof/>
            </w:rPr>
          </w:pPr>
          <w:r w:rsidRPr="00BC71EA">
            <w:rPr>
              <w:rFonts w:ascii="Cambria" w:hAnsi="Cambria"/>
              <w:noProof/>
              <w:lang w:val="en-US"/>
            </w:rPr>
            <w:drawing>
              <wp:inline distT="0" distB="0" distL="0" distR="0" wp14:anchorId="6EE72C6C" wp14:editId="35A021B2">
                <wp:extent cx="1627504" cy="310262"/>
                <wp:effectExtent l="0" t="0" r="0" b="0"/>
                <wp:docPr id="1073742130" name="Imagem 1073742130" descr="Witt_OBriens_Me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itt_OBriens_Med_CMYK.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8339" cy="318047"/>
                        </a:xfrm>
                        <a:prstGeom prst="rect">
                          <a:avLst/>
                        </a:prstGeom>
                        <a:noFill/>
                      </pic:spPr>
                    </pic:pic>
                  </a:graphicData>
                </a:graphic>
              </wp:inline>
            </w:drawing>
          </w:r>
        </w:p>
      </w:tc>
    </w:tr>
  </w:tbl>
  <w:p w14:paraId="274C2A80" w14:textId="77777777" w:rsidR="004A3ED8" w:rsidRDefault="004A3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A94F32"/>
    <w:multiLevelType w:val="multilevel"/>
    <w:tmpl w:val="F77258C4"/>
    <w:styleLink w:val="List31"/>
    <w:lvl w:ilvl="0">
      <w:start w:val="1"/>
      <w:numFmt w:val="upperLetter"/>
      <w:lvlText w:val="APÊNDICE %1 - "/>
      <w:lvlJc w:val="left"/>
      <w:rPr>
        <w:rFonts w:ascii="Calibri" w:hAnsi="Calibri" w:hint="default"/>
        <w:b/>
        <w:i w:val="0"/>
        <w:caps w:val="0"/>
        <w:strike w:val="0"/>
        <w:dstrike w:val="0"/>
        <w:vanish w:val="0"/>
        <w:color w:val="1F497D"/>
        <w:position w:val="0"/>
        <w:sz w:val="32"/>
        <w:vertAlign w:val="baseline"/>
        <w:rtl w:val="0"/>
      </w:rPr>
    </w:lvl>
    <w:lvl w:ilvl="1">
      <w:start w:val="1"/>
      <w:numFmt w:val="lowerLetter"/>
      <w:lvlText w:val="%2."/>
      <w:lvlJc w:val="left"/>
      <w:rPr>
        <w:color w:val="000000"/>
        <w:position w:val="0"/>
        <w:rtl w:val="0"/>
      </w:rPr>
    </w:lvl>
    <w:lvl w:ilvl="2">
      <w:start w:val="1"/>
      <w:numFmt w:val="lowerRoman"/>
      <w:lvlText w:val="%3."/>
      <w:lvlJc w:val="left"/>
      <w:rPr>
        <w:color w:val="000000"/>
        <w:position w:val="0"/>
        <w:rtl w:val="0"/>
      </w:rPr>
    </w:lvl>
    <w:lvl w:ilvl="3">
      <w:start w:val="1"/>
      <w:numFmt w:val="decimal"/>
      <w:lvlText w:val="%4."/>
      <w:lvlJc w:val="left"/>
      <w:rPr>
        <w:color w:val="000000"/>
        <w:position w:val="0"/>
        <w:rtl w:val="0"/>
      </w:rPr>
    </w:lvl>
    <w:lvl w:ilvl="4">
      <w:start w:val="1"/>
      <w:numFmt w:val="lowerLetter"/>
      <w:lvlText w:val="%5."/>
      <w:lvlJc w:val="left"/>
      <w:rPr>
        <w:color w:val="000000"/>
        <w:position w:val="0"/>
        <w:rtl w:val="0"/>
      </w:rPr>
    </w:lvl>
    <w:lvl w:ilvl="5">
      <w:start w:val="1"/>
      <w:numFmt w:val="lowerRoman"/>
      <w:lvlText w:val="%6."/>
      <w:lvlJc w:val="left"/>
      <w:rPr>
        <w:color w:val="000000"/>
        <w:position w:val="0"/>
        <w:rtl w:val="0"/>
      </w:rPr>
    </w:lvl>
    <w:lvl w:ilvl="6">
      <w:start w:val="1"/>
      <w:numFmt w:val="decimal"/>
      <w:lvlText w:val="%7."/>
      <w:lvlJc w:val="left"/>
      <w:rPr>
        <w:color w:val="000000"/>
        <w:position w:val="0"/>
        <w:rtl w:val="0"/>
      </w:rPr>
    </w:lvl>
    <w:lvl w:ilvl="7">
      <w:start w:val="1"/>
      <w:numFmt w:val="lowerLetter"/>
      <w:lvlText w:val="%8."/>
      <w:lvlJc w:val="left"/>
      <w:rPr>
        <w:color w:val="000000"/>
        <w:position w:val="0"/>
        <w:rtl w:val="0"/>
      </w:rPr>
    </w:lvl>
    <w:lvl w:ilvl="8">
      <w:start w:val="1"/>
      <w:numFmt w:val="lowerRoman"/>
      <w:lvlText w:val="%9."/>
      <w:lvlJc w:val="left"/>
      <w:rPr>
        <w:color w:val="000000"/>
        <w:position w:val="0"/>
        <w:rtl w:val="0"/>
      </w:rPr>
    </w:lvl>
  </w:abstractNum>
  <w:abstractNum w:abstractNumId="1" w15:restartNumberingAfterBreak="0">
    <w:nsid w:val="04612F43"/>
    <w:multiLevelType w:val="hybridMultilevel"/>
    <w:tmpl w:val="DEAACB22"/>
    <w:lvl w:ilvl="0" w:tplc="ADD677D8">
      <w:start w:val="1"/>
      <w:numFmt w:val="bullet"/>
      <w:lvlText w:val=""/>
      <w:lvlJc w:val="left"/>
      <w:pPr>
        <w:tabs>
          <w:tab w:val="num" w:pos="546"/>
        </w:tabs>
        <w:ind w:left="546" w:hanging="360"/>
      </w:pPr>
      <w:rPr>
        <w:rFonts w:ascii="Symbol" w:hAnsi="Symbol" w:hint="default"/>
        <w:color w:val="auto"/>
      </w:rPr>
    </w:lvl>
    <w:lvl w:ilvl="1" w:tplc="CAC0E26C">
      <w:start w:val="3496"/>
      <w:numFmt w:val="bullet"/>
      <w:lvlText w:val="-"/>
      <w:lvlJc w:val="left"/>
      <w:pPr>
        <w:tabs>
          <w:tab w:val="num" w:pos="1266"/>
        </w:tabs>
        <w:ind w:left="1266" w:hanging="360"/>
      </w:pPr>
      <w:rPr>
        <w:rFonts w:ascii="Times New Roman" w:hAnsi="Times New Roman" w:hint="default"/>
      </w:rPr>
    </w:lvl>
    <w:lvl w:ilvl="2" w:tplc="F49492C8" w:tentative="1">
      <w:start w:val="1"/>
      <w:numFmt w:val="bullet"/>
      <w:lvlText w:val=""/>
      <w:lvlJc w:val="left"/>
      <w:pPr>
        <w:tabs>
          <w:tab w:val="num" w:pos="1986"/>
        </w:tabs>
        <w:ind w:left="1986" w:hanging="360"/>
      </w:pPr>
      <w:rPr>
        <w:rFonts w:ascii="Wingdings" w:hAnsi="Wingdings" w:hint="default"/>
      </w:rPr>
    </w:lvl>
    <w:lvl w:ilvl="3" w:tplc="A068541E" w:tentative="1">
      <w:start w:val="1"/>
      <w:numFmt w:val="bullet"/>
      <w:lvlText w:val=""/>
      <w:lvlJc w:val="left"/>
      <w:pPr>
        <w:tabs>
          <w:tab w:val="num" w:pos="2706"/>
        </w:tabs>
        <w:ind w:left="2706" w:hanging="360"/>
      </w:pPr>
      <w:rPr>
        <w:rFonts w:ascii="Wingdings" w:hAnsi="Wingdings" w:hint="default"/>
      </w:rPr>
    </w:lvl>
    <w:lvl w:ilvl="4" w:tplc="84CE468A" w:tentative="1">
      <w:start w:val="1"/>
      <w:numFmt w:val="bullet"/>
      <w:lvlText w:val=""/>
      <w:lvlJc w:val="left"/>
      <w:pPr>
        <w:tabs>
          <w:tab w:val="num" w:pos="3426"/>
        </w:tabs>
        <w:ind w:left="3426" w:hanging="360"/>
      </w:pPr>
      <w:rPr>
        <w:rFonts w:ascii="Wingdings" w:hAnsi="Wingdings" w:hint="default"/>
      </w:rPr>
    </w:lvl>
    <w:lvl w:ilvl="5" w:tplc="AA087AC4" w:tentative="1">
      <w:start w:val="1"/>
      <w:numFmt w:val="bullet"/>
      <w:lvlText w:val=""/>
      <w:lvlJc w:val="left"/>
      <w:pPr>
        <w:tabs>
          <w:tab w:val="num" w:pos="4146"/>
        </w:tabs>
        <w:ind w:left="4146" w:hanging="360"/>
      </w:pPr>
      <w:rPr>
        <w:rFonts w:ascii="Wingdings" w:hAnsi="Wingdings" w:hint="default"/>
      </w:rPr>
    </w:lvl>
    <w:lvl w:ilvl="6" w:tplc="3A681238" w:tentative="1">
      <w:start w:val="1"/>
      <w:numFmt w:val="bullet"/>
      <w:lvlText w:val=""/>
      <w:lvlJc w:val="left"/>
      <w:pPr>
        <w:tabs>
          <w:tab w:val="num" w:pos="4866"/>
        </w:tabs>
        <w:ind w:left="4866" w:hanging="360"/>
      </w:pPr>
      <w:rPr>
        <w:rFonts w:ascii="Wingdings" w:hAnsi="Wingdings" w:hint="default"/>
      </w:rPr>
    </w:lvl>
    <w:lvl w:ilvl="7" w:tplc="5FC47530" w:tentative="1">
      <w:start w:val="1"/>
      <w:numFmt w:val="bullet"/>
      <w:lvlText w:val=""/>
      <w:lvlJc w:val="left"/>
      <w:pPr>
        <w:tabs>
          <w:tab w:val="num" w:pos="5586"/>
        </w:tabs>
        <w:ind w:left="5586" w:hanging="360"/>
      </w:pPr>
      <w:rPr>
        <w:rFonts w:ascii="Wingdings" w:hAnsi="Wingdings" w:hint="default"/>
      </w:rPr>
    </w:lvl>
    <w:lvl w:ilvl="8" w:tplc="120A61F2" w:tentative="1">
      <w:start w:val="1"/>
      <w:numFmt w:val="bullet"/>
      <w:lvlText w:val=""/>
      <w:lvlJc w:val="left"/>
      <w:pPr>
        <w:tabs>
          <w:tab w:val="num" w:pos="6306"/>
        </w:tabs>
        <w:ind w:left="6306" w:hanging="360"/>
      </w:pPr>
      <w:rPr>
        <w:rFonts w:ascii="Wingdings" w:hAnsi="Wingdings" w:hint="default"/>
      </w:rPr>
    </w:lvl>
  </w:abstractNum>
  <w:abstractNum w:abstractNumId="2" w15:restartNumberingAfterBreak="0">
    <w:nsid w:val="05D163A1"/>
    <w:multiLevelType w:val="hybridMultilevel"/>
    <w:tmpl w:val="CF047E20"/>
    <w:lvl w:ilvl="0" w:tplc="04160001">
      <w:start w:val="1"/>
      <w:numFmt w:val="bullet"/>
      <w:lvlText w:val=""/>
      <w:lvlJc w:val="left"/>
      <w:pPr>
        <w:ind w:left="706" w:hanging="360"/>
      </w:pPr>
      <w:rPr>
        <w:rFonts w:ascii="Symbol" w:hAnsi="Symbol" w:hint="default"/>
      </w:rPr>
    </w:lvl>
    <w:lvl w:ilvl="1" w:tplc="04160003" w:tentative="1">
      <w:start w:val="1"/>
      <w:numFmt w:val="bullet"/>
      <w:lvlText w:val="o"/>
      <w:lvlJc w:val="left"/>
      <w:pPr>
        <w:ind w:left="1426" w:hanging="360"/>
      </w:pPr>
      <w:rPr>
        <w:rFonts w:ascii="Courier New" w:hAnsi="Courier New" w:cs="Courier New" w:hint="default"/>
      </w:rPr>
    </w:lvl>
    <w:lvl w:ilvl="2" w:tplc="04160005" w:tentative="1">
      <w:start w:val="1"/>
      <w:numFmt w:val="bullet"/>
      <w:lvlText w:val=""/>
      <w:lvlJc w:val="left"/>
      <w:pPr>
        <w:ind w:left="2146" w:hanging="360"/>
      </w:pPr>
      <w:rPr>
        <w:rFonts w:ascii="Wingdings" w:hAnsi="Wingdings" w:hint="default"/>
      </w:rPr>
    </w:lvl>
    <w:lvl w:ilvl="3" w:tplc="04160001" w:tentative="1">
      <w:start w:val="1"/>
      <w:numFmt w:val="bullet"/>
      <w:lvlText w:val=""/>
      <w:lvlJc w:val="left"/>
      <w:pPr>
        <w:ind w:left="2866" w:hanging="360"/>
      </w:pPr>
      <w:rPr>
        <w:rFonts w:ascii="Symbol" w:hAnsi="Symbol" w:hint="default"/>
      </w:rPr>
    </w:lvl>
    <w:lvl w:ilvl="4" w:tplc="04160003" w:tentative="1">
      <w:start w:val="1"/>
      <w:numFmt w:val="bullet"/>
      <w:lvlText w:val="o"/>
      <w:lvlJc w:val="left"/>
      <w:pPr>
        <w:ind w:left="3586" w:hanging="360"/>
      </w:pPr>
      <w:rPr>
        <w:rFonts w:ascii="Courier New" w:hAnsi="Courier New" w:cs="Courier New" w:hint="default"/>
      </w:rPr>
    </w:lvl>
    <w:lvl w:ilvl="5" w:tplc="04160005" w:tentative="1">
      <w:start w:val="1"/>
      <w:numFmt w:val="bullet"/>
      <w:lvlText w:val=""/>
      <w:lvlJc w:val="left"/>
      <w:pPr>
        <w:ind w:left="4306" w:hanging="360"/>
      </w:pPr>
      <w:rPr>
        <w:rFonts w:ascii="Wingdings" w:hAnsi="Wingdings" w:hint="default"/>
      </w:rPr>
    </w:lvl>
    <w:lvl w:ilvl="6" w:tplc="04160001" w:tentative="1">
      <w:start w:val="1"/>
      <w:numFmt w:val="bullet"/>
      <w:lvlText w:val=""/>
      <w:lvlJc w:val="left"/>
      <w:pPr>
        <w:ind w:left="5026" w:hanging="360"/>
      </w:pPr>
      <w:rPr>
        <w:rFonts w:ascii="Symbol" w:hAnsi="Symbol" w:hint="default"/>
      </w:rPr>
    </w:lvl>
    <w:lvl w:ilvl="7" w:tplc="04160003" w:tentative="1">
      <w:start w:val="1"/>
      <w:numFmt w:val="bullet"/>
      <w:lvlText w:val="o"/>
      <w:lvlJc w:val="left"/>
      <w:pPr>
        <w:ind w:left="5746" w:hanging="360"/>
      </w:pPr>
      <w:rPr>
        <w:rFonts w:ascii="Courier New" w:hAnsi="Courier New" w:cs="Courier New" w:hint="default"/>
      </w:rPr>
    </w:lvl>
    <w:lvl w:ilvl="8" w:tplc="04160005" w:tentative="1">
      <w:start w:val="1"/>
      <w:numFmt w:val="bullet"/>
      <w:lvlText w:val=""/>
      <w:lvlJc w:val="left"/>
      <w:pPr>
        <w:ind w:left="6466" w:hanging="360"/>
      </w:pPr>
      <w:rPr>
        <w:rFonts w:ascii="Wingdings" w:hAnsi="Wingdings" w:hint="default"/>
      </w:rPr>
    </w:lvl>
  </w:abstractNum>
  <w:abstractNum w:abstractNumId="3" w15:restartNumberingAfterBreak="0">
    <w:nsid w:val="070F01DE"/>
    <w:multiLevelType w:val="hybridMultilevel"/>
    <w:tmpl w:val="2FC27A1A"/>
    <w:lvl w:ilvl="0" w:tplc="F6C2167E">
      <w:start w:val="1"/>
      <w:numFmt w:val="decimal"/>
      <w:lvlText w:val="%1."/>
      <w:lvlJc w:val="left"/>
      <w:pPr>
        <w:ind w:left="1065" w:hanging="360"/>
      </w:pPr>
    </w:lvl>
    <w:lvl w:ilvl="1" w:tplc="04160019">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start w:val="1"/>
      <w:numFmt w:val="lowerLetter"/>
      <w:lvlText w:val="%5."/>
      <w:lvlJc w:val="left"/>
      <w:pPr>
        <w:ind w:left="3945" w:hanging="360"/>
      </w:pPr>
    </w:lvl>
    <w:lvl w:ilvl="5" w:tplc="0416001B">
      <w:start w:val="1"/>
      <w:numFmt w:val="lowerRoman"/>
      <w:lvlText w:val="%6."/>
      <w:lvlJc w:val="right"/>
      <w:pPr>
        <w:ind w:left="4665" w:hanging="180"/>
      </w:pPr>
    </w:lvl>
    <w:lvl w:ilvl="6" w:tplc="0416000F">
      <w:start w:val="1"/>
      <w:numFmt w:val="decimal"/>
      <w:lvlText w:val="%7."/>
      <w:lvlJc w:val="left"/>
      <w:pPr>
        <w:ind w:left="5385" w:hanging="360"/>
      </w:pPr>
    </w:lvl>
    <w:lvl w:ilvl="7" w:tplc="04160019">
      <w:start w:val="1"/>
      <w:numFmt w:val="lowerLetter"/>
      <w:lvlText w:val="%8."/>
      <w:lvlJc w:val="left"/>
      <w:pPr>
        <w:ind w:left="6105" w:hanging="360"/>
      </w:pPr>
    </w:lvl>
    <w:lvl w:ilvl="8" w:tplc="0416001B">
      <w:start w:val="1"/>
      <w:numFmt w:val="lowerRoman"/>
      <w:lvlText w:val="%9."/>
      <w:lvlJc w:val="right"/>
      <w:pPr>
        <w:ind w:left="6825" w:hanging="180"/>
      </w:pPr>
    </w:lvl>
  </w:abstractNum>
  <w:abstractNum w:abstractNumId="4" w15:restartNumberingAfterBreak="0">
    <w:nsid w:val="0B7B2C6D"/>
    <w:multiLevelType w:val="hybridMultilevel"/>
    <w:tmpl w:val="40322E1A"/>
    <w:lvl w:ilvl="0" w:tplc="BF4C603C">
      <w:start w:val="1"/>
      <w:numFmt w:val="bullet"/>
      <w:lvlText w:val="­"/>
      <w:lvlJc w:val="left"/>
      <w:pPr>
        <w:ind w:left="948" w:hanging="360"/>
      </w:pPr>
      <w:rPr>
        <w:rFonts w:ascii="Verdana" w:hAnsi="Verdana" w:hint="default"/>
      </w:rPr>
    </w:lvl>
    <w:lvl w:ilvl="1" w:tplc="04090003" w:tentative="1">
      <w:start w:val="1"/>
      <w:numFmt w:val="bullet"/>
      <w:lvlText w:val="o"/>
      <w:lvlJc w:val="left"/>
      <w:pPr>
        <w:ind w:left="1668" w:hanging="360"/>
      </w:pPr>
      <w:rPr>
        <w:rFonts w:ascii="Courier New" w:hAnsi="Courier New" w:hint="default"/>
      </w:rPr>
    </w:lvl>
    <w:lvl w:ilvl="2" w:tplc="04090005" w:tentative="1">
      <w:start w:val="1"/>
      <w:numFmt w:val="bullet"/>
      <w:lvlText w:val=""/>
      <w:lvlJc w:val="left"/>
      <w:pPr>
        <w:ind w:left="2388" w:hanging="360"/>
      </w:pPr>
      <w:rPr>
        <w:rFonts w:ascii="Wingdings" w:hAnsi="Wingdings" w:hint="default"/>
      </w:rPr>
    </w:lvl>
    <w:lvl w:ilvl="3" w:tplc="04090001" w:tentative="1">
      <w:start w:val="1"/>
      <w:numFmt w:val="bullet"/>
      <w:lvlText w:val=""/>
      <w:lvlJc w:val="left"/>
      <w:pPr>
        <w:ind w:left="3108" w:hanging="360"/>
      </w:pPr>
      <w:rPr>
        <w:rFonts w:ascii="Symbol" w:hAnsi="Symbol" w:hint="default"/>
      </w:rPr>
    </w:lvl>
    <w:lvl w:ilvl="4" w:tplc="04090003" w:tentative="1">
      <w:start w:val="1"/>
      <w:numFmt w:val="bullet"/>
      <w:lvlText w:val="o"/>
      <w:lvlJc w:val="left"/>
      <w:pPr>
        <w:ind w:left="3828" w:hanging="360"/>
      </w:pPr>
      <w:rPr>
        <w:rFonts w:ascii="Courier New" w:hAnsi="Courier New" w:hint="default"/>
      </w:rPr>
    </w:lvl>
    <w:lvl w:ilvl="5" w:tplc="04090005" w:tentative="1">
      <w:start w:val="1"/>
      <w:numFmt w:val="bullet"/>
      <w:lvlText w:val=""/>
      <w:lvlJc w:val="left"/>
      <w:pPr>
        <w:ind w:left="4548" w:hanging="360"/>
      </w:pPr>
      <w:rPr>
        <w:rFonts w:ascii="Wingdings" w:hAnsi="Wingdings" w:hint="default"/>
      </w:rPr>
    </w:lvl>
    <w:lvl w:ilvl="6" w:tplc="04090001" w:tentative="1">
      <w:start w:val="1"/>
      <w:numFmt w:val="bullet"/>
      <w:lvlText w:val=""/>
      <w:lvlJc w:val="left"/>
      <w:pPr>
        <w:ind w:left="5268" w:hanging="360"/>
      </w:pPr>
      <w:rPr>
        <w:rFonts w:ascii="Symbol" w:hAnsi="Symbol" w:hint="default"/>
      </w:rPr>
    </w:lvl>
    <w:lvl w:ilvl="7" w:tplc="04090003" w:tentative="1">
      <w:start w:val="1"/>
      <w:numFmt w:val="bullet"/>
      <w:lvlText w:val="o"/>
      <w:lvlJc w:val="left"/>
      <w:pPr>
        <w:ind w:left="5988" w:hanging="360"/>
      </w:pPr>
      <w:rPr>
        <w:rFonts w:ascii="Courier New" w:hAnsi="Courier New" w:hint="default"/>
      </w:rPr>
    </w:lvl>
    <w:lvl w:ilvl="8" w:tplc="04090005" w:tentative="1">
      <w:start w:val="1"/>
      <w:numFmt w:val="bullet"/>
      <w:lvlText w:val=""/>
      <w:lvlJc w:val="left"/>
      <w:pPr>
        <w:ind w:left="6708" w:hanging="360"/>
      </w:pPr>
      <w:rPr>
        <w:rFonts w:ascii="Wingdings" w:hAnsi="Wingdings" w:hint="default"/>
      </w:rPr>
    </w:lvl>
  </w:abstractNum>
  <w:abstractNum w:abstractNumId="5" w15:restartNumberingAfterBreak="0">
    <w:nsid w:val="10537485"/>
    <w:multiLevelType w:val="hybridMultilevel"/>
    <w:tmpl w:val="EBCA5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D91334"/>
    <w:multiLevelType w:val="hybridMultilevel"/>
    <w:tmpl w:val="CFDCE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500982"/>
    <w:multiLevelType w:val="multilevel"/>
    <w:tmpl w:val="E65272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FF6429"/>
    <w:multiLevelType w:val="hybridMultilevel"/>
    <w:tmpl w:val="A4722AA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202B3DFE"/>
    <w:multiLevelType w:val="hybridMultilevel"/>
    <w:tmpl w:val="555C0602"/>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15:restartNumberingAfterBreak="0">
    <w:nsid w:val="26F2516F"/>
    <w:multiLevelType w:val="hybridMultilevel"/>
    <w:tmpl w:val="5FC8F340"/>
    <w:lvl w:ilvl="0" w:tplc="696A5EA4">
      <w:start w:val="1"/>
      <w:numFmt w:val="decimal"/>
      <w:pStyle w:val="tit"/>
      <w:lvlText w:val="%1)"/>
      <w:lvlJc w:val="left"/>
      <w:pPr>
        <w:ind w:left="360" w:hanging="360"/>
      </w:pPr>
      <w:rPr>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8476AEE"/>
    <w:multiLevelType w:val="multilevel"/>
    <w:tmpl w:val="87AEB8B2"/>
    <w:styleLink w:val="List41"/>
    <w:lvl w:ilvl="0">
      <w:start w:val="1"/>
      <w:numFmt w:val="upperLetter"/>
      <w:lvlText w:val="ANEXO %1 - "/>
      <w:lvlJc w:val="left"/>
      <w:rPr>
        <w:rFonts w:ascii="Calibri" w:hAnsi="Calibri" w:hint="default"/>
        <w:b/>
        <w:i w:val="0"/>
        <w:caps w:val="0"/>
        <w:strike w:val="0"/>
        <w:dstrike w:val="0"/>
        <w:vanish w:val="0"/>
        <w:color w:val="1F497D"/>
        <w:position w:val="0"/>
        <w:sz w:val="32"/>
        <w:vertAlign w:val="baseline"/>
        <w:rtl w:val="0"/>
      </w:rPr>
    </w:lvl>
    <w:lvl w:ilvl="1">
      <w:start w:val="1"/>
      <w:numFmt w:val="lowerLetter"/>
      <w:lvlText w:val="%2."/>
      <w:lvlJc w:val="left"/>
      <w:rPr>
        <w:color w:val="000000"/>
        <w:position w:val="0"/>
        <w:rtl w:val="0"/>
      </w:rPr>
    </w:lvl>
    <w:lvl w:ilvl="2">
      <w:start w:val="1"/>
      <w:numFmt w:val="lowerRoman"/>
      <w:lvlText w:val="%3."/>
      <w:lvlJc w:val="left"/>
      <w:rPr>
        <w:color w:val="000000"/>
        <w:position w:val="0"/>
        <w:rtl w:val="0"/>
      </w:rPr>
    </w:lvl>
    <w:lvl w:ilvl="3">
      <w:start w:val="1"/>
      <w:numFmt w:val="decimal"/>
      <w:lvlText w:val="%4."/>
      <w:lvlJc w:val="left"/>
      <w:rPr>
        <w:color w:val="000000"/>
        <w:position w:val="0"/>
        <w:rtl w:val="0"/>
      </w:rPr>
    </w:lvl>
    <w:lvl w:ilvl="4">
      <w:start w:val="1"/>
      <w:numFmt w:val="lowerLetter"/>
      <w:lvlText w:val="%5."/>
      <w:lvlJc w:val="left"/>
      <w:rPr>
        <w:color w:val="000000"/>
        <w:position w:val="0"/>
        <w:rtl w:val="0"/>
      </w:rPr>
    </w:lvl>
    <w:lvl w:ilvl="5">
      <w:start w:val="1"/>
      <w:numFmt w:val="lowerRoman"/>
      <w:lvlText w:val="%6."/>
      <w:lvlJc w:val="left"/>
      <w:rPr>
        <w:color w:val="000000"/>
        <w:position w:val="0"/>
        <w:rtl w:val="0"/>
      </w:rPr>
    </w:lvl>
    <w:lvl w:ilvl="6">
      <w:start w:val="1"/>
      <w:numFmt w:val="decimal"/>
      <w:lvlText w:val="%7."/>
      <w:lvlJc w:val="left"/>
      <w:rPr>
        <w:color w:val="000000"/>
        <w:position w:val="0"/>
        <w:rtl w:val="0"/>
      </w:rPr>
    </w:lvl>
    <w:lvl w:ilvl="7">
      <w:start w:val="1"/>
      <w:numFmt w:val="lowerLetter"/>
      <w:lvlText w:val="%8."/>
      <w:lvlJc w:val="left"/>
      <w:rPr>
        <w:color w:val="000000"/>
        <w:position w:val="0"/>
        <w:rtl w:val="0"/>
      </w:rPr>
    </w:lvl>
    <w:lvl w:ilvl="8">
      <w:start w:val="1"/>
      <w:numFmt w:val="lowerRoman"/>
      <w:lvlText w:val="%9."/>
      <w:lvlJc w:val="left"/>
      <w:rPr>
        <w:color w:val="000000"/>
        <w:position w:val="0"/>
        <w:rtl w:val="0"/>
      </w:rPr>
    </w:lvl>
  </w:abstractNum>
  <w:abstractNum w:abstractNumId="12" w15:restartNumberingAfterBreak="0">
    <w:nsid w:val="2A400FBE"/>
    <w:multiLevelType w:val="multilevel"/>
    <w:tmpl w:val="640C9522"/>
    <w:lvl w:ilvl="0">
      <w:start w:val="1"/>
      <w:numFmt w:val="upperRoman"/>
      <w:pStyle w:val="Titulo1WOB"/>
      <w:lvlText w:val="%1."/>
      <w:lvlJc w:val="left"/>
      <w:pPr>
        <w:ind w:left="360" w:hanging="360"/>
      </w:pPr>
      <w:rPr>
        <w:rFonts w:hint="default"/>
      </w:rPr>
    </w:lvl>
    <w:lvl w:ilvl="1">
      <w:start w:val="1"/>
      <w:numFmt w:val="decimal"/>
      <w:pStyle w:val="Titulo2WOB"/>
      <w:lvlText w:val="%1.%2."/>
      <w:lvlJc w:val="left"/>
      <w:pPr>
        <w:ind w:left="792" w:hanging="432"/>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ulo3WOB"/>
      <w:lvlText w:val="%1.%2.%3."/>
      <w:lvlJc w:val="left"/>
      <w:pPr>
        <w:ind w:left="6458" w:hanging="504"/>
      </w:pPr>
      <w:rPr>
        <w:rFonts w:hint="default"/>
      </w:rPr>
    </w:lvl>
    <w:lvl w:ilvl="3">
      <w:start w:val="1"/>
      <w:numFmt w:val="decimal"/>
      <w:pStyle w:val="Titulo4WOB"/>
      <w:lvlText w:val="%1.%2.%3.%4."/>
      <w:lvlJc w:val="left"/>
      <w:pPr>
        <w:ind w:left="1728" w:hanging="648"/>
      </w:pPr>
      <w:rPr>
        <w:rFonts w:hint="default"/>
      </w:rPr>
    </w:lvl>
    <w:lvl w:ilvl="4">
      <w:start w:val="1"/>
      <w:numFmt w:val="decimal"/>
      <w:lvlText w:val="%1.%2.%3.%4.%5."/>
      <w:lvlJc w:val="left"/>
      <w:pPr>
        <w:ind w:left="79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C1C6397"/>
    <w:multiLevelType w:val="hybridMultilevel"/>
    <w:tmpl w:val="BDAA9F4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B77AA5"/>
    <w:multiLevelType w:val="hybridMultilevel"/>
    <w:tmpl w:val="207C834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23C623A"/>
    <w:multiLevelType w:val="multilevel"/>
    <w:tmpl w:val="092AFBD2"/>
    <w:styleLink w:val="List6"/>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6" w15:restartNumberingAfterBreak="0">
    <w:nsid w:val="335F6F8D"/>
    <w:multiLevelType w:val="multilevel"/>
    <w:tmpl w:val="FC167500"/>
    <w:styleLink w:val="Estilo3"/>
    <w:lvl w:ilvl="0">
      <w:start w:val="1"/>
      <w:numFmt w:val="decimal"/>
      <w:lvlText w:val="%1."/>
      <w:lvlJc w:val="left"/>
      <w:pPr>
        <w:ind w:left="680" w:hanging="320"/>
      </w:pPr>
      <w:rPr>
        <w:rFonts w:hint="default"/>
      </w:rPr>
    </w:lvl>
    <w:lvl w:ilvl="1">
      <w:start w:val="1"/>
      <w:numFmt w:val="decimal"/>
      <w:lvlText w:val="%1.%2."/>
      <w:lvlJc w:val="left"/>
      <w:pPr>
        <w:ind w:left="1152" w:hanging="432"/>
      </w:pPr>
      <w:rPr>
        <w:rFonts w:asciiTheme="minorHAnsi" w:hAnsiTheme="minorHAnsi" w:hint="default"/>
        <w:b/>
        <w:color w:val="000000" w:themeColor="text1"/>
        <w:sz w:val="22"/>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7" w15:restartNumberingAfterBreak="0">
    <w:nsid w:val="3A1611A6"/>
    <w:multiLevelType w:val="hybridMultilevel"/>
    <w:tmpl w:val="A050B52C"/>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8" w15:restartNumberingAfterBreak="0">
    <w:nsid w:val="3E38378D"/>
    <w:multiLevelType w:val="multilevel"/>
    <w:tmpl w:val="48C4EC9A"/>
    <w:lvl w:ilvl="0">
      <w:start w:val="1"/>
      <w:numFmt w:val="decimal"/>
      <w:pStyle w:val="Heading1"/>
      <w:lvlText w:val="%1."/>
      <w:lvlJc w:val="left"/>
      <w:pPr>
        <w:ind w:left="360" w:hanging="360"/>
      </w:pPr>
      <w:rPr>
        <w:rFonts w:hint="default"/>
        <w:sz w:val="28"/>
        <w:szCs w:val="28"/>
      </w:rPr>
    </w:lvl>
    <w:lvl w:ilvl="1">
      <w:start w:val="1"/>
      <w:numFmt w:val="decimal"/>
      <w:pStyle w:val="Heading2"/>
      <w:lvlText w:val="%1.%2."/>
      <w:lvlJc w:val="left"/>
      <w:pPr>
        <w:ind w:left="858" w:hanging="432"/>
      </w:pPr>
      <w:rPr>
        <w:lang w:val="pt-BR"/>
      </w:rPr>
    </w:lvl>
    <w:lvl w:ilvl="2">
      <w:start w:val="1"/>
      <w:numFmt w:val="decimal"/>
      <w:pStyle w:val="Heading3"/>
      <w:lvlText w:val="%1.%2.%3."/>
      <w:lvlJc w:val="left"/>
      <w:pPr>
        <w:ind w:left="6600" w:hanging="504"/>
      </w:pPr>
    </w:lvl>
    <w:lvl w:ilvl="3">
      <w:start w:val="1"/>
      <w:numFmt w:val="decimal"/>
      <w:pStyle w:val="Ttulo4OdB"/>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EAB786E"/>
    <w:multiLevelType w:val="hybridMultilevel"/>
    <w:tmpl w:val="DFAED3D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0" w15:restartNumberingAfterBreak="0">
    <w:nsid w:val="3EF623A9"/>
    <w:multiLevelType w:val="multilevel"/>
    <w:tmpl w:val="531854B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49DD73CF"/>
    <w:multiLevelType w:val="hybridMultilevel"/>
    <w:tmpl w:val="5CC8CC7E"/>
    <w:lvl w:ilvl="0" w:tplc="FFFFFFFF">
      <w:start w:val="1"/>
      <w:numFmt w:val="lowerLetter"/>
      <w:lvlText w:val="%1."/>
      <w:lvlJc w:val="left"/>
      <w:pPr>
        <w:ind w:left="720" w:hanging="360"/>
      </w:pPr>
    </w:lvl>
    <w:lvl w:ilvl="1" w:tplc="B88A0E1C">
      <w:start w:val="1"/>
      <w:numFmt w:val="decimal"/>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4B065BFD"/>
    <w:multiLevelType w:val="hybridMultilevel"/>
    <w:tmpl w:val="6D08292A"/>
    <w:lvl w:ilvl="0" w:tplc="F680548E">
      <w:start w:val="1"/>
      <w:numFmt w:val="bullet"/>
      <w:lvlText w:val=""/>
      <w:lvlJc w:val="left"/>
      <w:pPr>
        <w:tabs>
          <w:tab w:val="num" w:pos="1080"/>
        </w:tabs>
        <w:ind w:left="1224" w:hanging="216"/>
      </w:pPr>
      <w:rPr>
        <w:rFonts w:ascii="Wingdings" w:hAnsi="Wingdings" w:hint="default"/>
      </w:rPr>
    </w:lvl>
    <w:lvl w:ilvl="1" w:tplc="6AB6244C">
      <w:start w:val="1"/>
      <w:numFmt w:val="bullet"/>
      <w:lvlText w:val=""/>
      <w:lvlJc w:val="left"/>
      <w:pPr>
        <w:tabs>
          <w:tab w:val="num" w:pos="2852"/>
        </w:tabs>
        <w:ind w:left="2852" w:hanging="360"/>
      </w:pPr>
      <w:rPr>
        <w:rFonts w:ascii="Wingdings" w:hAnsi="Wingdings" w:hint="default"/>
        <w:b w:val="0"/>
        <w:i w:val="0"/>
        <w:color w:val="auto"/>
        <w:sz w:val="22"/>
      </w:rPr>
    </w:lvl>
    <w:lvl w:ilvl="2" w:tplc="04090005" w:tentative="1">
      <w:start w:val="1"/>
      <w:numFmt w:val="bullet"/>
      <w:lvlText w:val=""/>
      <w:lvlJc w:val="left"/>
      <w:pPr>
        <w:tabs>
          <w:tab w:val="num" w:pos="3572"/>
        </w:tabs>
        <w:ind w:left="3572" w:hanging="360"/>
      </w:pPr>
      <w:rPr>
        <w:rFonts w:ascii="Wingdings" w:hAnsi="Wingdings" w:hint="default"/>
      </w:rPr>
    </w:lvl>
    <w:lvl w:ilvl="3" w:tplc="04090001" w:tentative="1">
      <w:start w:val="1"/>
      <w:numFmt w:val="bullet"/>
      <w:lvlText w:val=""/>
      <w:lvlJc w:val="left"/>
      <w:pPr>
        <w:tabs>
          <w:tab w:val="num" w:pos="4292"/>
        </w:tabs>
        <w:ind w:left="4292" w:hanging="360"/>
      </w:pPr>
      <w:rPr>
        <w:rFonts w:ascii="Symbol" w:hAnsi="Symbol" w:hint="default"/>
      </w:rPr>
    </w:lvl>
    <w:lvl w:ilvl="4" w:tplc="04090003" w:tentative="1">
      <w:start w:val="1"/>
      <w:numFmt w:val="bullet"/>
      <w:lvlText w:val="o"/>
      <w:lvlJc w:val="left"/>
      <w:pPr>
        <w:tabs>
          <w:tab w:val="num" w:pos="5012"/>
        </w:tabs>
        <w:ind w:left="5012" w:hanging="360"/>
      </w:pPr>
      <w:rPr>
        <w:rFonts w:ascii="Courier New" w:hAnsi="Courier New" w:hint="default"/>
      </w:rPr>
    </w:lvl>
    <w:lvl w:ilvl="5" w:tplc="04090005" w:tentative="1">
      <w:start w:val="1"/>
      <w:numFmt w:val="bullet"/>
      <w:lvlText w:val=""/>
      <w:lvlJc w:val="left"/>
      <w:pPr>
        <w:tabs>
          <w:tab w:val="num" w:pos="5732"/>
        </w:tabs>
        <w:ind w:left="5732" w:hanging="360"/>
      </w:pPr>
      <w:rPr>
        <w:rFonts w:ascii="Wingdings" w:hAnsi="Wingdings" w:hint="default"/>
      </w:rPr>
    </w:lvl>
    <w:lvl w:ilvl="6" w:tplc="04090001" w:tentative="1">
      <w:start w:val="1"/>
      <w:numFmt w:val="bullet"/>
      <w:lvlText w:val=""/>
      <w:lvlJc w:val="left"/>
      <w:pPr>
        <w:tabs>
          <w:tab w:val="num" w:pos="6452"/>
        </w:tabs>
        <w:ind w:left="6452" w:hanging="360"/>
      </w:pPr>
      <w:rPr>
        <w:rFonts w:ascii="Symbol" w:hAnsi="Symbol" w:hint="default"/>
      </w:rPr>
    </w:lvl>
    <w:lvl w:ilvl="7" w:tplc="04090003" w:tentative="1">
      <w:start w:val="1"/>
      <w:numFmt w:val="bullet"/>
      <w:lvlText w:val="o"/>
      <w:lvlJc w:val="left"/>
      <w:pPr>
        <w:tabs>
          <w:tab w:val="num" w:pos="7172"/>
        </w:tabs>
        <w:ind w:left="7172" w:hanging="360"/>
      </w:pPr>
      <w:rPr>
        <w:rFonts w:ascii="Courier New" w:hAnsi="Courier New" w:hint="default"/>
      </w:rPr>
    </w:lvl>
    <w:lvl w:ilvl="8" w:tplc="04090005" w:tentative="1">
      <w:start w:val="1"/>
      <w:numFmt w:val="bullet"/>
      <w:lvlText w:val=""/>
      <w:lvlJc w:val="left"/>
      <w:pPr>
        <w:tabs>
          <w:tab w:val="num" w:pos="7892"/>
        </w:tabs>
        <w:ind w:left="7892" w:hanging="360"/>
      </w:pPr>
      <w:rPr>
        <w:rFonts w:ascii="Wingdings" w:hAnsi="Wingdings" w:hint="default"/>
      </w:rPr>
    </w:lvl>
  </w:abstractNum>
  <w:abstractNum w:abstractNumId="23" w15:restartNumberingAfterBreak="0">
    <w:nsid w:val="4B7F7F72"/>
    <w:multiLevelType w:val="hybridMultilevel"/>
    <w:tmpl w:val="F4146C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55EA3B3B"/>
    <w:multiLevelType w:val="hybridMultilevel"/>
    <w:tmpl w:val="2FC27A1A"/>
    <w:lvl w:ilvl="0" w:tplc="F6C2167E">
      <w:start w:val="1"/>
      <w:numFmt w:val="decimal"/>
      <w:lvlText w:val="%1."/>
      <w:lvlJc w:val="left"/>
      <w:pPr>
        <w:ind w:left="1065" w:hanging="360"/>
      </w:pPr>
    </w:lvl>
    <w:lvl w:ilvl="1" w:tplc="04160019">
      <w:start w:val="1"/>
      <w:numFmt w:val="lowerLetter"/>
      <w:lvlText w:val="%2."/>
      <w:lvlJc w:val="left"/>
      <w:pPr>
        <w:ind w:left="1785" w:hanging="360"/>
      </w:pPr>
    </w:lvl>
    <w:lvl w:ilvl="2" w:tplc="0416001B">
      <w:start w:val="1"/>
      <w:numFmt w:val="lowerRoman"/>
      <w:lvlText w:val="%3."/>
      <w:lvlJc w:val="right"/>
      <w:pPr>
        <w:ind w:left="2505" w:hanging="180"/>
      </w:pPr>
    </w:lvl>
    <w:lvl w:ilvl="3" w:tplc="0416000F">
      <w:start w:val="1"/>
      <w:numFmt w:val="decimal"/>
      <w:lvlText w:val="%4."/>
      <w:lvlJc w:val="left"/>
      <w:pPr>
        <w:ind w:left="3225" w:hanging="360"/>
      </w:pPr>
    </w:lvl>
    <w:lvl w:ilvl="4" w:tplc="04160019">
      <w:start w:val="1"/>
      <w:numFmt w:val="lowerLetter"/>
      <w:lvlText w:val="%5."/>
      <w:lvlJc w:val="left"/>
      <w:pPr>
        <w:ind w:left="3945" w:hanging="360"/>
      </w:pPr>
    </w:lvl>
    <w:lvl w:ilvl="5" w:tplc="0416001B">
      <w:start w:val="1"/>
      <w:numFmt w:val="lowerRoman"/>
      <w:lvlText w:val="%6."/>
      <w:lvlJc w:val="right"/>
      <w:pPr>
        <w:ind w:left="4665" w:hanging="180"/>
      </w:pPr>
    </w:lvl>
    <w:lvl w:ilvl="6" w:tplc="0416000F">
      <w:start w:val="1"/>
      <w:numFmt w:val="decimal"/>
      <w:lvlText w:val="%7."/>
      <w:lvlJc w:val="left"/>
      <w:pPr>
        <w:ind w:left="5385" w:hanging="360"/>
      </w:pPr>
    </w:lvl>
    <w:lvl w:ilvl="7" w:tplc="04160019">
      <w:start w:val="1"/>
      <w:numFmt w:val="lowerLetter"/>
      <w:lvlText w:val="%8."/>
      <w:lvlJc w:val="left"/>
      <w:pPr>
        <w:ind w:left="6105" w:hanging="360"/>
      </w:pPr>
    </w:lvl>
    <w:lvl w:ilvl="8" w:tplc="0416001B">
      <w:start w:val="1"/>
      <w:numFmt w:val="lowerRoman"/>
      <w:lvlText w:val="%9."/>
      <w:lvlJc w:val="right"/>
      <w:pPr>
        <w:ind w:left="6825" w:hanging="180"/>
      </w:pPr>
    </w:lvl>
  </w:abstractNum>
  <w:abstractNum w:abstractNumId="25" w15:restartNumberingAfterBreak="0">
    <w:nsid w:val="59FA03B9"/>
    <w:multiLevelType w:val="hybridMultilevel"/>
    <w:tmpl w:val="EFC86688"/>
    <w:lvl w:ilvl="0" w:tplc="FFFFFFFF">
      <w:start w:val="1"/>
      <w:numFmt w:val="bullet"/>
      <w:lvlText w:val=""/>
      <w:lvlJc w:val="left"/>
      <w:pPr>
        <w:tabs>
          <w:tab w:val="num" w:pos="928"/>
        </w:tabs>
        <w:ind w:left="928" w:hanging="360"/>
      </w:pPr>
      <w:rPr>
        <w:rFonts w:ascii="Wingdings" w:hAnsi="Wingdings" w:hint="default"/>
        <w:sz w:val="22"/>
        <w:szCs w:val="22"/>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C5F6F11"/>
    <w:multiLevelType w:val="hybridMultilevel"/>
    <w:tmpl w:val="C6483248"/>
    <w:lvl w:ilvl="0" w:tplc="5CE09BA6">
      <w:start w:val="1"/>
      <w:numFmt w:val="bullet"/>
      <w:pStyle w:val="ListParagraph"/>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27" w15:restartNumberingAfterBreak="0">
    <w:nsid w:val="65B76F03"/>
    <w:multiLevelType w:val="hybridMultilevel"/>
    <w:tmpl w:val="EEB06E6C"/>
    <w:lvl w:ilvl="0" w:tplc="04090001">
      <w:start w:val="1"/>
      <w:numFmt w:val="bullet"/>
      <w:pStyle w:val="OCETexto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C945F7"/>
    <w:multiLevelType w:val="multilevel"/>
    <w:tmpl w:val="CEA425F2"/>
    <w:lvl w:ilvl="0">
      <w:start w:val="1"/>
      <w:numFmt w:val="bullet"/>
      <w:pStyle w:val="itemx"/>
      <w:lvlText w:val=""/>
      <w:lvlJc w:val="left"/>
      <w:pPr>
        <w:tabs>
          <w:tab w:val="num" w:pos="397"/>
        </w:tabs>
        <w:ind w:left="397" w:hanging="39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27F53EC"/>
    <w:multiLevelType w:val="hybridMultilevel"/>
    <w:tmpl w:val="A6F8EE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7176F89"/>
    <w:multiLevelType w:val="hybridMultilevel"/>
    <w:tmpl w:val="6A7EE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9C303AF"/>
    <w:multiLevelType w:val="hybridMultilevel"/>
    <w:tmpl w:val="1A744EF6"/>
    <w:lvl w:ilvl="0" w:tplc="0416000D">
      <w:start w:val="1"/>
      <w:numFmt w:val="bullet"/>
      <w:lvlText w:val=""/>
      <w:lvlJc w:val="left"/>
      <w:pPr>
        <w:tabs>
          <w:tab w:val="num" w:pos="1772"/>
        </w:tabs>
        <w:ind w:left="1772" w:hanging="360"/>
      </w:pPr>
      <w:rPr>
        <w:rFonts w:ascii="Wingdings" w:hAnsi="Wingdings" w:hint="default"/>
      </w:rPr>
    </w:lvl>
    <w:lvl w:ilvl="1" w:tplc="04090005">
      <w:start w:val="1"/>
      <w:numFmt w:val="bullet"/>
      <w:lvlText w:val=""/>
      <w:lvlJc w:val="left"/>
      <w:pPr>
        <w:tabs>
          <w:tab w:val="num" w:pos="2492"/>
        </w:tabs>
        <w:ind w:left="2492" w:hanging="360"/>
      </w:pPr>
      <w:rPr>
        <w:rFonts w:ascii="Wingdings" w:hAnsi="Wingdings" w:hint="default"/>
      </w:rPr>
    </w:lvl>
    <w:lvl w:ilvl="2" w:tplc="04160005">
      <w:start w:val="1"/>
      <w:numFmt w:val="bullet"/>
      <w:lvlText w:val=""/>
      <w:lvlJc w:val="left"/>
      <w:pPr>
        <w:ind w:left="3212" w:hanging="360"/>
      </w:pPr>
      <w:rPr>
        <w:rFonts w:ascii="Wingdings" w:hAnsi="Wingdings" w:hint="default"/>
      </w:rPr>
    </w:lvl>
    <w:lvl w:ilvl="3" w:tplc="04160001" w:tentative="1">
      <w:start w:val="1"/>
      <w:numFmt w:val="bullet"/>
      <w:lvlText w:val=""/>
      <w:lvlJc w:val="left"/>
      <w:pPr>
        <w:ind w:left="3932" w:hanging="360"/>
      </w:pPr>
      <w:rPr>
        <w:rFonts w:ascii="Symbol" w:hAnsi="Symbol" w:hint="default"/>
      </w:rPr>
    </w:lvl>
    <w:lvl w:ilvl="4" w:tplc="04160003" w:tentative="1">
      <w:start w:val="1"/>
      <w:numFmt w:val="bullet"/>
      <w:lvlText w:val="o"/>
      <w:lvlJc w:val="left"/>
      <w:pPr>
        <w:ind w:left="4652" w:hanging="360"/>
      </w:pPr>
      <w:rPr>
        <w:rFonts w:ascii="Courier New" w:hAnsi="Courier New" w:cs="Courier New" w:hint="default"/>
      </w:rPr>
    </w:lvl>
    <w:lvl w:ilvl="5" w:tplc="04160005" w:tentative="1">
      <w:start w:val="1"/>
      <w:numFmt w:val="bullet"/>
      <w:lvlText w:val=""/>
      <w:lvlJc w:val="left"/>
      <w:pPr>
        <w:ind w:left="5372" w:hanging="360"/>
      </w:pPr>
      <w:rPr>
        <w:rFonts w:ascii="Wingdings" w:hAnsi="Wingdings" w:hint="default"/>
      </w:rPr>
    </w:lvl>
    <w:lvl w:ilvl="6" w:tplc="04160001" w:tentative="1">
      <w:start w:val="1"/>
      <w:numFmt w:val="bullet"/>
      <w:lvlText w:val=""/>
      <w:lvlJc w:val="left"/>
      <w:pPr>
        <w:ind w:left="6092" w:hanging="360"/>
      </w:pPr>
      <w:rPr>
        <w:rFonts w:ascii="Symbol" w:hAnsi="Symbol" w:hint="default"/>
      </w:rPr>
    </w:lvl>
    <w:lvl w:ilvl="7" w:tplc="04160003" w:tentative="1">
      <w:start w:val="1"/>
      <w:numFmt w:val="bullet"/>
      <w:lvlText w:val="o"/>
      <w:lvlJc w:val="left"/>
      <w:pPr>
        <w:ind w:left="6812" w:hanging="360"/>
      </w:pPr>
      <w:rPr>
        <w:rFonts w:ascii="Courier New" w:hAnsi="Courier New" w:cs="Courier New" w:hint="default"/>
      </w:rPr>
    </w:lvl>
    <w:lvl w:ilvl="8" w:tplc="04160005" w:tentative="1">
      <w:start w:val="1"/>
      <w:numFmt w:val="bullet"/>
      <w:lvlText w:val=""/>
      <w:lvlJc w:val="left"/>
      <w:pPr>
        <w:ind w:left="7532" w:hanging="360"/>
      </w:pPr>
      <w:rPr>
        <w:rFonts w:ascii="Wingdings" w:hAnsi="Wingdings" w:hint="default"/>
      </w:rPr>
    </w:lvl>
  </w:abstractNum>
  <w:abstractNum w:abstractNumId="32" w15:restartNumberingAfterBreak="0">
    <w:nsid w:val="7BAB1812"/>
    <w:multiLevelType w:val="hybridMultilevel"/>
    <w:tmpl w:val="DE5C2F56"/>
    <w:lvl w:ilvl="0" w:tplc="FFFFFFFF">
      <w:start w:val="1"/>
      <w:numFmt w:val="bullet"/>
      <w:pStyle w:val="bartfogalt3checkbox"/>
      <w:lvlText w:val=""/>
      <w:lvlJc w:val="left"/>
      <w:pPr>
        <w:tabs>
          <w:tab w:val="num" w:pos="360"/>
        </w:tabs>
        <w:ind w:left="360" w:hanging="360"/>
      </w:pPr>
      <w:rPr>
        <w:rFonts w:ascii="Wingdings" w:hAnsi="Wingdings" w:hint="default"/>
        <w:sz w:val="18"/>
      </w:rPr>
    </w:lvl>
    <w:lvl w:ilvl="1" w:tplc="FFFFFFFF">
      <w:start w:val="1"/>
      <w:numFmt w:val="bullet"/>
      <w:lvlText w:val=""/>
      <w:lvlJc w:val="left"/>
      <w:pPr>
        <w:tabs>
          <w:tab w:val="num" w:pos="1170"/>
        </w:tabs>
        <w:ind w:left="1170" w:hanging="360"/>
      </w:pPr>
      <w:rPr>
        <w:rFonts w:ascii="Symbol" w:hAnsi="Symbol" w:hint="default"/>
        <w:sz w:val="18"/>
      </w:rPr>
    </w:lvl>
    <w:lvl w:ilvl="2" w:tplc="FFFFFFFF">
      <w:start w:val="5"/>
      <w:numFmt w:val="bullet"/>
      <w:lvlText w:val="-"/>
      <w:lvlJc w:val="left"/>
      <w:pPr>
        <w:tabs>
          <w:tab w:val="num" w:pos="2160"/>
        </w:tabs>
        <w:ind w:left="2160" w:hanging="360"/>
      </w:pPr>
      <w:rPr>
        <w:rFonts w:ascii="Univers 45 Light" w:eastAsia="Times New Roman" w:hAnsi="Univers 45 Light"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0"/>
  </w:num>
  <w:num w:numId="2">
    <w:abstractNumId w:val="10"/>
  </w:num>
  <w:num w:numId="3">
    <w:abstractNumId w:val="16"/>
  </w:num>
  <w:num w:numId="4">
    <w:abstractNumId w:val="18"/>
  </w:num>
  <w:num w:numId="5">
    <w:abstractNumId w:val="18"/>
  </w:num>
  <w:num w:numId="6">
    <w:abstractNumId w:val="12"/>
  </w:num>
  <w:num w:numId="7">
    <w:abstractNumId w:val="15"/>
  </w:num>
  <w:num w:numId="8">
    <w:abstractNumId w:val="26"/>
  </w:num>
  <w:num w:numId="9">
    <w:abstractNumId w:val="9"/>
  </w:num>
  <w:num w:numId="10">
    <w:abstractNumId w:val="29"/>
  </w:num>
  <w:num w:numId="11">
    <w:abstractNumId w:val="0"/>
  </w:num>
  <w:num w:numId="12">
    <w:abstractNumId w:val="11"/>
  </w:num>
  <w:num w:numId="13">
    <w:abstractNumId w:val="28"/>
  </w:num>
  <w:num w:numId="14">
    <w:abstractNumId w:val="27"/>
  </w:num>
  <w:num w:numId="15">
    <w:abstractNumId w:val="7"/>
  </w:num>
  <w:num w:numId="16">
    <w:abstractNumId w:val="32"/>
  </w:num>
  <w:num w:numId="17">
    <w:abstractNumId w:val="25"/>
  </w:num>
  <w:num w:numId="18">
    <w:abstractNumId w:val="5"/>
  </w:num>
  <w:num w:numId="19">
    <w:abstractNumId w:val="17"/>
  </w:num>
  <w:num w:numId="20">
    <w:abstractNumId w:val="1"/>
  </w:num>
  <w:num w:numId="21">
    <w:abstractNumId w:val="22"/>
  </w:num>
  <w:num w:numId="22">
    <w:abstractNumId w:val="4"/>
  </w:num>
  <w:num w:numId="23">
    <w:abstractNumId w:val="2"/>
  </w:num>
  <w:num w:numId="24">
    <w:abstractNumId w:val="19"/>
  </w:num>
  <w:num w:numId="25">
    <w:abstractNumId w:val="14"/>
  </w:num>
  <w:num w:numId="26">
    <w:abstractNumId w:val="31"/>
  </w:num>
  <w:num w:numId="27">
    <w:abstractNumId w:val="8"/>
  </w:num>
  <w:num w:numId="28">
    <w:abstractNumId w:val="23"/>
  </w:num>
  <w:num w:numId="29">
    <w:abstractNumId w:val="21"/>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4"/>
  </w:num>
  <w:num w:numId="32">
    <w:abstractNumId w:val="3"/>
  </w:num>
  <w:num w:numId="33">
    <w:abstractNumId w:val="6"/>
  </w:num>
  <w:num w:numId="34">
    <w:abstractNumId w:val="13"/>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num>
  <w:num w:numId="37">
    <w:abstractNumId w:val="3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pt-BR" w:vendorID="1" w:dllVersion="513" w:checkStyle="0"/>
  <w:activeWritingStyle w:appName="MSWord" w:lang="pt-PT" w:vendorID="1" w:dllVersion="513" w:checkStyle="1"/>
  <w:defaultTabStop w:val="706"/>
  <w:hyphenationZone w:val="425"/>
  <w:drawingGridHorizontalSpacing w:val="110"/>
  <w:displayHorizontalDrawingGridEvery w:val="2"/>
  <w:characterSpacingControl w:val="doNotCompress"/>
  <w:hdrShapeDefaults>
    <o:shapedefaults v:ext="edit" spidmax="1433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B8F"/>
    <w:rsid w:val="0000064D"/>
    <w:rsid w:val="00000DB5"/>
    <w:rsid w:val="0000172F"/>
    <w:rsid w:val="000018F8"/>
    <w:rsid w:val="000027C2"/>
    <w:rsid w:val="00003154"/>
    <w:rsid w:val="0000687A"/>
    <w:rsid w:val="00007470"/>
    <w:rsid w:val="00007882"/>
    <w:rsid w:val="00010B4A"/>
    <w:rsid w:val="0001133A"/>
    <w:rsid w:val="000113A4"/>
    <w:rsid w:val="000119AD"/>
    <w:rsid w:val="00012593"/>
    <w:rsid w:val="00013888"/>
    <w:rsid w:val="00014882"/>
    <w:rsid w:val="00015488"/>
    <w:rsid w:val="00016E75"/>
    <w:rsid w:val="00017C3D"/>
    <w:rsid w:val="00020620"/>
    <w:rsid w:val="000206D2"/>
    <w:rsid w:val="00021913"/>
    <w:rsid w:val="00021CF6"/>
    <w:rsid w:val="000224AE"/>
    <w:rsid w:val="00023481"/>
    <w:rsid w:val="000235F9"/>
    <w:rsid w:val="00023EAB"/>
    <w:rsid w:val="000246B8"/>
    <w:rsid w:val="00024C7B"/>
    <w:rsid w:val="000305C7"/>
    <w:rsid w:val="00030C24"/>
    <w:rsid w:val="00030C37"/>
    <w:rsid w:val="0003202F"/>
    <w:rsid w:val="000329A6"/>
    <w:rsid w:val="000359D0"/>
    <w:rsid w:val="00036487"/>
    <w:rsid w:val="0003689D"/>
    <w:rsid w:val="00036C9D"/>
    <w:rsid w:val="000372BB"/>
    <w:rsid w:val="00037A63"/>
    <w:rsid w:val="00037F51"/>
    <w:rsid w:val="00040DD8"/>
    <w:rsid w:val="00043124"/>
    <w:rsid w:val="00043DA8"/>
    <w:rsid w:val="0004427F"/>
    <w:rsid w:val="00044E93"/>
    <w:rsid w:val="000458C5"/>
    <w:rsid w:val="00046728"/>
    <w:rsid w:val="00046AB6"/>
    <w:rsid w:val="000475C9"/>
    <w:rsid w:val="00047F2C"/>
    <w:rsid w:val="00050A43"/>
    <w:rsid w:val="0005141C"/>
    <w:rsid w:val="0005212C"/>
    <w:rsid w:val="00052308"/>
    <w:rsid w:val="00052929"/>
    <w:rsid w:val="00054CC5"/>
    <w:rsid w:val="00055282"/>
    <w:rsid w:val="0005575F"/>
    <w:rsid w:val="00056157"/>
    <w:rsid w:val="00057ED9"/>
    <w:rsid w:val="00060328"/>
    <w:rsid w:val="00060EEA"/>
    <w:rsid w:val="00060F54"/>
    <w:rsid w:val="00061B1D"/>
    <w:rsid w:val="00062A14"/>
    <w:rsid w:val="0006347F"/>
    <w:rsid w:val="000653C9"/>
    <w:rsid w:val="00065B6C"/>
    <w:rsid w:val="00065C22"/>
    <w:rsid w:val="00065FD1"/>
    <w:rsid w:val="00065FDA"/>
    <w:rsid w:val="00066477"/>
    <w:rsid w:val="0006748A"/>
    <w:rsid w:val="000722D9"/>
    <w:rsid w:val="000725F9"/>
    <w:rsid w:val="00072DE2"/>
    <w:rsid w:val="0007300D"/>
    <w:rsid w:val="00073908"/>
    <w:rsid w:val="00073BB6"/>
    <w:rsid w:val="000742C9"/>
    <w:rsid w:val="00076191"/>
    <w:rsid w:val="0007674A"/>
    <w:rsid w:val="00076872"/>
    <w:rsid w:val="00076F75"/>
    <w:rsid w:val="00077A8F"/>
    <w:rsid w:val="000807DF"/>
    <w:rsid w:val="00080A46"/>
    <w:rsid w:val="00080BDD"/>
    <w:rsid w:val="00081381"/>
    <w:rsid w:val="00082224"/>
    <w:rsid w:val="00082586"/>
    <w:rsid w:val="00082780"/>
    <w:rsid w:val="0008447C"/>
    <w:rsid w:val="00085CF5"/>
    <w:rsid w:val="0008747A"/>
    <w:rsid w:val="0008757F"/>
    <w:rsid w:val="00087854"/>
    <w:rsid w:val="0009030E"/>
    <w:rsid w:val="00090B5E"/>
    <w:rsid w:val="0009102C"/>
    <w:rsid w:val="000927D3"/>
    <w:rsid w:val="0009455F"/>
    <w:rsid w:val="00094A29"/>
    <w:rsid w:val="00095164"/>
    <w:rsid w:val="00095389"/>
    <w:rsid w:val="0009548F"/>
    <w:rsid w:val="00095742"/>
    <w:rsid w:val="0009597B"/>
    <w:rsid w:val="00095A9F"/>
    <w:rsid w:val="00095D1B"/>
    <w:rsid w:val="000A0458"/>
    <w:rsid w:val="000A1B8F"/>
    <w:rsid w:val="000A2A1F"/>
    <w:rsid w:val="000A3626"/>
    <w:rsid w:val="000A4165"/>
    <w:rsid w:val="000A548E"/>
    <w:rsid w:val="000A59A2"/>
    <w:rsid w:val="000A78D7"/>
    <w:rsid w:val="000B00FA"/>
    <w:rsid w:val="000B0891"/>
    <w:rsid w:val="000B0EDC"/>
    <w:rsid w:val="000B31CB"/>
    <w:rsid w:val="000B3C63"/>
    <w:rsid w:val="000B434F"/>
    <w:rsid w:val="000B4FB3"/>
    <w:rsid w:val="000B53E2"/>
    <w:rsid w:val="000B567D"/>
    <w:rsid w:val="000B5A55"/>
    <w:rsid w:val="000B5B2B"/>
    <w:rsid w:val="000B6210"/>
    <w:rsid w:val="000B65C4"/>
    <w:rsid w:val="000B6F07"/>
    <w:rsid w:val="000C0733"/>
    <w:rsid w:val="000C0D83"/>
    <w:rsid w:val="000C1028"/>
    <w:rsid w:val="000C13E4"/>
    <w:rsid w:val="000C1442"/>
    <w:rsid w:val="000C2275"/>
    <w:rsid w:val="000C2F25"/>
    <w:rsid w:val="000C4067"/>
    <w:rsid w:val="000C4B02"/>
    <w:rsid w:val="000C57F9"/>
    <w:rsid w:val="000C5A9D"/>
    <w:rsid w:val="000C5F3D"/>
    <w:rsid w:val="000C624C"/>
    <w:rsid w:val="000C6787"/>
    <w:rsid w:val="000C6FAD"/>
    <w:rsid w:val="000C7C11"/>
    <w:rsid w:val="000C7E16"/>
    <w:rsid w:val="000C7FAC"/>
    <w:rsid w:val="000D114E"/>
    <w:rsid w:val="000D2998"/>
    <w:rsid w:val="000D3460"/>
    <w:rsid w:val="000D3B04"/>
    <w:rsid w:val="000D490C"/>
    <w:rsid w:val="000D49AD"/>
    <w:rsid w:val="000D5F03"/>
    <w:rsid w:val="000D65DA"/>
    <w:rsid w:val="000D6F6A"/>
    <w:rsid w:val="000E00D4"/>
    <w:rsid w:val="000E0523"/>
    <w:rsid w:val="000E167D"/>
    <w:rsid w:val="000E1DCB"/>
    <w:rsid w:val="000E1F5C"/>
    <w:rsid w:val="000E30A8"/>
    <w:rsid w:val="000E3101"/>
    <w:rsid w:val="000E3866"/>
    <w:rsid w:val="000E5237"/>
    <w:rsid w:val="000E551C"/>
    <w:rsid w:val="000E63CB"/>
    <w:rsid w:val="000E68AB"/>
    <w:rsid w:val="000E6C42"/>
    <w:rsid w:val="000E7713"/>
    <w:rsid w:val="000E7E6A"/>
    <w:rsid w:val="000F190F"/>
    <w:rsid w:val="000F2921"/>
    <w:rsid w:val="000F3DA6"/>
    <w:rsid w:val="000F4778"/>
    <w:rsid w:val="000F5021"/>
    <w:rsid w:val="000F586B"/>
    <w:rsid w:val="000F5E5B"/>
    <w:rsid w:val="000F6DC8"/>
    <w:rsid w:val="000F78AF"/>
    <w:rsid w:val="000F78C1"/>
    <w:rsid w:val="000F7D19"/>
    <w:rsid w:val="000F7E09"/>
    <w:rsid w:val="001005C1"/>
    <w:rsid w:val="00100A08"/>
    <w:rsid w:val="001010D9"/>
    <w:rsid w:val="00102ABD"/>
    <w:rsid w:val="00104893"/>
    <w:rsid w:val="001056EA"/>
    <w:rsid w:val="001058A3"/>
    <w:rsid w:val="00106042"/>
    <w:rsid w:val="0010683E"/>
    <w:rsid w:val="00106B50"/>
    <w:rsid w:val="001070B3"/>
    <w:rsid w:val="00107790"/>
    <w:rsid w:val="001077BD"/>
    <w:rsid w:val="00110386"/>
    <w:rsid w:val="00110B68"/>
    <w:rsid w:val="001116D9"/>
    <w:rsid w:val="001116EC"/>
    <w:rsid w:val="001117E0"/>
    <w:rsid w:val="00111FB0"/>
    <w:rsid w:val="00112F53"/>
    <w:rsid w:val="0011338A"/>
    <w:rsid w:val="00115431"/>
    <w:rsid w:val="00115DAC"/>
    <w:rsid w:val="00116E63"/>
    <w:rsid w:val="001170B1"/>
    <w:rsid w:val="001175E7"/>
    <w:rsid w:val="00117AC3"/>
    <w:rsid w:val="00117DA0"/>
    <w:rsid w:val="001203F7"/>
    <w:rsid w:val="00121413"/>
    <w:rsid w:val="00121F26"/>
    <w:rsid w:val="001222DA"/>
    <w:rsid w:val="00122E4A"/>
    <w:rsid w:val="001230D3"/>
    <w:rsid w:val="00124312"/>
    <w:rsid w:val="00124862"/>
    <w:rsid w:val="00124907"/>
    <w:rsid w:val="00125DBF"/>
    <w:rsid w:val="00126D03"/>
    <w:rsid w:val="00127402"/>
    <w:rsid w:val="00127A1D"/>
    <w:rsid w:val="00130C5A"/>
    <w:rsid w:val="00132016"/>
    <w:rsid w:val="001324F0"/>
    <w:rsid w:val="0013308E"/>
    <w:rsid w:val="00133925"/>
    <w:rsid w:val="0013559F"/>
    <w:rsid w:val="00135DB0"/>
    <w:rsid w:val="0013659D"/>
    <w:rsid w:val="00136F6D"/>
    <w:rsid w:val="00137BC4"/>
    <w:rsid w:val="00137ECB"/>
    <w:rsid w:val="001410B4"/>
    <w:rsid w:val="0014163D"/>
    <w:rsid w:val="00141691"/>
    <w:rsid w:val="00141AAF"/>
    <w:rsid w:val="00143223"/>
    <w:rsid w:val="00143951"/>
    <w:rsid w:val="00144710"/>
    <w:rsid w:val="00144929"/>
    <w:rsid w:val="00144D65"/>
    <w:rsid w:val="00144F10"/>
    <w:rsid w:val="00145A76"/>
    <w:rsid w:val="00146348"/>
    <w:rsid w:val="00147060"/>
    <w:rsid w:val="001500A7"/>
    <w:rsid w:val="00150C97"/>
    <w:rsid w:val="00150CAE"/>
    <w:rsid w:val="00151441"/>
    <w:rsid w:val="001517D6"/>
    <w:rsid w:val="00152A2A"/>
    <w:rsid w:val="001531F0"/>
    <w:rsid w:val="00153F3F"/>
    <w:rsid w:val="001559C3"/>
    <w:rsid w:val="00155E8F"/>
    <w:rsid w:val="00156E20"/>
    <w:rsid w:val="00157606"/>
    <w:rsid w:val="001577AB"/>
    <w:rsid w:val="001606DF"/>
    <w:rsid w:val="001612A4"/>
    <w:rsid w:val="00161970"/>
    <w:rsid w:val="00161C6E"/>
    <w:rsid w:val="00163BE0"/>
    <w:rsid w:val="0016415D"/>
    <w:rsid w:val="00164D47"/>
    <w:rsid w:val="00165A96"/>
    <w:rsid w:val="001665A2"/>
    <w:rsid w:val="001708B1"/>
    <w:rsid w:val="00170E6F"/>
    <w:rsid w:val="00170E92"/>
    <w:rsid w:val="00172248"/>
    <w:rsid w:val="00172C11"/>
    <w:rsid w:val="001735BE"/>
    <w:rsid w:val="001744F1"/>
    <w:rsid w:val="00174FE3"/>
    <w:rsid w:val="001755DD"/>
    <w:rsid w:val="0017696E"/>
    <w:rsid w:val="00177B02"/>
    <w:rsid w:val="001813B3"/>
    <w:rsid w:val="0018374E"/>
    <w:rsid w:val="001842DE"/>
    <w:rsid w:val="001850C3"/>
    <w:rsid w:val="00185D0C"/>
    <w:rsid w:val="00185D15"/>
    <w:rsid w:val="001864AF"/>
    <w:rsid w:val="00187089"/>
    <w:rsid w:val="001915DE"/>
    <w:rsid w:val="0019174C"/>
    <w:rsid w:val="00191F0B"/>
    <w:rsid w:val="0019469C"/>
    <w:rsid w:val="00194801"/>
    <w:rsid w:val="00194D5C"/>
    <w:rsid w:val="00194F32"/>
    <w:rsid w:val="0019584F"/>
    <w:rsid w:val="00196055"/>
    <w:rsid w:val="001966A1"/>
    <w:rsid w:val="00196A55"/>
    <w:rsid w:val="001A0409"/>
    <w:rsid w:val="001A0496"/>
    <w:rsid w:val="001A1052"/>
    <w:rsid w:val="001A1559"/>
    <w:rsid w:val="001A338E"/>
    <w:rsid w:val="001A3A8E"/>
    <w:rsid w:val="001A40FB"/>
    <w:rsid w:val="001A4904"/>
    <w:rsid w:val="001A6812"/>
    <w:rsid w:val="001A6A4D"/>
    <w:rsid w:val="001A7695"/>
    <w:rsid w:val="001A7B8D"/>
    <w:rsid w:val="001A7B94"/>
    <w:rsid w:val="001B07F3"/>
    <w:rsid w:val="001B0A34"/>
    <w:rsid w:val="001B0AA7"/>
    <w:rsid w:val="001B0C10"/>
    <w:rsid w:val="001B0C79"/>
    <w:rsid w:val="001B2652"/>
    <w:rsid w:val="001B3163"/>
    <w:rsid w:val="001B401C"/>
    <w:rsid w:val="001B416D"/>
    <w:rsid w:val="001B54B3"/>
    <w:rsid w:val="001B65E2"/>
    <w:rsid w:val="001B6611"/>
    <w:rsid w:val="001B6E1A"/>
    <w:rsid w:val="001B77EC"/>
    <w:rsid w:val="001B7F20"/>
    <w:rsid w:val="001C0967"/>
    <w:rsid w:val="001C19E3"/>
    <w:rsid w:val="001C1C8A"/>
    <w:rsid w:val="001C1FE0"/>
    <w:rsid w:val="001C3BC1"/>
    <w:rsid w:val="001C4686"/>
    <w:rsid w:val="001C4932"/>
    <w:rsid w:val="001C580E"/>
    <w:rsid w:val="001C6D6D"/>
    <w:rsid w:val="001C7262"/>
    <w:rsid w:val="001D0D18"/>
    <w:rsid w:val="001D1A37"/>
    <w:rsid w:val="001D1CF2"/>
    <w:rsid w:val="001D2B2A"/>
    <w:rsid w:val="001D31C9"/>
    <w:rsid w:val="001D45D0"/>
    <w:rsid w:val="001D5292"/>
    <w:rsid w:val="001D5596"/>
    <w:rsid w:val="001D582E"/>
    <w:rsid w:val="001D5E17"/>
    <w:rsid w:val="001D651B"/>
    <w:rsid w:val="001D6690"/>
    <w:rsid w:val="001D69BA"/>
    <w:rsid w:val="001D6E59"/>
    <w:rsid w:val="001D71C0"/>
    <w:rsid w:val="001D74FA"/>
    <w:rsid w:val="001E21BE"/>
    <w:rsid w:val="001E243A"/>
    <w:rsid w:val="001E2663"/>
    <w:rsid w:val="001E287C"/>
    <w:rsid w:val="001E2979"/>
    <w:rsid w:val="001E2B67"/>
    <w:rsid w:val="001E39F8"/>
    <w:rsid w:val="001E3F84"/>
    <w:rsid w:val="001E4969"/>
    <w:rsid w:val="001E4C90"/>
    <w:rsid w:val="001E5ADA"/>
    <w:rsid w:val="001E5B59"/>
    <w:rsid w:val="001E6239"/>
    <w:rsid w:val="001E663D"/>
    <w:rsid w:val="001E79CE"/>
    <w:rsid w:val="001F002C"/>
    <w:rsid w:val="001F00E4"/>
    <w:rsid w:val="001F02A3"/>
    <w:rsid w:val="001F1E6D"/>
    <w:rsid w:val="001F20CB"/>
    <w:rsid w:val="001F253A"/>
    <w:rsid w:val="001F3A83"/>
    <w:rsid w:val="001F3B3E"/>
    <w:rsid w:val="001F4849"/>
    <w:rsid w:val="001F4DF6"/>
    <w:rsid w:val="001F5134"/>
    <w:rsid w:val="001F7E6D"/>
    <w:rsid w:val="00200863"/>
    <w:rsid w:val="00201146"/>
    <w:rsid w:val="00201196"/>
    <w:rsid w:val="0020126E"/>
    <w:rsid w:val="00201F14"/>
    <w:rsid w:val="0020323B"/>
    <w:rsid w:val="00205806"/>
    <w:rsid w:val="00205A4D"/>
    <w:rsid w:val="00206ADD"/>
    <w:rsid w:val="002103E2"/>
    <w:rsid w:val="00210F54"/>
    <w:rsid w:val="0021168D"/>
    <w:rsid w:val="00212C31"/>
    <w:rsid w:val="00213694"/>
    <w:rsid w:val="0021373C"/>
    <w:rsid w:val="00213981"/>
    <w:rsid w:val="002145E0"/>
    <w:rsid w:val="002165AE"/>
    <w:rsid w:val="00217873"/>
    <w:rsid w:val="00217DFE"/>
    <w:rsid w:val="00223021"/>
    <w:rsid w:val="00223486"/>
    <w:rsid w:val="0022412E"/>
    <w:rsid w:val="00224F15"/>
    <w:rsid w:val="00225885"/>
    <w:rsid w:val="002260F4"/>
    <w:rsid w:val="002261AA"/>
    <w:rsid w:val="00227C32"/>
    <w:rsid w:val="00227CAF"/>
    <w:rsid w:val="002314E1"/>
    <w:rsid w:val="00231ADC"/>
    <w:rsid w:val="00231E41"/>
    <w:rsid w:val="00232004"/>
    <w:rsid w:val="00232C57"/>
    <w:rsid w:val="00233038"/>
    <w:rsid w:val="00233217"/>
    <w:rsid w:val="002332AF"/>
    <w:rsid w:val="00233B7C"/>
    <w:rsid w:val="00234F46"/>
    <w:rsid w:val="002354D1"/>
    <w:rsid w:val="00235858"/>
    <w:rsid w:val="00235973"/>
    <w:rsid w:val="00235AFC"/>
    <w:rsid w:val="00236499"/>
    <w:rsid w:val="0023676B"/>
    <w:rsid w:val="002367AC"/>
    <w:rsid w:val="00237264"/>
    <w:rsid w:val="0023778D"/>
    <w:rsid w:val="002377C4"/>
    <w:rsid w:val="0024091C"/>
    <w:rsid w:val="00241AFC"/>
    <w:rsid w:val="00241B90"/>
    <w:rsid w:val="00242759"/>
    <w:rsid w:val="00243C43"/>
    <w:rsid w:val="002441B7"/>
    <w:rsid w:val="00244A5B"/>
    <w:rsid w:val="00245C9B"/>
    <w:rsid w:val="00246EFC"/>
    <w:rsid w:val="00246F01"/>
    <w:rsid w:val="00247852"/>
    <w:rsid w:val="0024792F"/>
    <w:rsid w:val="00247B37"/>
    <w:rsid w:val="00247CB2"/>
    <w:rsid w:val="00247CE1"/>
    <w:rsid w:val="00252A95"/>
    <w:rsid w:val="00252F62"/>
    <w:rsid w:val="002538E2"/>
    <w:rsid w:val="002540D6"/>
    <w:rsid w:val="002541D0"/>
    <w:rsid w:val="002545A3"/>
    <w:rsid w:val="00254AA7"/>
    <w:rsid w:val="00254B9E"/>
    <w:rsid w:val="002559A7"/>
    <w:rsid w:val="00255B1F"/>
    <w:rsid w:val="00255DF3"/>
    <w:rsid w:val="00256B81"/>
    <w:rsid w:val="00256FE2"/>
    <w:rsid w:val="002578C0"/>
    <w:rsid w:val="00260987"/>
    <w:rsid w:val="00261055"/>
    <w:rsid w:val="002617C3"/>
    <w:rsid w:val="002631FE"/>
    <w:rsid w:val="002643F1"/>
    <w:rsid w:val="00264972"/>
    <w:rsid w:val="00265019"/>
    <w:rsid w:val="002652AA"/>
    <w:rsid w:val="00265364"/>
    <w:rsid w:val="00266984"/>
    <w:rsid w:val="00266DFD"/>
    <w:rsid w:val="00266EC7"/>
    <w:rsid w:val="002670BA"/>
    <w:rsid w:val="00267226"/>
    <w:rsid w:val="002674E9"/>
    <w:rsid w:val="0026754E"/>
    <w:rsid w:val="00267CCF"/>
    <w:rsid w:val="0027197D"/>
    <w:rsid w:val="00271C28"/>
    <w:rsid w:val="00273FEB"/>
    <w:rsid w:val="0027472C"/>
    <w:rsid w:val="00275D36"/>
    <w:rsid w:val="00276105"/>
    <w:rsid w:val="002764BE"/>
    <w:rsid w:val="00276D66"/>
    <w:rsid w:val="00276F5F"/>
    <w:rsid w:val="0027715B"/>
    <w:rsid w:val="0028055D"/>
    <w:rsid w:val="002808C9"/>
    <w:rsid w:val="00280D52"/>
    <w:rsid w:val="00281036"/>
    <w:rsid w:val="00281131"/>
    <w:rsid w:val="00281CAB"/>
    <w:rsid w:val="00282677"/>
    <w:rsid w:val="0028287A"/>
    <w:rsid w:val="00282D19"/>
    <w:rsid w:val="00284C44"/>
    <w:rsid w:val="0028568C"/>
    <w:rsid w:val="00286062"/>
    <w:rsid w:val="00286937"/>
    <w:rsid w:val="00286ADD"/>
    <w:rsid w:val="002870C2"/>
    <w:rsid w:val="002872FF"/>
    <w:rsid w:val="00290858"/>
    <w:rsid w:val="00290EFD"/>
    <w:rsid w:val="00290F16"/>
    <w:rsid w:val="00291EDC"/>
    <w:rsid w:val="00292D7E"/>
    <w:rsid w:val="00292FCA"/>
    <w:rsid w:val="00292FDA"/>
    <w:rsid w:val="00293001"/>
    <w:rsid w:val="00293322"/>
    <w:rsid w:val="00293F95"/>
    <w:rsid w:val="00295296"/>
    <w:rsid w:val="00296B4D"/>
    <w:rsid w:val="0029761F"/>
    <w:rsid w:val="00297649"/>
    <w:rsid w:val="002A0066"/>
    <w:rsid w:val="002A125E"/>
    <w:rsid w:val="002A1D83"/>
    <w:rsid w:val="002A3895"/>
    <w:rsid w:val="002A5C3A"/>
    <w:rsid w:val="002B0F98"/>
    <w:rsid w:val="002B0FA1"/>
    <w:rsid w:val="002B1821"/>
    <w:rsid w:val="002B19F3"/>
    <w:rsid w:val="002B1A2F"/>
    <w:rsid w:val="002B1E09"/>
    <w:rsid w:val="002B2787"/>
    <w:rsid w:val="002B3CC5"/>
    <w:rsid w:val="002B3ED0"/>
    <w:rsid w:val="002B4001"/>
    <w:rsid w:val="002B428D"/>
    <w:rsid w:val="002B4B64"/>
    <w:rsid w:val="002B6AD3"/>
    <w:rsid w:val="002C22F4"/>
    <w:rsid w:val="002C252A"/>
    <w:rsid w:val="002C27E0"/>
    <w:rsid w:val="002C2F0D"/>
    <w:rsid w:val="002C2F5E"/>
    <w:rsid w:val="002C3862"/>
    <w:rsid w:val="002C51AA"/>
    <w:rsid w:val="002C5765"/>
    <w:rsid w:val="002C57A7"/>
    <w:rsid w:val="002C5C68"/>
    <w:rsid w:val="002C68BD"/>
    <w:rsid w:val="002C6C99"/>
    <w:rsid w:val="002C6FAB"/>
    <w:rsid w:val="002C79FF"/>
    <w:rsid w:val="002C7D07"/>
    <w:rsid w:val="002D1D4A"/>
    <w:rsid w:val="002D2F32"/>
    <w:rsid w:val="002D3773"/>
    <w:rsid w:val="002D3F96"/>
    <w:rsid w:val="002D4B2D"/>
    <w:rsid w:val="002D4EAC"/>
    <w:rsid w:val="002D5DB9"/>
    <w:rsid w:val="002D5DBB"/>
    <w:rsid w:val="002D5F71"/>
    <w:rsid w:val="002D689C"/>
    <w:rsid w:val="002E0922"/>
    <w:rsid w:val="002E30E2"/>
    <w:rsid w:val="002E31D5"/>
    <w:rsid w:val="002E3EF1"/>
    <w:rsid w:val="002E4398"/>
    <w:rsid w:val="002E446D"/>
    <w:rsid w:val="002E576E"/>
    <w:rsid w:val="002E5A28"/>
    <w:rsid w:val="002E5EC7"/>
    <w:rsid w:val="002E7194"/>
    <w:rsid w:val="002E793F"/>
    <w:rsid w:val="002E7D0C"/>
    <w:rsid w:val="002E7FED"/>
    <w:rsid w:val="002F0635"/>
    <w:rsid w:val="002F0EC1"/>
    <w:rsid w:val="002F3179"/>
    <w:rsid w:val="002F3C87"/>
    <w:rsid w:val="002F3FFA"/>
    <w:rsid w:val="002F46D5"/>
    <w:rsid w:val="002F5952"/>
    <w:rsid w:val="002F7A68"/>
    <w:rsid w:val="00301994"/>
    <w:rsid w:val="00301E34"/>
    <w:rsid w:val="003021FF"/>
    <w:rsid w:val="00303F3A"/>
    <w:rsid w:val="0030551B"/>
    <w:rsid w:val="00305B0B"/>
    <w:rsid w:val="0030600D"/>
    <w:rsid w:val="003061D8"/>
    <w:rsid w:val="00307575"/>
    <w:rsid w:val="00310291"/>
    <w:rsid w:val="00310911"/>
    <w:rsid w:val="00310C43"/>
    <w:rsid w:val="00310EBB"/>
    <w:rsid w:val="00310FD9"/>
    <w:rsid w:val="00311EC3"/>
    <w:rsid w:val="00311ED5"/>
    <w:rsid w:val="00312AC0"/>
    <w:rsid w:val="00313E31"/>
    <w:rsid w:val="00314A01"/>
    <w:rsid w:val="003156CA"/>
    <w:rsid w:val="003157A2"/>
    <w:rsid w:val="003158C8"/>
    <w:rsid w:val="003171F2"/>
    <w:rsid w:val="0031720A"/>
    <w:rsid w:val="003176DB"/>
    <w:rsid w:val="003178A7"/>
    <w:rsid w:val="003205E1"/>
    <w:rsid w:val="00320FCE"/>
    <w:rsid w:val="00322277"/>
    <w:rsid w:val="003247AC"/>
    <w:rsid w:val="003252AA"/>
    <w:rsid w:val="00325548"/>
    <w:rsid w:val="00325A43"/>
    <w:rsid w:val="003264A7"/>
    <w:rsid w:val="00326933"/>
    <w:rsid w:val="00326CC2"/>
    <w:rsid w:val="00326D0A"/>
    <w:rsid w:val="00327EF2"/>
    <w:rsid w:val="00330AC6"/>
    <w:rsid w:val="00331040"/>
    <w:rsid w:val="0033153B"/>
    <w:rsid w:val="00331E5C"/>
    <w:rsid w:val="0033331B"/>
    <w:rsid w:val="00334039"/>
    <w:rsid w:val="003340FB"/>
    <w:rsid w:val="00334609"/>
    <w:rsid w:val="0033477E"/>
    <w:rsid w:val="00334CA9"/>
    <w:rsid w:val="00334E20"/>
    <w:rsid w:val="00335023"/>
    <w:rsid w:val="0033538F"/>
    <w:rsid w:val="00336F95"/>
    <w:rsid w:val="003425AC"/>
    <w:rsid w:val="0034501F"/>
    <w:rsid w:val="00345463"/>
    <w:rsid w:val="003455A8"/>
    <w:rsid w:val="00345BBF"/>
    <w:rsid w:val="003460C1"/>
    <w:rsid w:val="0034679B"/>
    <w:rsid w:val="0034693B"/>
    <w:rsid w:val="00350385"/>
    <w:rsid w:val="00351942"/>
    <w:rsid w:val="00351B47"/>
    <w:rsid w:val="00351E1C"/>
    <w:rsid w:val="00352163"/>
    <w:rsid w:val="0035222A"/>
    <w:rsid w:val="003523A8"/>
    <w:rsid w:val="00353B35"/>
    <w:rsid w:val="00354681"/>
    <w:rsid w:val="00354BDB"/>
    <w:rsid w:val="0036087F"/>
    <w:rsid w:val="0036122B"/>
    <w:rsid w:val="00362F85"/>
    <w:rsid w:val="003639B2"/>
    <w:rsid w:val="00365288"/>
    <w:rsid w:val="003664DF"/>
    <w:rsid w:val="0036688E"/>
    <w:rsid w:val="00366B62"/>
    <w:rsid w:val="00366F28"/>
    <w:rsid w:val="0037005D"/>
    <w:rsid w:val="00370940"/>
    <w:rsid w:val="00370BB8"/>
    <w:rsid w:val="00371320"/>
    <w:rsid w:val="00371F70"/>
    <w:rsid w:val="00372B7F"/>
    <w:rsid w:val="00372CB7"/>
    <w:rsid w:val="0037368F"/>
    <w:rsid w:val="00373E6C"/>
    <w:rsid w:val="0037584E"/>
    <w:rsid w:val="00377215"/>
    <w:rsid w:val="00377868"/>
    <w:rsid w:val="00380691"/>
    <w:rsid w:val="00381736"/>
    <w:rsid w:val="0038236E"/>
    <w:rsid w:val="00383049"/>
    <w:rsid w:val="003835DC"/>
    <w:rsid w:val="00383CC6"/>
    <w:rsid w:val="00383D86"/>
    <w:rsid w:val="00386443"/>
    <w:rsid w:val="00386F1A"/>
    <w:rsid w:val="003904DD"/>
    <w:rsid w:val="00390772"/>
    <w:rsid w:val="003907A0"/>
    <w:rsid w:val="00390D87"/>
    <w:rsid w:val="00391611"/>
    <w:rsid w:val="00392523"/>
    <w:rsid w:val="00392B75"/>
    <w:rsid w:val="00393072"/>
    <w:rsid w:val="0039465D"/>
    <w:rsid w:val="0039533C"/>
    <w:rsid w:val="003954D0"/>
    <w:rsid w:val="00396AC9"/>
    <w:rsid w:val="00396C58"/>
    <w:rsid w:val="00396D00"/>
    <w:rsid w:val="00397FF8"/>
    <w:rsid w:val="003A12B7"/>
    <w:rsid w:val="003A17EB"/>
    <w:rsid w:val="003A1B4E"/>
    <w:rsid w:val="003A1C5D"/>
    <w:rsid w:val="003A29CC"/>
    <w:rsid w:val="003A35C6"/>
    <w:rsid w:val="003A3669"/>
    <w:rsid w:val="003A3ECA"/>
    <w:rsid w:val="003A4AA2"/>
    <w:rsid w:val="003A5115"/>
    <w:rsid w:val="003A5B1D"/>
    <w:rsid w:val="003A65B6"/>
    <w:rsid w:val="003B0608"/>
    <w:rsid w:val="003B15E9"/>
    <w:rsid w:val="003B174D"/>
    <w:rsid w:val="003B1EF6"/>
    <w:rsid w:val="003B2030"/>
    <w:rsid w:val="003B38CD"/>
    <w:rsid w:val="003B45F3"/>
    <w:rsid w:val="003B5481"/>
    <w:rsid w:val="003B5634"/>
    <w:rsid w:val="003B5BCC"/>
    <w:rsid w:val="003B5C96"/>
    <w:rsid w:val="003B5DB7"/>
    <w:rsid w:val="003B5E27"/>
    <w:rsid w:val="003B66A5"/>
    <w:rsid w:val="003B6772"/>
    <w:rsid w:val="003B6E65"/>
    <w:rsid w:val="003C1785"/>
    <w:rsid w:val="003C1BD2"/>
    <w:rsid w:val="003C1EF6"/>
    <w:rsid w:val="003C1F74"/>
    <w:rsid w:val="003C20A3"/>
    <w:rsid w:val="003C322D"/>
    <w:rsid w:val="003C3493"/>
    <w:rsid w:val="003C419F"/>
    <w:rsid w:val="003C542B"/>
    <w:rsid w:val="003C626E"/>
    <w:rsid w:val="003C7360"/>
    <w:rsid w:val="003C7749"/>
    <w:rsid w:val="003C7B91"/>
    <w:rsid w:val="003C7CAC"/>
    <w:rsid w:val="003D0400"/>
    <w:rsid w:val="003D0A6F"/>
    <w:rsid w:val="003D0FC9"/>
    <w:rsid w:val="003D1FA4"/>
    <w:rsid w:val="003D2976"/>
    <w:rsid w:val="003D3786"/>
    <w:rsid w:val="003D37C0"/>
    <w:rsid w:val="003D3E59"/>
    <w:rsid w:val="003D469A"/>
    <w:rsid w:val="003D52FF"/>
    <w:rsid w:val="003D76A6"/>
    <w:rsid w:val="003E0E5D"/>
    <w:rsid w:val="003E25E7"/>
    <w:rsid w:val="003E2AAC"/>
    <w:rsid w:val="003E336A"/>
    <w:rsid w:val="003E3644"/>
    <w:rsid w:val="003E3929"/>
    <w:rsid w:val="003E3AC8"/>
    <w:rsid w:val="003E44C4"/>
    <w:rsid w:val="003E45CB"/>
    <w:rsid w:val="003E4F75"/>
    <w:rsid w:val="003E635E"/>
    <w:rsid w:val="003E64B4"/>
    <w:rsid w:val="003E6C06"/>
    <w:rsid w:val="003E7222"/>
    <w:rsid w:val="003E723A"/>
    <w:rsid w:val="003F0545"/>
    <w:rsid w:val="003F0AED"/>
    <w:rsid w:val="003F0B50"/>
    <w:rsid w:val="003F1579"/>
    <w:rsid w:val="003F15D4"/>
    <w:rsid w:val="003F1826"/>
    <w:rsid w:val="003F18B6"/>
    <w:rsid w:val="003F21CB"/>
    <w:rsid w:val="003F24AB"/>
    <w:rsid w:val="003F3716"/>
    <w:rsid w:val="003F3A3F"/>
    <w:rsid w:val="003F4E9C"/>
    <w:rsid w:val="003F4FBA"/>
    <w:rsid w:val="003F5ADD"/>
    <w:rsid w:val="003F5BF4"/>
    <w:rsid w:val="003F68F0"/>
    <w:rsid w:val="003F729F"/>
    <w:rsid w:val="004002C3"/>
    <w:rsid w:val="0040147E"/>
    <w:rsid w:val="00401AE3"/>
    <w:rsid w:val="00402F8F"/>
    <w:rsid w:val="00403451"/>
    <w:rsid w:val="00403480"/>
    <w:rsid w:val="00403620"/>
    <w:rsid w:val="004037A1"/>
    <w:rsid w:val="00404278"/>
    <w:rsid w:val="0040484B"/>
    <w:rsid w:val="00405A5F"/>
    <w:rsid w:val="0041070D"/>
    <w:rsid w:val="00410933"/>
    <w:rsid w:val="004109A1"/>
    <w:rsid w:val="0041115F"/>
    <w:rsid w:val="00412A0E"/>
    <w:rsid w:val="00415A42"/>
    <w:rsid w:val="00415BBB"/>
    <w:rsid w:val="004162AB"/>
    <w:rsid w:val="004173BC"/>
    <w:rsid w:val="004200AD"/>
    <w:rsid w:val="00421054"/>
    <w:rsid w:val="00421257"/>
    <w:rsid w:val="00421693"/>
    <w:rsid w:val="00422343"/>
    <w:rsid w:val="00424509"/>
    <w:rsid w:val="00424A04"/>
    <w:rsid w:val="004257B2"/>
    <w:rsid w:val="00425A14"/>
    <w:rsid w:val="00425FD5"/>
    <w:rsid w:val="004269ED"/>
    <w:rsid w:val="00426AC4"/>
    <w:rsid w:val="00426B28"/>
    <w:rsid w:val="00432D27"/>
    <w:rsid w:val="00434103"/>
    <w:rsid w:val="00435CF6"/>
    <w:rsid w:val="004365B6"/>
    <w:rsid w:val="00437010"/>
    <w:rsid w:val="0043789A"/>
    <w:rsid w:val="00437BD8"/>
    <w:rsid w:val="00437CD3"/>
    <w:rsid w:val="00437F0C"/>
    <w:rsid w:val="004414B4"/>
    <w:rsid w:val="00442368"/>
    <w:rsid w:val="00442E72"/>
    <w:rsid w:val="00445A5E"/>
    <w:rsid w:val="00445E10"/>
    <w:rsid w:val="00446B47"/>
    <w:rsid w:val="004476DE"/>
    <w:rsid w:val="00447D82"/>
    <w:rsid w:val="00447DA5"/>
    <w:rsid w:val="00447F36"/>
    <w:rsid w:val="0045015F"/>
    <w:rsid w:val="00450224"/>
    <w:rsid w:val="00450B0E"/>
    <w:rsid w:val="00451416"/>
    <w:rsid w:val="0045142D"/>
    <w:rsid w:val="004514F1"/>
    <w:rsid w:val="0045252D"/>
    <w:rsid w:val="00453732"/>
    <w:rsid w:val="00454B49"/>
    <w:rsid w:val="00455329"/>
    <w:rsid w:val="004557CD"/>
    <w:rsid w:val="00456289"/>
    <w:rsid w:val="00456976"/>
    <w:rsid w:val="00460109"/>
    <w:rsid w:val="00460D2A"/>
    <w:rsid w:val="00461530"/>
    <w:rsid w:val="0046231F"/>
    <w:rsid w:val="00463A37"/>
    <w:rsid w:val="00463AB3"/>
    <w:rsid w:val="00464436"/>
    <w:rsid w:val="004658B3"/>
    <w:rsid w:val="00465A74"/>
    <w:rsid w:val="00465D5C"/>
    <w:rsid w:val="00465F34"/>
    <w:rsid w:val="00466B2E"/>
    <w:rsid w:val="00466E5B"/>
    <w:rsid w:val="00467EE2"/>
    <w:rsid w:val="00470B8E"/>
    <w:rsid w:val="00471672"/>
    <w:rsid w:val="00472308"/>
    <w:rsid w:val="00472C74"/>
    <w:rsid w:val="0047321E"/>
    <w:rsid w:val="00474052"/>
    <w:rsid w:val="00474A12"/>
    <w:rsid w:val="00474F92"/>
    <w:rsid w:val="00475380"/>
    <w:rsid w:val="004758AB"/>
    <w:rsid w:val="00475E50"/>
    <w:rsid w:val="00476D5B"/>
    <w:rsid w:val="004800D9"/>
    <w:rsid w:val="0048044F"/>
    <w:rsid w:val="00481967"/>
    <w:rsid w:val="00481BD3"/>
    <w:rsid w:val="00483A08"/>
    <w:rsid w:val="00484DA1"/>
    <w:rsid w:val="00486349"/>
    <w:rsid w:val="00487D13"/>
    <w:rsid w:val="00487FE7"/>
    <w:rsid w:val="00490F73"/>
    <w:rsid w:val="0049107D"/>
    <w:rsid w:val="00491B9E"/>
    <w:rsid w:val="0049233D"/>
    <w:rsid w:val="00492BD9"/>
    <w:rsid w:val="0049370F"/>
    <w:rsid w:val="00493FDD"/>
    <w:rsid w:val="00494666"/>
    <w:rsid w:val="00496159"/>
    <w:rsid w:val="00496A9F"/>
    <w:rsid w:val="00496B4D"/>
    <w:rsid w:val="004971B9"/>
    <w:rsid w:val="0049739D"/>
    <w:rsid w:val="004A0D0E"/>
    <w:rsid w:val="004A1F79"/>
    <w:rsid w:val="004A2079"/>
    <w:rsid w:val="004A3ED8"/>
    <w:rsid w:val="004A4197"/>
    <w:rsid w:val="004A4A1D"/>
    <w:rsid w:val="004A4AA1"/>
    <w:rsid w:val="004A5140"/>
    <w:rsid w:val="004A54AC"/>
    <w:rsid w:val="004A55B4"/>
    <w:rsid w:val="004B07E6"/>
    <w:rsid w:val="004B23C3"/>
    <w:rsid w:val="004B2F06"/>
    <w:rsid w:val="004B37A5"/>
    <w:rsid w:val="004B4C3C"/>
    <w:rsid w:val="004B4E3F"/>
    <w:rsid w:val="004B5058"/>
    <w:rsid w:val="004B50D0"/>
    <w:rsid w:val="004B594D"/>
    <w:rsid w:val="004B6425"/>
    <w:rsid w:val="004B6688"/>
    <w:rsid w:val="004B683F"/>
    <w:rsid w:val="004B7974"/>
    <w:rsid w:val="004C003C"/>
    <w:rsid w:val="004C02ED"/>
    <w:rsid w:val="004C0B64"/>
    <w:rsid w:val="004C15A2"/>
    <w:rsid w:val="004C1FFF"/>
    <w:rsid w:val="004C2314"/>
    <w:rsid w:val="004C3EC7"/>
    <w:rsid w:val="004C414F"/>
    <w:rsid w:val="004C44B4"/>
    <w:rsid w:val="004C4976"/>
    <w:rsid w:val="004C5844"/>
    <w:rsid w:val="004C6737"/>
    <w:rsid w:val="004C6DD5"/>
    <w:rsid w:val="004D098B"/>
    <w:rsid w:val="004D0B8D"/>
    <w:rsid w:val="004D1390"/>
    <w:rsid w:val="004D33E8"/>
    <w:rsid w:val="004D3C4F"/>
    <w:rsid w:val="004D4542"/>
    <w:rsid w:val="004D4A24"/>
    <w:rsid w:val="004D52A1"/>
    <w:rsid w:val="004D65B3"/>
    <w:rsid w:val="004D6690"/>
    <w:rsid w:val="004E0881"/>
    <w:rsid w:val="004E2031"/>
    <w:rsid w:val="004E250A"/>
    <w:rsid w:val="004E2DDF"/>
    <w:rsid w:val="004E3F04"/>
    <w:rsid w:val="004E40ED"/>
    <w:rsid w:val="004E4231"/>
    <w:rsid w:val="004E477E"/>
    <w:rsid w:val="004E538D"/>
    <w:rsid w:val="004E6F1C"/>
    <w:rsid w:val="004E773D"/>
    <w:rsid w:val="004F0C0A"/>
    <w:rsid w:val="004F1E97"/>
    <w:rsid w:val="004F219B"/>
    <w:rsid w:val="004F246A"/>
    <w:rsid w:val="004F3134"/>
    <w:rsid w:val="004F4087"/>
    <w:rsid w:val="004F4216"/>
    <w:rsid w:val="004F4B14"/>
    <w:rsid w:val="004F605A"/>
    <w:rsid w:val="004F64E4"/>
    <w:rsid w:val="004F6BA8"/>
    <w:rsid w:val="004F7126"/>
    <w:rsid w:val="00501032"/>
    <w:rsid w:val="0050123E"/>
    <w:rsid w:val="00501276"/>
    <w:rsid w:val="005014AB"/>
    <w:rsid w:val="0050205C"/>
    <w:rsid w:val="0050245A"/>
    <w:rsid w:val="0050257D"/>
    <w:rsid w:val="005032D9"/>
    <w:rsid w:val="00503956"/>
    <w:rsid w:val="005048CB"/>
    <w:rsid w:val="005059C0"/>
    <w:rsid w:val="0050783F"/>
    <w:rsid w:val="00511073"/>
    <w:rsid w:val="00511B28"/>
    <w:rsid w:val="005140C4"/>
    <w:rsid w:val="00514683"/>
    <w:rsid w:val="005152A9"/>
    <w:rsid w:val="005157A3"/>
    <w:rsid w:val="00516FC9"/>
    <w:rsid w:val="005173A9"/>
    <w:rsid w:val="00517AB0"/>
    <w:rsid w:val="00517C6E"/>
    <w:rsid w:val="00522244"/>
    <w:rsid w:val="00522C78"/>
    <w:rsid w:val="00523446"/>
    <w:rsid w:val="005239F6"/>
    <w:rsid w:val="005242CA"/>
    <w:rsid w:val="005249F7"/>
    <w:rsid w:val="00525252"/>
    <w:rsid w:val="0052572A"/>
    <w:rsid w:val="00525FB2"/>
    <w:rsid w:val="00527779"/>
    <w:rsid w:val="00527CB8"/>
    <w:rsid w:val="00530539"/>
    <w:rsid w:val="005313DA"/>
    <w:rsid w:val="005313FA"/>
    <w:rsid w:val="0053147E"/>
    <w:rsid w:val="005321ED"/>
    <w:rsid w:val="005322CF"/>
    <w:rsid w:val="0053320F"/>
    <w:rsid w:val="00533250"/>
    <w:rsid w:val="0053416D"/>
    <w:rsid w:val="0053534A"/>
    <w:rsid w:val="005368E7"/>
    <w:rsid w:val="00537094"/>
    <w:rsid w:val="00537103"/>
    <w:rsid w:val="0054085B"/>
    <w:rsid w:val="005415CF"/>
    <w:rsid w:val="00541AE6"/>
    <w:rsid w:val="00541CFF"/>
    <w:rsid w:val="00541E3E"/>
    <w:rsid w:val="00541EEA"/>
    <w:rsid w:val="00542456"/>
    <w:rsid w:val="00542C9C"/>
    <w:rsid w:val="00542E5E"/>
    <w:rsid w:val="00544A38"/>
    <w:rsid w:val="005456CE"/>
    <w:rsid w:val="00545761"/>
    <w:rsid w:val="005469F5"/>
    <w:rsid w:val="00547D4B"/>
    <w:rsid w:val="00550579"/>
    <w:rsid w:val="00550992"/>
    <w:rsid w:val="005515B4"/>
    <w:rsid w:val="00551BDD"/>
    <w:rsid w:val="00552909"/>
    <w:rsid w:val="005536F3"/>
    <w:rsid w:val="00553D75"/>
    <w:rsid w:val="0055473D"/>
    <w:rsid w:val="00554F2B"/>
    <w:rsid w:val="0055599E"/>
    <w:rsid w:val="005569CA"/>
    <w:rsid w:val="005572C8"/>
    <w:rsid w:val="0055760C"/>
    <w:rsid w:val="005576DE"/>
    <w:rsid w:val="00563EE2"/>
    <w:rsid w:val="005641A7"/>
    <w:rsid w:val="00565249"/>
    <w:rsid w:val="005654E1"/>
    <w:rsid w:val="0056605F"/>
    <w:rsid w:val="005674F8"/>
    <w:rsid w:val="005713A1"/>
    <w:rsid w:val="005718AF"/>
    <w:rsid w:val="00571ADC"/>
    <w:rsid w:val="00572789"/>
    <w:rsid w:val="00572F61"/>
    <w:rsid w:val="00572FF9"/>
    <w:rsid w:val="00575EA8"/>
    <w:rsid w:val="0057644D"/>
    <w:rsid w:val="00577A0F"/>
    <w:rsid w:val="00580020"/>
    <w:rsid w:val="005811A5"/>
    <w:rsid w:val="00582572"/>
    <w:rsid w:val="00582B75"/>
    <w:rsid w:val="005838C6"/>
    <w:rsid w:val="0058438F"/>
    <w:rsid w:val="00584A9D"/>
    <w:rsid w:val="005854B1"/>
    <w:rsid w:val="00585B18"/>
    <w:rsid w:val="00585C0C"/>
    <w:rsid w:val="005871B1"/>
    <w:rsid w:val="0059026A"/>
    <w:rsid w:val="005921F1"/>
    <w:rsid w:val="005923EC"/>
    <w:rsid w:val="00592F74"/>
    <w:rsid w:val="00593830"/>
    <w:rsid w:val="00593838"/>
    <w:rsid w:val="00593A29"/>
    <w:rsid w:val="00593C7F"/>
    <w:rsid w:val="005942C1"/>
    <w:rsid w:val="00594A7D"/>
    <w:rsid w:val="005953CC"/>
    <w:rsid w:val="00595EE1"/>
    <w:rsid w:val="00596383"/>
    <w:rsid w:val="00596581"/>
    <w:rsid w:val="0059684E"/>
    <w:rsid w:val="00597BB7"/>
    <w:rsid w:val="00597F1F"/>
    <w:rsid w:val="005A0D63"/>
    <w:rsid w:val="005A20AC"/>
    <w:rsid w:val="005A2203"/>
    <w:rsid w:val="005A2600"/>
    <w:rsid w:val="005A34A6"/>
    <w:rsid w:val="005A34B5"/>
    <w:rsid w:val="005A3718"/>
    <w:rsid w:val="005A48CC"/>
    <w:rsid w:val="005A4D08"/>
    <w:rsid w:val="005A5375"/>
    <w:rsid w:val="005A586E"/>
    <w:rsid w:val="005A6B33"/>
    <w:rsid w:val="005A6D9E"/>
    <w:rsid w:val="005A6DD2"/>
    <w:rsid w:val="005A72E5"/>
    <w:rsid w:val="005A7D4A"/>
    <w:rsid w:val="005B1444"/>
    <w:rsid w:val="005B1F09"/>
    <w:rsid w:val="005B3229"/>
    <w:rsid w:val="005B5638"/>
    <w:rsid w:val="005B58B7"/>
    <w:rsid w:val="005B5CB9"/>
    <w:rsid w:val="005B5E69"/>
    <w:rsid w:val="005C01FB"/>
    <w:rsid w:val="005C0968"/>
    <w:rsid w:val="005C1117"/>
    <w:rsid w:val="005C2C90"/>
    <w:rsid w:val="005C4937"/>
    <w:rsid w:val="005C49F8"/>
    <w:rsid w:val="005C616F"/>
    <w:rsid w:val="005D0279"/>
    <w:rsid w:val="005D2FF0"/>
    <w:rsid w:val="005D3BA8"/>
    <w:rsid w:val="005D4EE3"/>
    <w:rsid w:val="005D4F3F"/>
    <w:rsid w:val="005D5E9F"/>
    <w:rsid w:val="005D6F91"/>
    <w:rsid w:val="005D7365"/>
    <w:rsid w:val="005D7573"/>
    <w:rsid w:val="005D7BD7"/>
    <w:rsid w:val="005E108F"/>
    <w:rsid w:val="005E169B"/>
    <w:rsid w:val="005E29AB"/>
    <w:rsid w:val="005E32C0"/>
    <w:rsid w:val="005E3456"/>
    <w:rsid w:val="005E384A"/>
    <w:rsid w:val="005E3DC9"/>
    <w:rsid w:val="005E4B27"/>
    <w:rsid w:val="005E5487"/>
    <w:rsid w:val="005E560F"/>
    <w:rsid w:val="005E5C16"/>
    <w:rsid w:val="005E6713"/>
    <w:rsid w:val="005E69FD"/>
    <w:rsid w:val="005E7134"/>
    <w:rsid w:val="005E72F4"/>
    <w:rsid w:val="005E7596"/>
    <w:rsid w:val="005E7E7E"/>
    <w:rsid w:val="005F089B"/>
    <w:rsid w:val="005F0BAC"/>
    <w:rsid w:val="005F0E0B"/>
    <w:rsid w:val="005F0E73"/>
    <w:rsid w:val="005F1421"/>
    <w:rsid w:val="005F1480"/>
    <w:rsid w:val="005F2A66"/>
    <w:rsid w:val="005F2D19"/>
    <w:rsid w:val="005F2E4F"/>
    <w:rsid w:val="005F4B2E"/>
    <w:rsid w:val="005F4BDF"/>
    <w:rsid w:val="005F5511"/>
    <w:rsid w:val="005F6068"/>
    <w:rsid w:val="005F6203"/>
    <w:rsid w:val="005F6908"/>
    <w:rsid w:val="00600A6E"/>
    <w:rsid w:val="00600BA6"/>
    <w:rsid w:val="00601004"/>
    <w:rsid w:val="00601E3B"/>
    <w:rsid w:val="00601FB6"/>
    <w:rsid w:val="0060219E"/>
    <w:rsid w:val="00602DA1"/>
    <w:rsid w:val="00603753"/>
    <w:rsid w:val="006045CA"/>
    <w:rsid w:val="00605CB5"/>
    <w:rsid w:val="00605F99"/>
    <w:rsid w:val="0060677D"/>
    <w:rsid w:val="00607097"/>
    <w:rsid w:val="00607CE2"/>
    <w:rsid w:val="00607D45"/>
    <w:rsid w:val="00610218"/>
    <w:rsid w:val="00610333"/>
    <w:rsid w:val="00610D0E"/>
    <w:rsid w:val="006115F1"/>
    <w:rsid w:val="00611A02"/>
    <w:rsid w:val="0061452B"/>
    <w:rsid w:val="00614724"/>
    <w:rsid w:val="006156C4"/>
    <w:rsid w:val="00615B8E"/>
    <w:rsid w:val="00616396"/>
    <w:rsid w:val="00616A0F"/>
    <w:rsid w:val="006176F4"/>
    <w:rsid w:val="0062050C"/>
    <w:rsid w:val="00620594"/>
    <w:rsid w:val="00621185"/>
    <w:rsid w:val="00621779"/>
    <w:rsid w:val="006224FD"/>
    <w:rsid w:val="00622B33"/>
    <w:rsid w:val="006238E5"/>
    <w:rsid w:val="00625505"/>
    <w:rsid w:val="006256CC"/>
    <w:rsid w:val="00625C72"/>
    <w:rsid w:val="00626050"/>
    <w:rsid w:val="00626177"/>
    <w:rsid w:val="00626D9A"/>
    <w:rsid w:val="00627AF3"/>
    <w:rsid w:val="006316DC"/>
    <w:rsid w:val="00631E98"/>
    <w:rsid w:val="00632301"/>
    <w:rsid w:val="006325FC"/>
    <w:rsid w:val="00633082"/>
    <w:rsid w:val="00634036"/>
    <w:rsid w:val="00634233"/>
    <w:rsid w:val="0063430F"/>
    <w:rsid w:val="006348E2"/>
    <w:rsid w:val="00634962"/>
    <w:rsid w:val="00634D28"/>
    <w:rsid w:val="00635499"/>
    <w:rsid w:val="006354F4"/>
    <w:rsid w:val="00635A8D"/>
    <w:rsid w:val="00637852"/>
    <w:rsid w:val="00641B58"/>
    <w:rsid w:val="00641FD8"/>
    <w:rsid w:val="00642786"/>
    <w:rsid w:val="00642935"/>
    <w:rsid w:val="00642B46"/>
    <w:rsid w:val="00642B9B"/>
    <w:rsid w:val="00644A72"/>
    <w:rsid w:val="006451AD"/>
    <w:rsid w:val="00645F0A"/>
    <w:rsid w:val="006463DB"/>
    <w:rsid w:val="00646E42"/>
    <w:rsid w:val="00650195"/>
    <w:rsid w:val="00650957"/>
    <w:rsid w:val="00650C73"/>
    <w:rsid w:val="0065128A"/>
    <w:rsid w:val="00651F80"/>
    <w:rsid w:val="00652CEF"/>
    <w:rsid w:val="0065390A"/>
    <w:rsid w:val="00653A52"/>
    <w:rsid w:val="00655A0F"/>
    <w:rsid w:val="00656834"/>
    <w:rsid w:val="00656D39"/>
    <w:rsid w:val="00657F78"/>
    <w:rsid w:val="00661262"/>
    <w:rsid w:val="00661A54"/>
    <w:rsid w:val="00662900"/>
    <w:rsid w:val="00662CE5"/>
    <w:rsid w:val="00663B6E"/>
    <w:rsid w:val="0066461C"/>
    <w:rsid w:val="00664782"/>
    <w:rsid w:val="006650ED"/>
    <w:rsid w:val="006659AA"/>
    <w:rsid w:val="00665BD2"/>
    <w:rsid w:val="00666F3D"/>
    <w:rsid w:val="00666F64"/>
    <w:rsid w:val="0066713B"/>
    <w:rsid w:val="00667362"/>
    <w:rsid w:val="0066750C"/>
    <w:rsid w:val="00667CC5"/>
    <w:rsid w:val="00670012"/>
    <w:rsid w:val="006703A0"/>
    <w:rsid w:val="006719C9"/>
    <w:rsid w:val="00672152"/>
    <w:rsid w:val="0067336E"/>
    <w:rsid w:val="00673396"/>
    <w:rsid w:val="00673B43"/>
    <w:rsid w:val="00673BC0"/>
    <w:rsid w:val="00673F4C"/>
    <w:rsid w:val="00674347"/>
    <w:rsid w:val="00674547"/>
    <w:rsid w:val="00674B88"/>
    <w:rsid w:val="006751B7"/>
    <w:rsid w:val="00675279"/>
    <w:rsid w:val="0067589C"/>
    <w:rsid w:val="00675C04"/>
    <w:rsid w:val="006766B6"/>
    <w:rsid w:val="00677A6A"/>
    <w:rsid w:val="00680C27"/>
    <w:rsid w:val="00681F47"/>
    <w:rsid w:val="0068277B"/>
    <w:rsid w:val="00682D3F"/>
    <w:rsid w:val="00684145"/>
    <w:rsid w:val="0068425A"/>
    <w:rsid w:val="00684EB3"/>
    <w:rsid w:val="00685908"/>
    <w:rsid w:val="00685B64"/>
    <w:rsid w:val="00685E1B"/>
    <w:rsid w:val="00686F2E"/>
    <w:rsid w:val="00687351"/>
    <w:rsid w:val="00690B8B"/>
    <w:rsid w:val="00691267"/>
    <w:rsid w:val="006923AD"/>
    <w:rsid w:val="006924B8"/>
    <w:rsid w:val="00692701"/>
    <w:rsid w:val="00693890"/>
    <w:rsid w:val="0069473B"/>
    <w:rsid w:val="0069563D"/>
    <w:rsid w:val="006963B9"/>
    <w:rsid w:val="00696B30"/>
    <w:rsid w:val="00696B56"/>
    <w:rsid w:val="00696F04"/>
    <w:rsid w:val="00697C88"/>
    <w:rsid w:val="006A0E96"/>
    <w:rsid w:val="006A1DAF"/>
    <w:rsid w:val="006A3109"/>
    <w:rsid w:val="006A4CBF"/>
    <w:rsid w:val="006A565E"/>
    <w:rsid w:val="006A7D41"/>
    <w:rsid w:val="006B1C68"/>
    <w:rsid w:val="006B2DB6"/>
    <w:rsid w:val="006B3147"/>
    <w:rsid w:val="006B35BC"/>
    <w:rsid w:val="006B38F0"/>
    <w:rsid w:val="006B3AE4"/>
    <w:rsid w:val="006B3CFD"/>
    <w:rsid w:val="006B5A4E"/>
    <w:rsid w:val="006B5D43"/>
    <w:rsid w:val="006B61D3"/>
    <w:rsid w:val="006B637A"/>
    <w:rsid w:val="006B72A0"/>
    <w:rsid w:val="006B796D"/>
    <w:rsid w:val="006B7E2C"/>
    <w:rsid w:val="006C04FB"/>
    <w:rsid w:val="006C0F53"/>
    <w:rsid w:val="006C23D7"/>
    <w:rsid w:val="006C368F"/>
    <w:rsid w:val="006C384D"/>
    <w:rsid w:val="006C57E2"/>
    <w:rsid w:val="006C5A35"/>
    <w:rsid w:val="006C5D83"/>
    <w:rsid w:val="006C5F0A"/>
    <w:rsid w:val="006C6003"/>
    <w:rsid w:val="006C6930"/>
    <w:rsid w:val="006C6C6A"/>
    <w:rsid w:val="006C76CC"/>
    <w:rsid w:val="006D062A"/>
    <w:rsid w:val="006D131E"/>
    <w:rsid w:val="006D139A"/>
    <w:rsid w:val="006D160E"/>
    <w:rsid w:val="006D16C1"/>
    <w:rsid w:val="006D1A90"/>
    <w:rsid w:val="006D22FB"/>
    <w:rsid w:val="006D2AAD"/>
    <w:rsid w:val="006D3DFB"/>
    <w:rsid w:val="006D5131"/>
    <w:rsid w:val="006D583A"/>
    <w:rsid w:val="006D5C78"/>
    <w:rsid w:val="006D63C8"/>
    <w:rsid w:val="006D6FA5"/>
    <w:rsid w:val="006D74BB"/>
    <w:rsid w:val="006D7DF6"/>
    <w:rsid w:val="006E06B5"/>
    <w:rsid w:val="006E12C1"/>
    <w:rsid w:val="006E20A2"/>
    <w:rsid w:val="006E2A80"/>
    <w:rsid w:val="006E367E"/>
    <w:rsid w:val="006E58A5"/>
    <w:rsid w:val="006E7258"/>
    <w:rsid w:val="006F02F7"/>
    <w:rsid w:val="006F18B8"/>
    <w:rsid w:val="006F1CEB"/>
    <w:rsid w:val="006F1D53"/>
    <w:rsid w:val="006F294A"/>
    <w:rsid w:val="006F31CF"/>
    <w:rsid w:val="006F4B0E"/>
    <w:rsid w:val="006F4E08"/>
    <w:rsid w:val="006F5DBC"/>
    <w:rsid w:val="006F6DF4"/>
    <w:rsid w:val="007002F6"/>
    <w:rsid w:val="007011C9"/>
    <w:rsid w:val="007017DC"/>
    <w:rsid w:val="007021BE"/>
    <w:rsid w:val="007029FD"/>
    <w:rsid w:val="00703071"/>
    <w:rsid w:val="007035B0"/>
    <w:rsid w:val="00703901"/>
    <w:rsid w:val="00704415"/>
    <w:rsid w:val="00704CE6"/>
    <w:rsid w:val="007059C7"/>
    <w:rsid w:val="00705C34"/>
    <w:rsid w:val="00705D0A"/>
    <w:rsid w:val="007060AC"/>
    <w:rsid w:val="007071E3"/>
    <w:rsid w:val="00707CE1"/>
    <w:rsid w:val="007107F7"/>
    <w:rsid w:val="00710C04"/>
    <w:rsid w:val="00710DBF"/>
    <w:rsid w:val="00711258"/>
    <w:rsid w:val="00711624"/>
    <w:rsid w:val="00712A73"/>
    <w:rsid w:val="00714461"/>
    <w:rsid w:val="00714653"/>
    <w:rsid w:val="00714708"/>
    <w:rsid w:val="00714FFB"/>
    <w:rsid w:val="0071581A"/>
    <w:rsid w:val="00716CEA"/>
    <w:rsid w:val="00717BAD"/>
    <w:rsid w:val="00717F43"/>
    <w:rsid w:val="00720A4B"/>
    <w:rsid w:val="00721755"/>
    <w:rsid w:val="00721AC0"/>
    <w:rsid w:val="00722C55"/>
    <w:rsid w:val="00722F9D"/>
    <w:rsid w:val="0072314D"/>
    <w:rsid w:val="00723464"/>
    <w:rsid w:val="00723A97"/>
    <w:rsid w:val="007241FF"/>
    <w:rsid w:val="0072564B"/>
    <w:rsid w:val="00725665"/>
    <w:rsid w:val="00725A0F"/>
    <w:rsid w:val="007265B5"/>
    <w:rsid w:val="007306CE"/>
    <w:rsid w:val="00730AD8"/>
    <w:rsid w:val="00731215"/>
    <w:rsid w:val="007319CF"/>
    <w:rsid w:val="00731F38"/>
    <w:rsid w:val="007328DC"/>
    <w:rsid w:val="00732EB4"/>
    <w:rsid w:val="00733405"/>
    <w:rsid w:val="00733D18"/>
    <w:rsid w:val="007344BA"/>
    <w:rsid w:val="00735667"/>
    <w:rsid w:val="00735F55"/>
    <w:rsid w:val="007366FF"/>
    <w:rsid w:val="00737686"/>
    <w:rsid w:val="00737A4F"/>
    <w:rsid w:val="007401FF"/>
    <w:rsid w:val="007402F5"/>
    <w:rsid w:val="0074061A"/>
    <w:rsid w:val="00740A36"/>
    <w:rsid w:val="00741E2A"/>
    <w:rsid w:val="00742C47"/>
    <w:rsid w:val="00743146"/>
    <w:rsid w:val="007434AE"/>
    <w:rsid w:val="00744325"/>
    <w:rsid w:val="007449D3"/>
    <w:rsid w:val="007469F3"/>
    <w:rsid w:val="00746CD9"/>
    <w:rsid w:val="00747508"/>
    <w:rsid w:val="00750234"/>
    <w:rsid w:val="00750F83"/>
    <w:rsid w:val="00751C35"/>
    <w:rsid w:val="00751E0D"/>
    <w:rsid w:val="00752220"/>
    <w:rsid w:val="0075414F"/>
    <w:rsid w:val="00755391"/>
    <w:rsid w:val="007564CC"/>
    <w:rsid w:val="00756D08"/>
    <w:rsid w:val="007573E6"/>
    <w:rsid w:val="007575F8"/>
    <w:rsid w:val="007603EB"/>
    <w:rsid w:val="00761439"/>
    <w:rsid w:val="00761BA9"/>
    <w:rsid w:val="00761FC8"/>
    <w:rsid w:val="007628DB"/>
    <w:rsid w:val="00762910"/>
    <w:rsid w:val="00762928"/>
    <w:rsid w:val="00763237"/>
    <w:rsid w:val="00763981"/>
    <w:rsid w:val="007639DF"/>
    <w:rsid w:val="00763A36"/>
    <w:rsid w:val="00763CB0"/>
    <w:rsid w:val="00764FBE"/>
    <w:rsid w:val="00764FCC"/>
    <w:rsid w:val="00767234"/>
    <w:rsid w:val="00767F95"/>
    <w:rsid w:val="00770768"/>
    <w:rsid w:val="00771641"/>
    <w:rsid w:val="007716D4"/>
    <w:rsid w:val="0077170A"/>
    <w:rsid w:val="00771DBB"/>
    <w:rsid w:val="007726FD"/>
    <w:rsid w:val="00772A26"/>
    <w:rsid w:val="00772C50"/>
    <w:rsid w:val="00772EB8"/>
    <w:rsid w:val="00773360"/>
    <w:rsid w:val="00773F5F"/>
    <w:rsid w:val="00774390"/>
    <w:rsid w:val="00774458"/>
    <w:rsid w:val="007749CA"/>
    <w:rsid w:val="00776B90"/>
    <w:rsid w:val="00777385"/>
    <w:rsid w:val="00777D87"/>
    <w:rsid w:val="007823D4"/>
    <w:rsid w:val="0078308B"/>
    <w:rsid w:val="007836B3"/>
    <w:rsid w:val="0078379A"/>
    <w:rsid w:val="00783F73"/>
    <w:rsid w:val="007842F1"/>
    <w:rsid w:val="00785028"/>
    <w:rsid w:val="00786FBA"/>
    <w:rsid w:val="0078753B"/>
    <w:rsid w:val="0079006D"/>
    <w:rsid w:val="00790931"/>
    <w:rsid w:val="00791641"/>
    <w:rsid w:val="007919D4"/>
    <w:rsid w:val="007929D1"/>
    <w:rsid w:val="00794C78"/>
    <w:rsid w:val="00794E20"/>
    <w:rsid w:val="007952E6"/>
    <w:rsid w:val="0079532E"/>
    <w:rsid w:val="00795457"/>
    <w:rsid w:val="00796D91"/>
    <w:rsid w:val="007A0590"/>
    <w:rsid w:val="007A05C0"/>
    <w:rsid w:val="007A07A9"/>
    <w:rsid w:val="007A10A1"/>
    <w:rsid w:val="007A2804"/>
    <w:rsid w:val="007A4EC6"/>
    <w:rsid w:val="007A5904"/>
    <w:rsid w:val="007A5C80"/>
    <w:rsid w:val="007A72AB"/>
    <w:rsid w:val="007B0577"/>
    <w:rsid w:val="007B0F66"/>
    <w:rsid w:val="007B1827"/>
    <w:rsid w:val="007B3781"/>
    <w:rsid w:val="007B3A23"/>
    <w:rsid w:val="007B4BEB"/>
    <w:rsid w:val="007B691C"/>
    <w:rsid w:val="007B742F"/>
    <w:rsid w:val="007B7AB9"/>
    <w:rsid w:val="007C028D"/>
    <w:rsid w:val="007C0F9B"/>
    <w:rsid w:val="007C0FC1"/>
    <w:rsid w:val="007C1084"/>
    <w:rsid w:val="007C156E"/>
    <w:rsid w:val="007C1AB4"/>
    <w:rsid w:val="007C1F64"/>
    <w:rsid w:val="007C1FC3"/>
    <w:rsid w:val="007C26F9"/>
    <w:rsid w:val="007C27E4"/>
    <w:rsid w:val="007C2EE8"/>
    <w:rsid w:val="007C2EF0"/>
    <w:rsid w:val="007C3785"/>
    <w:rsid w:val="007C38DE"/>
    <w:rsid w:val="007C3A80"/>
    <w:rsid w:val="007C4661"/>
    <w:rsid w:val="007C4B3E"/>
    <w:rsid w:val="007C531A"/>
    <w:rsid w:val="007C55E9"/>
    <w:rsid w:val="007C60AB"/>
    <w:rsid w:val="007C70EE"/>
    <w:rsid w:val="007C7628"/>
    <w:rsid w:val="007D1467"/>
    <w:rsid w:val="007D229B"/>
    <w:rsid w:val="007D28C9"/>
    <w:rsid w:val="007D2978"/>
    <w:rsid w:val="007D2A2B"/>
    <w:rsid w:val="007D6BBE"/>
    <w:rsid w:val="007E0169"/>
    <w:rsid w:val="007E022C"/>
    <w:rsid w:val="007E16BE"/>
    <w:rsid w:val="007E2716"/>
    <w:rsid w:val="007E2ABF"/>
    <w:rsid w:val="007E2DEC"/>
    <w:rsid w:val="007E2EE0"/>
    <w:rsid w:val="007E30E9"/>
    <w:rsid w:val="007E34CF"/>
    <w:rsid w:val="007E36E1"/>
    <w:rsid w:val="007E3BE3"/>
    <w:rsid w:val="007E3D5F"/>
    <w:rsid w:val="007E3DE0"/>
    <w:rsid w:val="007E66BB"/>
    <w:rsid w:val="007E6BE0"/>
    <w:rsid w:val="007F058E"/>
    <w:rsid w:val="007F1565"/>
    <w:rsid w:val="007F268F"/>
    <w:rsid w:val="007F26AB"/>
    <w:rsid w:val="007F3582"/>
    <w:rsid w:val="007F383C"/>
    <w:rsid w:val="007F3A96"/>
    <w:rsid w:val="007F4007"/>
    <w:rsid w:val="007F45B7"/>
    <w:rsid w:val="007F48C4"/>
    <w:rsid w:val="007F5440"/>
    <w:rsid w:val="007F7381"/>
    <w:rsid w:val="007F740E"/>
    <w:rsid w:val="007F7D88"/>
    <w:rsid w:val="00800996"/>
    <w:rsid w:val="00801850"/>
    <w:rsid w:val="00801CBE"/>
    <w:rsid w:val="00801EF6"/>
    <w:rsid w:val="008034B5"/>
    <w:rsid w:val="00803513"/>
    <w:rsid w:val="00803C5F"/>
    <w:rsid w:val="0080432E"/>
    <w:rsid w:val="00804634"/>
    <w:rsid w:val="00804A05"/>
    <w:rsid w:val="00805927"/>
    <w:rsid w:val="00806AB1"/>
    <w:rsid w:val="00806E39"/>
    <w:rsid w:val="0080785E"/>
    <w:rsid w:val="00807A17"/>
    <w:rsid w:val="0081012D"/>
    <w:rsid w:val="008102C0"/>
    <w:rsid w:val="008105FD"/>
    <w:rsid w:val="00811C7D"/>
    <w:rsid w:val="00812112"/>
    <w:rsid w:val="00812AFF"/>
    <w:rsid w:val="00812B0F"/>
    <w:rsid w:val="00812D0D"/>
    <w:rsid w:val="008131A6"/>
    <w:rsid w:val="00813DF4"/>
    <w:rsid w:val="00813F3C"/>
    <w:rsid w:val="00814C17"/>
    <w:rsid w:val="00815807"/>
    <w:rsid w:val="008203E0"/>
    <w:rsid w:val="0082077B"/>
    <w:rsid w:val="008213A1"/>
    <w:rsid w:val="00821F4C"/>
    <w:rsid w:val="0082256A"/>
    <w:rsid w:val="00822A8F"/>
    <w:rsid w:val="0082303F"/>
    <w:rsid w:val="008231FF"/>
    <w:rsid w:val="00823928"/>
    <w:rsid w:val="00823ED9"/>
    <w:rsid w:val="0082480F"/>
    <w:rsid w:val="00824C00"/>
    <w:rsid w:val="00825262"/>
    <w:rsid w:val="00825433"/>
    <w:rsid w:val="00825771"/>
    <w:rsid w:val="00827B53"/>
    <w:rsid w:val="00827C8F"/>
    <w:rsid w:val="00827E13"/>
    <w:rsid w:val="008300D5"/>
    <w:rsid w:val="008314DB"/>
    <w:rsid w:val="00831888"/>
    <w:rsid w:val="00831D48"/>
    <w:rsid w:val="00832200"/>
    <w:rsid w:val="00832A69"/>
    <w:rsid w:val="00833DDE"/>
    <w:rsid w:val="00834DE9"/>
    <w:rsid w:val="0083528F"/>
    <w:rsid w:val="0083546C"/>
    <w:rsid w:val="00835F0B"/>
    <w:rsid w:val="008373B1"/>
    <w:rsid w:val="00837A48"/>
    <w:rsid w:val="00837F78"/>
    <w:rsid w:val="00840BE9"/>
    <w:rsid w:val="008416EF"/>
    <w:rsid w:val="00842051"/>
    <w:rsid w:val="00843B49"/>
    <w:rsid w:val="00843C7B"/>
    <w:rsid w:val="00846940"/>
    <w:rsid w:val="00846C18"/>
    <w:rsid w:val="0084761E"/>
    <w:rsid w:val="0084781F"/>
    <w:rsid w:val="0085006A"/>
    <w:rsid w:val="008503BC"/>
    <w:rsid w:val="00850504"/>
    <w:rsid w:val="0085057B"/>
    <w:rsid w:val="00850E36"/>
    <w:rsid w:val="00850FEB"/>
    <w:rsid w:val="00851C50"/>
    <w:rsid w:val="00852397"/>
    <w:rsid w:val="008534F4"/>
    <w:rsid w:val="00853A0A"/>
    <w:rsid w:val="00853CF8"/>
    <w:rsid w:val="00854B8A"/>
    <w:rsid w:val="00855151"/>
    <w:rsid w:val="0085528A"/>
    <w:rsid w:val="00855597"/>
    <w:rsid w:val="00855D18"/>
    <w:rsid w:val="0085645E"/>
    <w:rsid w:val="0085655D"/>
    <w:rsid w:val="0085683D"/>
    <w:rsid w:val="00856DB0"/>
    <w:rsid w:val="00857D62"/>
    <w:rsid w:val="00857FC5"/>
    <w:rsid w:val="008602F9"/>
    <w:rsid w:val="00860491"/>
    <w:rsid w:val="00861918"/>
    <w:rsid w:val="0086235A"/>
    <w:rsid w:val="00863229"/>
    <w:rsid w:val="00863A32"/>
    <w:rsid w:val="0086514B"/>
    <w:rsid w:val="00865E98"/>
    <w:rsid w:val="00865F99"/>
    <w:rsid w:val="00866B1A"/>
    <w:rsid w:val="00866CF7"/>
    <w:rsid w:val="00867B52"/>
    <w:rsid w:val="00871913"/>
    <w:rsid w:val="008733D2"/>
    <w:rsid w:val="00873497"/>
    <w:rsid w:val="008738F8"/>
    <w:rsid w:val="00874EEA"/>
    <w:rsid w:val="008755CE"/>
    <w:rsid w:val="00875B36"/>
    <w:rsid w:val="00875BD9"/>
    <w:rsid w:val="008763E6"/>
    <w:rsid w:val="008766E9"/>
    <w:rsid w:val="008779FC"/>
    <w:rsid w:val="008802EA"/>
    <w:rsid w:val="00880A89"/>
    <w:rsid w:val="0088148B"/>
    <w:rsid w:val="00881CEF"/>
    <w:rsid w:val="008822B1"/>
    <w:rsid w:val="00882855"/>
    <w:rsid w:val="00882886"/>
    <w:rsid w:val="00882BA2"/>
    <w:rsid w:val="00884445"/>
    <w:rsid w:val="0088447F"/>
    <w:rsid w:val="00884E21"/>
    <w:rsid w:val="00884EF0"/>
    <w:rsid w:val="008855FD"/>
    <w:rsid w:val="00886710"/>
    <w:rsid w:val="00886F63"/>
    <w:rsid w:val="00886FD7"/>
    <w:rsid w:val="00887678"/>
    <w:rsid w:val="00887E7A"/>
    <w:rsid w:val="008914EB"/>
    <w:rsid w:val="008917FE"/>
    <w:rsid w:val="00891EAC"/>
    <w:rsid w:val="008935C2"/>
    <w:rsid w:val="00894DE3"/>
    <w:rsid w:val="00894F89"/>
    <w:rsid w:val="008950C7"/>
    <w:rsid w:val="00896714"/>
    <w:rsid w:val="00896DDE"/>
    <w:rsid w:val="00897470"/>
    <w:rsid w:val="008979AC"/>
    <w:rsid w:val="00897A6C"/>
    <w:rsid w:val="008A0BC9"/>
    <w:rsid w:val="008A2ADA"/>
    <w:rsid w:val="008A2E2C"/>
    <w:rsid w:val="008A4365"/>
    <w:rsid w:val="008A55FE"/>
    <w:rsid w:val="008A7397"/>
    <w:rsid w:val="008A76B4"/>
    <w:rsid w:val="008B01CE"/>
    <w:rsid w:val="008B026D"/>
    <w:rsid w:val="008B0695"/>
    <w:rsid w:val="008B0A8A"/>
    <w:rsid w:val="008B32A2"/>
    <w:rsid w:val="008B3E07"/>
    <w:rsid w:val="008B4527"/>
    <w:rsid w:val="008B4777"/>
    <w:rsid w:val="008B521B"/>
    <w:rsid w:val="008B5F62"/>
    <w:rsid w:val="008B6BFB"/>
    <w:rsid w:val="008C029C"/>
    <w:rsid w:val="008C0D11"/>
    <w:rsid w:val="008C15D7"/>
    <w:rsid w:val="008C380D"/>
    <w:rsid w:val="008C3DFF"/>
    <w:rsid w:val="008C43CA"/>
    <w:rsid w:val="008C4AD2"/>
    <w:rsid w:val="008C4BB7"/>
    <w:rsid w:val="008C6668"/>
    <w:rsid w:val="008C70BE"/>
    <w:rsid w:val="008C7BC3"/>
    <w:rsid w:val="008D0E82"/>
    <w:rsid w:val="008D2F79"/>
    <w:rsid w:val="008D3632"/>
    <w:rsid w:val="008D4DDA"/>
    <w:rsid w:val="008D4FB6"/>
    <w:rsid w:val="008D5C4B"/>
    <w:rsid w:val="008D6541"/>
    <w:rsid w:val="008D718C"/>
    <w:rsid w:val="008D7B6B"/>
    <w:rsid w:val="008E07F6"/>
    <w:rsid w:val="008E08C7"/>
    <w:rsid w:val="008E0D40"/>
    <w:rsid w:val="008E23B8"/>
    <w:rsid w:val="008E24E7"/>
    <w:rsid w:val="008E2BBA"/>
    <w:rsid w:val="008E3803"/>
    <w:rsid w:val="008E3B27"/>
    <w:rsid w:val="008E3CC5"/>
    <w:rsid w:val="008E4522"/>
    <w:rsid w:val="008E4B8E"/>
    <w:rsid w:val="008E66FC"/>
    <w:rsid w:val="008E750A"/>
    <w:rsid w:val="008E7700"/>
    <w:rsid w:val="008E7CA9"/>
    <w:rsid w:val="008F0CCB"/>
    <w:rsid w:val="008F1694"/>
    <w:rsid w:val="008F1D10"/>
    <w:rsid w:val="008F262A"/>
    <w:rsid w:val="008F2794"/>
    <w:rsid w:val="008F39BC"/>
    <w:rsid w:val="008F3BDF"/>
    <w:rsid w:val="008F43D6"/>
    <w:rsid w:val="008F4596"/>
    <w:rsid w:val="008F73A0"/>
    <w:rsid w:val="008F78E1"/>
    <w:rsid w:val="00900669"/>
    <w:rsid w:val="00900703"/>
    <w:rsid w:val="0090140D"/>
    <w:rsid w:val="00901647"/>
    <w:rsid w:val="00901F9B"/>
    <w:rsid w:val="00902044"/>
    <w:rsid w:val="00902F00"/>
    <w:rsid w:val="009033DF"/>
    <w:rsid w:val="009051A9"/>
    <w:rsid w:val="00905A77"/>
    <w:rsid w:val="0090630A"/>
    <w:rsid w:val="0090697B"/>
    <w:rsid w:val="00907853"/>
    <w:rsid w:val="00910369"/>
    <w:rsid w:val="00911EC5"/>
    <w:rsid w:val="0091222A"/>
    <w:rsid w:val="00912605"/>
    <w:rsid w:val="00912FF0"/>
    <w:rsid w:val="0091341D"/>
    <w:rsid w:val="009135DA"/>
    <w:rsid w:val="00913D9C"/>
    <w:rsid w:val="00915026"/>
    <w:rsid w:val="009153C2"/>
    <w:rsid w:val="009153E2"/>
    <w:rsid w:val="00915A5A"/>
    <w:rsid w:val="00917409"/>
    <w:rsid w:val="00917D5E"/>
    <w:rsid w:val="009206B4"/>
    <w:rsid w:val="00920BA0"/>
    <w:rsid w:val="0092180E"/>
    <w:rsid w:val="009218A5"/>
    <w:rsid w:val="009236C4"/>
    <w:rsid w:val="00923D47"/>
    <w:rsid w:val="00923DD3"/>
    <w:rsid w:val="00924352"/>
    <w:rsid w:val="009244D6"/>
    <w:rsid w:val="009247E6"/>
    <w:rsid w:val="00924E10"/>
    <w:rsid w:val="0092514E"/>
    <w:rsid w:val="00926A66"/>
    <w:rsid w:val="00930147"/>
    <w:rsid w:val="00931BEF"/>
    <w:rsid w:val="00931EDF"/>
    <w:rsid w:val="0093216D"/>
    <w:rsid w:val="009325B0"/>
    <w:rsid w:val="00933000"/>
    <w:rsid w:val="009341B6"/>
    <w:rsid w:val="00934C8E"/>
    <w:rsid w:val="0093531F"/>
    <w:rsid w:val="0093682D"/>
    <w:rsid w:val="00937555"/>
    <w:rsid w:val="00940BE8"/>
    <w:rsid w:val="00941272"/>
    <w:rsid w:val="00941F21"/>
    <w:rsid w:val="00942345"/>
    <w:rsid w:val="009425B9"/>
    <w:rsid w:val="00942936"/>
    <w:rsid w:val="00942D2D"/>
    <w:rsid w:val="009431E5"/>
    <w:rsid w:val="00944EFC"/>
    <w:rsid w:val="009453AD"/>
    <w:rsid w:val="00946134"/>
    <w:rsid w:val="00946359"/>
    <w:rsid w:val="00947518"/>
    <w:rsid w:val="00947A22"/>
    <w:rsid w:val="00950514"/>
    <w:rsid w:val="009508AC"/>
    <w:rsid w:val="009513F4"/>
    <w:rsid w:val="00951653"/>
    <w:rsid w:val="009520B9"/>
    <w:rsid w:val="00952A80"/>
    <w:rsid w:val="009538E2"/>
    <w:rsid w:val="00953C7D"/>
    <w:rsid w:val="00953E78"/>
    <w:rsid w:val="00954BB1"/>
    <w:rsid w:val="00955795"/>
    <w:rsid w:val="00955E03"/>
    <w:rsid w:val="0095626F"/>
    <w:rsid w:val="00956655"/>
    <w:rsid w:val="00956E94"/>
    <w:rsid w:val="00957011"/>
    <w:rsid w:val="0095786B"/>
    <w:rsid w:val="00957A2B"/>
    <w:rsid w:val="00961FE1"/>
    <w:rsid w:val="00962B20"/>
    <w:rsid w:val="00963020"/>
    <w:rsid w:val="009630E9"/>
    <w:rsid w:val="00963623"/>
    <w:rsid w:val="00963FB0"/>
    <w:rsid w:val="0096469D"/>
    <w:rsid w:val="009654B9"/>
    <w:rsid w:val="009668A1"/>
    <w:rsid w:val="00967004"/>
    <w:rsid w:val="009711E0"/>
    <w:rsid w:val="00971AC0"/>
    <w:rsid w:val="00971FDB"/>
    <w:rsid w:val="00972747"/>
    <w:rsid w:val="00972BA4"/>
    <w:rsid w:val="00972C00"/>
    <w:rsid w:val="009730AC"/>
    <w:rsid w:val="00973168"/>
    <w:rsid w:val="00973A63"/>
    <w:rsid w:val="00973EB0"/>
    <w:rsid w:val="00974A13"/>
    <w:rsid w:val="00974C71"/>
    <w:rsid w:val="0098035D"/>
    <w:rsid w:val="009806FD"/>
    <w:rsid w:val="00980DB5"/>
    <w:rsid w:val="0098269B"/>
    <w:rsid w:val="009841BF"/>
    <w:rsid w:val="0098426E"/>
    <w:rsid w:val="00984A27"/>
    <w:rsid w:val="00985924"/>
    <w:rsid w:val="009860F4"/>
    <w:rsid w:val="00986C52"/>
    <w:rsid w:val="009877EC"/>
    <w:rsid w:val="009903BD"/>
    <w:rsid w:val="0099103D"/>
    <w:rsid w:val="0099172E"/>
    <w:rsid w:val="00991C35"/>
    <w:rsid w:val="00992016"/>
    <w:rsid w:val="00992038"/>
    <w:rsid w:val="00992992"/>
    <w:rsid w:val="0099317E"/>
    <w:rsid w:val="00994543"/>
    <w:rsid w:val="00994CE3"/>
    <w:rsid w:val="00997584"/>
    <w:rsid w:val="009A09DF"/>
    <w:rsid w:val="009A122F"/>
    <w:rsid w:val="009A180E"/>
    <w:rsid w:val="009A1E87"/>
    <w:rsid w:val="009A216E"/>
    <w:rsid w:val="009A234A"/>
    <w:rsid w:val="009A280C"/>
    <w:rsid w:val="009A2B08"/>
    <w:rsid w:val="009A3A6C"/>
    <w:rsid w:val="009A3BBF"/>
    <w:rsid w:val="009A5A13"/>
    <w:rsid w:val="009A5AD7"/>
    <w:rsid w:val="009A5C61"/>
    <w:rsid w:val="009A61B5"/>
    <w:rsid w:val="009A6D77"/>
    <w:rsid w:val="009B28AF"/>
    <w:rsid w:val="009B35AD"/>
    <w:rsid w:val="009B4810"/>
    <w:rsid w:val="009B4C25"/>
    <w:rsid w:val="009B50F4"/>
    <w:rsid w:val="009B51A1"/>
    <w:rsid w:val="009B524A"/>
    <w:rsid w:val="009B56E8"/>
    <w:rsid w:val="009B5C7D"/>
    <w:rsid w:val="009B6CE3"/>
    <w:rsid w:val="009B7434"/>
    <w:rsid w:val="009B756F"/>
    <w:rsid w:val="009B7D4F"/>
    <w:rsid w:val="009C1839"/>
    <w:rsid w:val="009C1A3D"/>
    <w:rsid w:val="009C24DE"/>
    <w:rsid w:val="009C5E23"/>
    <w:rsid w:val="009D0181"/>
    <w:rsid w:val="009D01BE"/>
    <w:rsid w:val="009D198E"/>
    <w:rsid w:val="009D1C2F"/>
    <w:rsid w:val="009D1D6C"/>
    <w:rsid w:val="009D204C"/>
    <w:rsid w:val="009D2530"/>
    <w:rsid w:val="009D3923"/>
    <w:rsid w:val="009D3D9B"/>
    <w:rsid w:val="009D3E65"/>
    <w:rsid w:val="009D3FB8"/>
    <w:rsid w:val="009D5C50"/>
    <w:rsid w:val="009D7466"/>
    <w:rsid w:val="009D76B8"/>
    <w:rsid w:val="009D7E04"/>
    <w:rsid w:val="009E20E5"/>
    <w:rsid w:val="009E23AD"/>
    <w:rsid w:val="009E26EE"/>
    <w:rsid w:val="009E28F3"/>
    <w:rsid w:val="009E316F"/>
    <w:rsid w:val="009E354C"/>
    <w:rsid w:val="009E360F"/>
    <w:rsid w:val="009E43F1"/>
    <w:rsid w:val="009E4E0C"/>
    <w:rsid w:val="009E51DB"/>
    <w:rsid w:val="009E6385"/>
    <w:rsid w:val="009E7146"/>
    <w:rsid w:val="009E725C"/>
    <w:rsid w:val="009F0B73"/>
    <w:rsid w:val="009F0DCE"/>
    <w:rsid w:val="009F0EA7"/>
    <w:rsid w:val="009F2350"/>
    <w:rsid w:val="009F2728"/>
    <w:rsid w:val="009F331D"/>
    <w:rsid w:val="009F3B38"/>
    <w:rsid w:val="009F49D7"/>
    <w:rsid w:val="009F4BA7"/>
    <w:rsid w:val="009F4FB6"/>
    <w:rsid w:val="009F51AC"/>
    <w:rsid w:val="009F5EAF"/>
    <w:rsid w:val="009F697A"/>
    <w:rsid w:val="009F6A6E"/>
    <w:rsid w:val="009F6F24"/>
    <w:rsid w:val="009F742C"/>
    <w:rsid w:val="009F74C6"/>
    <w:rsid w:val="009F7BBE"/>
    <w:rsid w:val="009F7D8E"/>
    <w:rsid w:val="00A013E9"/>
    <w:rsid w:val="00A014D7"/>
    <w:rsid w:val="00A025C5"/>
    <w:rsid w:val="00A02AFE"/>
    <w:rsid w:val="00A0363B"/>
    <w:rsid w:val="00A0369A"/>
    <w:rsid w:val="00A03988"/>
    <w:rsid w:val="00A0435D"/>
    <w:rsid w:val="00A04FD3"/>
    <w:rsid w:val="00A06AE6"/>
    <w:rsid w:val="00A06B31"/>
    <w:rsid w:val="00A104A9"/>
    <w:rsid w:val="00A1137B"/>
    <w:rsid w:val="00A1166F"/>
    <w:rsid w:val="00A11B15"/>
    <w:rsid w:val="00A11DC7"/>
    <w:rsid w:val="00A11E69"/>
    <w:rsid w:val="00A137B7"/>
    <w:rsid w:val="00A14A9C"/>
    <w:rsid w:val="00A15CEE"/>
    <w:rsid w:val="00A15CFB"/>
    <w:rsid w:val="00A16591"/>
    <w:rsid w:val="00A16972"/>
    <w:rsid w:val="00A2039A"/>
    <w:rsid w:val="00A225C2"/>
    <w:rsid w:val="00A234BE"/>
    <w:rsid w:val="00A239B1"/>
    <w:rsid w:val="00A23CBA"/>
    <w:rsid w:val="00A23EB2"/>
    <w:rsid w:val="00A24423"/>
    <w:rsid w:val="00A254A9"/>
    <w:rsid w:val="00A25823"/>
    <w:rsid w:val="00A2698D"/>
    <w:rsid w:val="00A26F42"/>
    <w:rsid w:val="00A27108"/>
    <w:rsid w:val="00A30D26"/>
    <w:rsid w:val="00A30D45"/>
    <w:rsid w:val="00A3183B"/>
    <w:rsid w:val="00A33F97"/>
    <w:rsid w:val="00A340BC"/>
    <w:rsid w:val="00A346C2"/>
    <w:rsid w:val="00A34B7D"/>
    <w:rsid w:val="00A3572F"/>
    <w:rsid w:val="00A35BDA"/>
    <w:rsid w:val="00A40922"/>
    <w:rsid w:val="00A414B1"/>
    <w:rsid w:val="00A4188E"/>
    <w:rsid w:val="00A427E6"/>
    <w:rsid w:val="00A42E83"/>
    <w:rsid w:val="00A43854"/>
    <w:rsid w:val="00A44077"/>
    <w:rsid w:val="00A44FC0"/>
    <w:rsid w:val="00A45293"/>
    <w:rsid w:val="00A45D15"/>
    <w:rsid w:val="00A46EC8"/>
    <w:rsid w:val="00A473A6"/>
    <w:rsid w:val="00A50028"/>
    <w:rsid w:val="00A507E5"/>
    <w:rsid w:val="00A50B2C"/>
    <w:rsid w:val="00A52AD9"/>
    <w:rsid w:val="00A53D22"/>
    <w:rsid w:val="00A54420"/>
    <w:rsid w:val="00A557A3"/>
    <w:rsid w:val="00A55EC4"/>
    <w:rsid w:val="00A56E29"/>
    <w:rsid w:val="00A5729E"/>
    <w:rsid w:val="00A574CD"/>
    <w:rsid w:val="00A5759B"/>
    <w:rsid w:val="00A60C47"/>
    <w:rsid w:val="00A6118C"/>
    <w:rsid w:val="00A61AF5"/>
    <w:rsid w:val="00A61ECA"/>
    <w:rsid w:val="00A63570"/>
    <w:rsid w:val="00A663A5"/>
    <w:rsid w:val="00A66C1F"/>
    <w:rsid w:val="00A67721"/>
    <w:rsid w:val="00A67D59"/>
    <w:rsid w:val="00A701C9"/>
    <w:rsid w:val="00A7121D"/>
    <w:rsid w:val="00A71381"/>
    <w:rsid w:val="00A71CB5"/>
    <w:rsid w:val="00A75386"/>
    <w:rsid w:val="00A75B04"/>
    <w:rsid w:val="00A75C1B"/>
    <w:rsid w:val="00A760E7"/>
    <w:rsid w:val="00A811AF"/>
    <w:rsid w:val="00A829B1"/>
    <w:rsid w:val="00A8331C"/>
    <w:rsid w:val="00A83EC1"/>
    <w:rsid w:val="00A84D4D"/>
    <w:rsid w:val="00A85244"/>
    <w:rsid w:val="00A85316"/>
    <w:rsid w:val="00A85534"/>
    <w:rsid w:val="00A86382"/>
    <w:rsid w:val="00A86B56"/>
    <w:rsid w:val="00A87A07"/>
    <w:rsid w:val="00A87F34"/>
    <w:rsid w:val="00A90493"/>
    <w:rsid w:val="00A90BD6"/>
    <w:rsid w:val="00A928B5"/>
    <w:rsid w:val="00A92AA3"/>
    <w:rsid w:val="00A92E79"/>
    <w:rsid w:val="00A93755"/>
    <w:rsid w:val="00A94A36"/>
    <w:rsid w:val="00A95EB6"/>
    <w:rsid w:val="00A96554"/>
    <w:rsid w:val="00A968B6"/>
    <w:rsid w:val="00A9697F"/>
    <w:rsid w:val="00A96B6F"/>
    <w:rsid w:val="00A96E26"/>
    <w:rsid w:val="00A97619"/>
    <w:rsid w:val="00AA0212"/>
    <w:rsid w:val="00AA02FB"/>
    <w:rsid w:val="00AA0B19"/>
    <w:rsid w:val="00AA1C0B"/>
    <w:rsid w:val="00AA1D01"/>
    <w:rsid w:val="00AA24A8"/>
    <w:rsid w:val="00AA3B10"/>
    <w:rsid w:val="00AA682C"/>
    <w:rsid w:val="00AA7724"/>
    <w:rsid w:val="00AB08D7"/>
    <w:rsid w:val="00AB1A73"/>
    <w:rsid w:val="00AB1CE9"/>
    <w:rsid w:val="00AB2406"/>
    <w:rsid w:val="00AB2694"/>
    <w:rsid w:val="00AB2703"/>
    <w:rsid w:val="00AB28A0"/>
    <w:rsid w:val="00AB2D0B"/>
    <w:rsid w:val="00AB4458"/>
    <w:rsid w:val="00AB4BED"/>
    <w:rsid w:val="00AB5889"/>
    <w:rsid w:val="00AB59A9"/>
    <w:rsid w:val="00AB5DC6"/>
    <w:rsid w:val="00AB6470"/>
    <w:rsid w:val="00AB71F2"/>
    <w:rsid w:val="00AB7C0D"/>
    <w:rsid w:val="00AC03C2"/>
    <w:rsid w:val="00AC247F"/>
    <w:rsid w:val="00AC274D"/>
    <w:rsid w:val="00AC2C90"/>
    <w:rsid w:val="00AC4221"/>
    <w:rsid w:val="00AC4327"/>
    <w:rsid w:val="00AC4A1D"/>
    <w:rsid w:val="00AC510D"/>
    <w:rsid w:val="00AC5703"/>
    <w:rsid w:val="00AC614E"/>
    <w:rsid w:val="00AC628A"/>
    <w:rsid w:val="00AC64BC"/>
    <w:rsid w:val="00AC7244"/>
    <w:rsid w:val="00AD07C1"/>
    <w:rsid w:val="00AD08D0"/>
    <w:rsid w:val="00AD1E1B"/>
    <w:rsid w:val="00AD1E86"/>
    <w:rsid w:val="00AD3452"/>
    <w:rsid w:val="00AD399E"/>
    <w:rsid w:val="00AD3D05"/>
    <w:rsid w:val="00AD4061"/>
    <w:rsid w:val="00AD43A5"/>
    <w:rsid w:val="00AD6115"/>
    <w:rsid w:val="00AD6624"/>
    <w:rsid w:val="00AD7C35"/>
    <w:rsid w:val="00AE1AD6"/>
    <w:rsid w:val="00AE1B27"/>
    <w:rsid w:val="00AE210C"/>
    <w:rsid w:val="00AE292E"/>
    <w:rsid w:val="00AE2EF4"/>
    <w:rsid w:val="00AE2F84"/>
    <w:rsid w:val="00AE3700"/>
    <w:rsid w:val="00AE3841"/>
    <w:rsid w:val="00AE542C"/>
    <w:rsid w:val="00AE5F27"/>
    <w:rsid w:val="00AE6D69"/>
    <w:rsid w:val="00AE7555"/>
    <w:rsid w:val="00AF0BB9"/>
    <w:rsid w:val="00AF0CEE"/>
    <w:rsid w:val="00AF100E"/>
    <w:rsid w:val="00AF1E48"/>
    <w:rsid w:val="00AF1F17"/>
    <w:rsid w:val="00AF1F5D"/>
    <w:rsid w:val="00AF3006"/>
    <w:rsid w:val="00AF3AD7"/>
    <w:rsid w:val="00AF4982"/>
    <w:rsid w:val="00AF4CEE"/>
    <w:rsid w:val="00AF540F"/>
    <w:rsid w:val="00AF5C36"/>
    <w:rsid w:val="00AF610C"/>
    <w:rsid w:val="00AF672F"/>
    <w:rsid w:val="00AF6B32"/>
    <w:rsid w:val="00AF7D7D"/>
    <w:rsid w:val="00B008E7"/>
    <w:rsid w:val="00B00D9A"/>
    <w:rsid w:val="00B01529"/>
    <w:rsid w:val="00B0161B"/>
    <w:rsid w:val="00B01815"/>
    <w:rsid w:val="00B025D6"/>
    <w:rsid w:val="00B02A48"/>
    <w:rsid w:val="00B02F2D"/>
    <w:rsid w:val="00B03562"/>
    <w:rsid w:val="00B04986"/>
    <w:rsid w:val="00B057E7"/>
    <w:rsid w:val="00B05E28"/>
    <w:rsid w:val="00B06B0B"/>
    <w:rsid w:val="00B07A0A"/>
    <w:rsid w:val="00B1003D"/>
    <w:rsid w:val="00B106C9"/>
    <w:rsid w:val="00B12B0D"/>
    <w:rsid w:val="00B13358"/>
    <w:rsid w:val="00B13FD0"/>
    <w:rsid w:val="00B152D4"/>
    <w:rsid w:val="00B16099"/>
    <w:rsid w:val="00B16DEB"/>
    <w:rsid w:val="00B1725D"/>
    <w:rsid w:val="00B17610"/>
    <w:rsid w:val="00B17763"/>
    <w:rsid w:val="00B17938"/>
    <w:rsid w:val="00B22B6F"/>
    <w:rsid w:val="00B23234"/>
    <w:rsid w:val="00B247FE"/>
    <w:rsid w:val="00B24CC6"/>
    <w:rsid w:val="00B24E19"/>
    <w:rsid w:val="00B2522D"/>
    <w:rsid w:val="00B26190"/>
    <w:rsid w:val="00B26964"/>
    <w:rsid w:val="00B26F21"/>
    <w:rsid w:val="00B27728"/>
    <w:rsid w:val="00B27A80"/>
    <w:rsid w:val="00B27F98"/>
    <w:rsid w:val="00B3038F"/>
    <w:rsid w:val="00B30929"/>
    <w:rsid w:val="00B31FD3"/>
    <w:rsid w:val="00B3244E"/>
    <w:rsid w:val="00B33DE5"/>
    <w:rsid w:val="00B34627"/>
    <w:rsid w:val="00B35291"/>
    <w:rsid w:val="00B36812"/>
    <w:rsid w:val="00B36977"/>
    <w:rsid w:val="00B37607"/>
    <w:rsid w:val="00B37F6A"/>
    <w:rsid w:val="00B4233F"/>
    <w:rsid w:val="00B42A07"/>
    <w:rsid w:val="00B43439"/>
    <w:rsid w:val="00B434F8"/>
    <w:rsid w:val="00B43B3F"/>
    <w:rsid w:val="00B43FD4"/>
    <w:rsid w:val="00B44B03"/>
    <w:rsid w:val="00B45B8A"/>
    <w:rsid w:val="00B4690C"/>
    <w:rsid w:val="00B47066"/>
    <w:rsid w:val="00B47253"/>
    <w:rsid w:val="00B47A38"/>
    <w:rsid w:val="00B50B1F"/>
    <w:rsid w:val="00B51B17"/>
    <w:rsid w:val="00B52C01"/>
    <w:rsid w:val="00B52D58"/>
    <w:rsid w:val="00B53798"/>
    <w:rsid w:val="00B53FEE"/>
    <w:rsid w:val="00B55EA4"/>
    <w:rsid w:val="00B574AD"/>
    <w:rsid w:val="00B57543"/>
    <w:rsid w:val="00B606CD"/>
    <w:rsid w:val="00B61533"/>
    <w:rsid w:val="00B615E5"/>
    <w:rsid w:val="00B62A33"/>
    <w:rsid w:val="00B62DBF"/>
    <w:rsid w:val="00B63002"/>
    <w:rsid w:val="00B63C5A"/>
    <w:rsid w:val="00B64330"/>
    <w:rsid w:val="00B64800"/>
    <w:rsid w:val="00B659B3"/>
    <w:rsid w:val="00B66406"/>
    <w:rsid w:val="00B66C27"/>
    <w:rsid w:val="00B67107"/>
    <w:rsid w:val="00B701F6"/>
    <w:rsid w:val="00B71947"/>
    <w:rsid w:val="00B71CD4"/>
    <w:rsid w:val="00B72C6C"/>
    <w:rsid w:val="00B742E8"/>
    <w:rsid w:val="00B74F0C"/>
    <w:rsid w:val="00B7501A"/>
    <w:rsid w:val="00B75A2F"/>
    <w:rsid w:val="00B7610A"/>
    <w:rsid w:val="00B76E0A"/>
    <w:rsid w:val="00B77389"/>
    <w:rsid w:val="00B81538"/>
    <w:rsid w:val="00B81AD8"/>
    <w:rsid w:val="00B824E7"/>
    <w:rsid w:val="00B825D7"/>
    <w:rsid w:val="00B82D00"/>
    <w:rsid w:val="00B82FBB"/>
    <w:rsid w:val="00B83575"/>
    <w:rsid w:val="00B84200"/>
    <w:rsid w:val="00B84DD2"/>
    <w:rsid w:val="00B86422"/>
    <w:rsid w:val="00B87265"/>
    <w:rsid w:val="00B874F3"/>
    <w:rsid w:val="00B906AC"/>
    <w:rsid w:val="00B909E4"/>
    <w:rsid w:val="00B91D3D"/>
    <w:rsid w:val="00B934F4"/>
    <w:rsid w:val="00B93545"/>
    <w:rsid w:val="00B93690"/>
    <w:rsid w:val="00B93927"/>
    <w:rsid w:val="00B95D36"/>
    <w:rsid w:val="00B972AB"/>
    <w:rsid w:val="00B97508"/>
    <w:rsid w:val="00B9765C"/>
    <w:rsid w:val="00B97677"/>
    <w:rsid w:val="00B97C5E"/>
    <w:rsid w:val="00B97D63"/>
    <w:rsid w:val="00BA0EB2"/>
    <w:rsid w:val="00BA1D68"/>
    <w:rsid w:val="00BA1EEF"/>
    <w:rsid w:val="00BA2717"/>
    <w:rsid w:val="00BA2771"/>
    <w:rsid w:val="00BA32BA"/>
    <w:rsid w:val="00BA4678"/>
    <w:rsid w:val="00BA4A90"/>
    <w:rsid w:val="00BA4E67"/>
    <w:rsid w:val="00BA53EF"/>
    <w:rsid w:val="00BA5A7E"/>
    <w:rsid w:val="00BA65AE"/>
    <w:rsid w:val="00BB1396"/>
    <w:rsid w:val="00BB1EFE"/>
    <w:rsid w:val="00BB2004"/>
    <w:rsid w:val="00BB2664"/>
    <w:rsid w:val="00BB2C13"/>
    <w:rsid w:val="00BB36FA"/>
    <w:rsid w:val="00BB4D10"/>
    <w:rsid w:val="00BB524C"/>
    <w:rsid w:val="00BB5D3B"/>
    <w:rsid w:val="00BB6BF3"/>
    <w:rsid w:val="00BB7411"/>
    <w:rsid w:val="00BB748D"/>
    <w:rsid w:val="00BC173F"/>
    <w:rsid w:val="00BC1781"/>
    <w:rsid w:val="00BC24DB"/>
    <w:rsid w:val="00BC2835"/>
    <w:rsid w:val="00BC3B84"/>
    <w:rsid w:val="00BC3B8F"/>
    <w:rsid w:val="00BC431A"/>
    <w:rsid w:val="00BC47CD"/>
    <w:rsid w:val="00BC4AD1"/>
    <w:rsid w:val="00BC4F07"/>
    <w:rsid w:val="00BC536B"/>
    <w:rsid w:val="00BC6E92"/>
    <w:rsid w:val="00BC7CDE"/>
    <w:rsid w:val="00BD0040"/>
    <w:rsid w:val="00BD13E0"/>
    <w:rsid w:val="00BD173D"/>
    <w:rsid w:val="00BD1889"/>
    <w:rsid w:val="00BD1DEA"/>
    <w:rsid w:val="00BD25D3"/>
    <w:rsid w:val="00BD3AF5"/>
    <w:rsid w:val="00BD3FB7"/>
    <w:rsid w:val="00BD5798"/>
    <w:rsid w:val="00BD5B95"/>
    <w:rsid w:val="00BD7AC1"/>
    <w:rsid w:val="00BE0188"/>
    <w:rsid w:val="00BE0B22"/>
    <w:rsid w:val="00BE14BA"/>
    <w:rsid w:val="00BE1603"/>
    <w:rsid w:val="00BE19D2"/>
    <w:rsid w:val="00BE1A95"/>
    <w:rsid w:val="00BE1FB4"/>
    <w:rsid w:val="00BE2651"/>
    <w:rsid w:val="00BE2E8B"/>
    <w:rsid w:val="00BE3D01"/>
    <w:rsid w:val="00BE4381"/>
    <w:rsid w:val="00BE4CB1"/>
    <w:rsid w:val="00BE50FC"/>
    <w:rsid w:val="00BE51E1"/>
    <w:rsid w:val="00BE5600"/>
    <w:rsid w:val="00BE60AD"/>
    <w:rsid w:val="00BE7FB9"/>
    <w:rsid w:val="00BF07AE"/>
    <w:rsid w:val="00BF10E3"/>
    <w:rsid w:val="00BF1560"/>
    <w:rsid w:val="00BF1926"/>
    <w:rsid w:val="00BF1FB0"/>
    <w:rsid w:val="00BF2A83"/>
    <w:rsid w:val="00BF2CD8"/>
    <w:rsid w:val="00BF40D1"/>
    <w:rsid w:val="00BF4947"/>
    <w:rsid w:val="00BF5228"/>
    <w:rsid w:val="00BF52D3"/>
    <w:rsid w:val="00BF5DD3"/>
    <w:rsid w:val="00BF77AF"/>
    <w:rsid w:val="00BF7A95"/>
    <w:rsid w:val="00BF7D12"/>
    <w:rsid w:val="00C0140F"/>
    <w:rsid w:val="00C0206B"/>
    <w:rsid w:val="00C02257"/>
    <w:rsid w:val="00C0278F"/>
    <w:rsid w:val="00C03FC7"/>
    <w:rsid w:val="00C04FFD"/>
    <w:rsid w:val="00C05671"/>
    <w:rsid w:val="00C0651D"/>
    <w:rsid w:val="00C0674B"/>
    <w:rsid w:val="00C06EDA"/>
    <w:rsid w:val="00C070E1"/>
    <w:rsid w:val="00C07256"/>
    <w:rsid w:val="00C07EAE"/>
    <w:rsid w:val="00C10148"/>
    <w:rsid w:val="00C108CB"/>
    <w:rsid w:val="00C10DE5"/>
    <w:rsid w:val="00C14319"/>
    <w:rsid w:val="00C14F3E"/>
    <w:rsid w:val="00C16903"/>
    <w:rsid w:val="00C16C0B"/>
    <w:rsid w:val="00C178FE"/>
    <w:rsid w:val="00C17E29"/>
    <w:rsid w:val="00C214EE"/>
    <w:rsid w:val="00C22077"/>
    <w:rsid w:val="00C22129"/>
    <w:rsid w:val="00C229D4"/>
    <w:rsid w:val="00C22B12"/>
    <w:rsid w:val="00C22C0A"/>
    <w:rsid w:val="00C234E4"/>
    <w:rsid w:val="00C237DD"/>
    <w:rsid w:val="00C2466D"/>
    <w:rsid w:val="00C247CE"/>
    <w:rsid w:val="00C2482F"/>
    <w:rsid w:val="00C2548A"/>
    <w:rsid w:val="00C25508"/>
    <w:rsid w:val="00C25595"/>
    <w:rsid w:val="00C266AC"/>
    <w:rsid w:val="00C26DDF"/>
    <w:rsid w:val="00C27CBD"/>
    <w:rsid w:val="00C30872"/>
    <w:rsid w:val="00C31723"/>
    <w:rsid w:val="00C323B6"/>
    <w:rsid w:val="00C3335E"/>
    <w:rsid w:val="00C33637"/>
    <w:rsid w:val="00C33DA5"/>
    <w:rsid w:val="00C3401B"/>
    <w:rsid w:val="00C347D8"/>
    <w:rsid w:val="00C34AA5"/>
    <w:rsid w:val="00C34F55"/>
    <w:rsid w:val="00C35B8B"/>
    <w:rsid w:val="00C35DA5"/>
    <w:rsid w:val="00C364E0"/>
    <w:rsid w:val="00C3688F"/>
    <w:rsid w:val="00C36E56"/>
    <w:rsid w:val="00C36EB8"/>
    <w:rsid w:val="00C373EA"/>
    <w:rsid w:val="00C37EF6"/>
    <w:rsid w:val="00C403C3"/>
    <w:rsid w:val="00C40C67"/>
    <w:rsid w:val="00C41724"/>
    <w:rsid w:val="00C41835"/>
    <w:rsid w:val="00C41C0C"/>
    <w:rsid w:val="00C43024"/>
    <w:rsid w:val="00C430A7"/>
    <w:rsid w:val="00C456AD"/>
    <w:rsid w:val="00C45C9A"/>
    <w:rsid w:val="00C46070"/>
    <w:rsid w:val="00C4675F"/>
    <w:rsid w:val="00C4748A"/>
    <w:rsid w:val="00C475F1"/>
    <w:rsid w:val="00C47BB1"/>
    <w:rsid w:val="00C50A34"/>
    <w:rsid w:val="00C51BEB"/>
    <w:rsid w:val="00C51C0E"/>
    <w:rsid w:val="00C534A9"/>
    <w:rsid w:val="00C53BE6"/>
    <w:rsid w:val="00C55864"/>
    <w:rsid w:val="00C56FA4"/>
    <w:rsid w:val="00C570A4"/>
    <w:rsid w:val="00C571BB"/>
    <w:rsid w:val="00C577B2"/>
    <w:rsid w:val="00C57F70"/>
    <w:rsid w:val="00C60030"/>
    <w:rsid w:val="00C600C2"/>
    <w:rsid w:val="00C6185A"/>
    <w:rsid w:val="00C61AEE"/>
    <w:rsid w:val="00C61EAE"/>
    <w:rsid w:val="00C6426D"/>
    <w:rsid w:val="00C65B5B"/>
    <w:rsid w:val="00C65C29"/>
    <w:rsid w:val="00C65D78"/>
    <w:rsid w:val="00C669B0"/>
    <w:rsid w:val="00C67F0E"/>
    <w:rsid w:val="00C70228"/>
    <w:rsid w:val="00C705EC"/>
    <w:rsid w:val="00C72193"/>
    <w:rsid w:val="00C723F1"/>
    <w:rsid w:val="00C72963"/>
    <w:rsid w:val="00C72C49"/>
    <w:rsid w:val="00C7349B"/>
    <w:rsid w:val="00C739FA"/>
    <w:rsid w:val="00C74265"/>
    <w:rsid w:val="00C74C44"/>
    <w:rsid w:val="00C770D9"/>
    <w:rsid w:val="00C8048E"/>
    <w:rsid w:val="00C80642"/>
    <w:rsid w:val="00C81E73"/>
    <w:rsid w:val="00C8208E"/>
    <w:rsid w:val="00C8288F"/>
    <w:rsid w:val="00C82CCD"/>
    <w:rsid w:val="00C831DF"/>
    <w:rsid w:val="00C83309"/>
    <w:rsid w:val="00C83F24"/>
    <w:rsid w:val="00C857D1"/>
    <w:rsid w:val="00C85C06"/>
    <w:rsid w:val="00C8640C"/>
    <w:rsid w:val="00C86DBF"/>
    <w:rsid w:val="00C872D0"/>
    <w:rsid w:val="00C87738"/>
    <w:rsid w:val="00C878C0"/>
    <w:rsid w:val="00C90852"/>
    <w:rsid w:val="00C9127E"/>
    <w:rsid w:val="00C912A2"/>
    <w:rsid w:val="00C91AD3"/>
    <w:rsid w:val="00C91DED"/>
    <w:rsid w:val="00C93082"/>
    <w:rsid w:val="00C931DA"/>
    <w:rsid w:val="00C93479"/>
    <w:rsid w:val="00C93480"/>
    <w:rsid w:val="00C948F0"/>
    <w:rsid w:val="00C9552C"/>
    <w:rsid w:val="00C957F6"/>
    <w:rsid w:val="00C9588D"/>
    <w:rsid w:val="00C958AA"/>
    <w:rsid w:val="00C95F4C"/>
    <w:rsid w:val="00C96604"/>
    <w:rsid w:val="00C974BE"/>
    <w:rsid w:val="00C97529"/>
    <w:rsid w:val="00CA0231"/>
    <w:rsid w:val="00CA024E"/>
    <w:rsid w:val="00CA1AE2"/>
    <w:rsid w:val="00CA1FD6"/>
    <w:rsid w:val="00CA2110"/>
    <w:rsid w:val="00CA3849"/>
    <w:rsid w:val="00CA3980"/>
    <w:rsid w:val="00CA4419"/>
    <w:rsid w:val="00CA45F0"/>
    <w:rsid w:val="00CA4BA1"/>
    <w:rsid w:val="00CA4E80"/>
    <w:rsid w:val="00CA5DC4"/>
    <w:rsid w:val="00CA70F8"/>
    <w:rsid w:val="00CA77D2"/>
    <w:rsid w:val="00CB0AD9"/>
    <w:rsid w:val="00CB0C57"/>
    <w:rsid w:val="00CB2B7F"/>
    <w:rsid w:val="00CB5ACC"/>
    <w:rsid w:val="00CB692E"/>
    <w:rsid w:val="00CB69AB"/>
    <w:rsid w:val="00CB6CB4"/>
    <w:rsid w:val="00CB6E65"/>
    <w:rsid w:val="00CB7241"/>
    <w:rsid w:val="00CC0E5F"/>
    <w:rsid w:val="00CC122A"/>
    <w:rsid w:val="00CC18F2"/>
    <w:rsid w:val="00CC23A7"/>
    <w:rsid w:val="00CC47FD"/>
    <w:rsid w:val="00CC4A67"/>
    <w:rsid w:val="00CC4BDB"/>
    <w:rsid w:val="00CC4ED0"/>
    <w:rsid w:val="00CC536F"/>
    <w:rsid w:val="00CC5A7B"/>
    <w:rsid w:val="00CC60F0"/>
    <w:rsid w:val="00CC692D"/>
    <w:rsid w:val="00CC6E42"/>
    <w:rsid w:val="00CC7F83"/>
    <w:rsid w:val="00CD11AD"/>
    <w:rsid w:val="00CD153D"/>
    <w:rsid w:val="00CD1678"/>
    <w:rsid w:val="00CD1FE6"/>
    <w:rsid w:val="00CD2CC5"/>
    <w:rsid w:val="00CD4225"/>
    <w:rsid w:val="00CD4C76"/>
    <w:rsid w:val="00CD580A"/>
    <w:rsid w:val="00CD5CEA"/>
    <w:rsid w:val="00CD72FA"/>
    <w:rsid w:val="00CD7996"/>
    <w:rsid w:val="00CD79B4"/>
    <w:rsid w:val="00CE028C"/>
    <w:rsid w:val="00CE06D6"/>
    <w:rsid w:val="00CE120E"/>
    <w:rsid w:val="00CE3687"/>
    <w:rsid w:val="00CE5B78"/>
    <w:rsid w:val="00CE5E2C"/>
    <w:rsid w:val="00CE6288"/>
    <w:rsid w:val="00CE6301"/>
    <w:rsid w:val="00CE6488"/>
    <w:rsid w:val="00CE7493"/>
    <w:rsid w:val="00CE7B52"/>
    <w:rsid w:val="00CF05DB"/>
    <w:rsid w:val="00CF1C0A"/>
    <w:rsid w:val="00CF23E3"/>
    <w:rsid w:val="00CF269C"/>
    <w:rsid w:val="00CF286B"/>
    <w:rsid w:val="00CF2B5B"/>
    <w:rsid w:val="00CF2EE9"/>
    <w:rsid w:val="00CF36F7"/>
    <w:rsid w:val="00CF37E0"/>
    <w:rsid w:val="00CF4065"/>
    <w:rsid w:val="00CF5B5A"/>
    <w:rsid w:val="00CF6C89"/>
    <w:rsid w:val="00CF77CE"/>
    <w:rsid w:val="00CF7AF5"/>
    <w:rsid w:val="00CF7B95"/>
    <w:rsid w:val="00CF7D43"/>
    <w:rsid w:val="00D0170C"/>
    <w:rsid w:val="00D01A27"/>
    <w:rsid w:val="00D028FD"/>
    <w:rsid w:val="00D031F6"/>
    <w:rsid w:val="00D038AD"/>
    <w:rsid w:val="00D040E1"/>
    <w:rsid w:val="00D05065"/>
    <w:rsid w:val="00D05347"/>
    <w:rsid w:val="00D053FA"/>
    <w:rsid w:val="00D0566B"/>
    <w:rsid w:val="00D0594D"/>
    <w:rsid w:val="00D06378"/>
    <w:rsid w:val="00D10315"/>
    <w:rsid w:val="00D103E3"/>
    <w:rsid w:val="00D1079D"/>
    <w:rsid w:val="00D11FF5"/>
    <w:rsid w:val="00D12C1B"/>
    <w:rsid w:val="00D13A53"/>
    <w:rsid w:val="00D13CA8"/>
    <w:rsid w:val="00D13FBE"/>
    <w:rsid w:val="00D15467"/>
    <w:rsid w:val="00D1598B"/>
    <w:rsid w:val="00D16124"/>
    <w:rsid w:val="00D16246"/>
    <w:rsid w:val="00D17185"/>
    <w:rsid w:val="00D203DF"/>
    <w:rsid w:val="00D2050E"/>
    <w:rsid w:val="00D20B0F"/>
    <w:rsid w:val="00D2188F"/>
    <w:rsid w:val="00D21B9F"/>
    <w:rsid w:val="00D23243"/>
    <w:rsid w:val="00D23359"/>
    <w:rsid w:val="00D24A25"/>
    <w:rsid w:val="00D24AF7"/>
    <w:rsid w:val="00D25B4A"/>
    <w:rsid w:val="00D263A9"/>
    <w:rsid w:val="00D26682"/>
    <w:rsid w:val="00D26A4E"/>
    <w:rsid w:val="00D275CF"/>
    <w:rsid w:val="00D306D7"/>
    <w:rsid w:val="00D30EAD"/>
    <w:rsid w:val="00D317D1"/>
    <w:rsid w:val="00D3180D"/>
    <w:rsid w:val="00D31874"/>
    <w:rsid w:val="00D31BD8"/>
    <w:rsid w:val="00D34CB7"/>
    <w:rsid w:val="00D36A56"/>
    <w:rsid w:val="00D37626"/>
    <w:rsid w:val="00D37BC4"/>
    <w:rsid w:val="00D37C34"/>
    <w:rsid w:val="00D37E5D"/>
    <w:rsid w:val="00D42891"/>
    <w:rsid w:val="00D437E0"/>
    <w:rsid w:val="00D443F6"/>
    <w:rsid w:val="00D44919"/>
    <w:rsid w:val="00D44F57"/>
    <w:rsid w:val="00D458AA"/>
    <w:rsid w:val="00D477DA"/>
    <w:rsid w:val="00D47D56"/>
    <w:rsid w:val="00D50FAC"/>
    <w:rsid w:val="00D5284F"/>
    <w:rsid w:val="00D54800"/>
    <w:rsid w:val="00D5488E"/>
    <w:rsid w:val="00D55CFF"/>
    <w:rsid w:val="00D56360"/>
    <w:rsid w:val="00D567ED"/>
    <w:rsid w:val="00D569BB"/>
    <w:rsid w:val="00D57503"/>
    <w:rsid w:val="00D6175B"/>
    <w:rsid w:val="00D61C77"/>
    <w:rsid w:val="00D62897"/>
    <w:rsid w:val="00D62B4F"/>
    <w:rsid w:val="00D6359B"/>
    <w:rsid w:val="00D63951"/>
    <w:rsid w:val="00D653D4"/>
    <w:rsid w:val="00D6543C"/>
    <w:rsid w:val="00D66251"/>
    <w:rsid w:val="00D6645B"/>
    <w:rsid w:val="00D667CC"/>
    <w:rsid w:val="00D66B5E"/>
    <w:rsid w:val="00D66D31"/>
    <w:rsid w:val="00D66F0C"/>
    <w:rsid w:val="00D6760F"/>
    <w:rsid w:val="00D67663"/>
    <w:rsid w:val="00D7033F"/>
    <w:rsid w:val="00D7095B"/>
    <w:rsid w:val="00D72ADD"/>
    <w:rsid w:val="00D730CA"/>
    <w:rsid w:val="00D7368A"/>
    <w:rsid w:val="00D73761"/>
    <w:rsid w:val="00D74BB7"/>
    <w:rsid w:val="00D75376"/>
    <w:rsid w:val="00D7571D"/>
    <w:rsid w:val="00D76488"/>
    <w:rsid w:val="00D77150"/>
    <w:rsid w:val="00D77152"/>
    <w:rsid w:val="00D776CA"/>
    <w:rsid w:val="00D77AA3"/>
    <w:rsid w:val="00D80D04"/>
    <w:rsid w:val="00D8110E"/>
    <w:rsid w:val="00D8150C"/>
    <w:rsid w:val="00D82944"/>
    <w:rsid w:val="00D82E75"/>
    <w:rsid w:val="00D85CA8"/>
    <w:rsid w:val="00D86951"/>
    <w:rsid w:val="00D86BA1"/>
    <w:rsid w:val="00D86BAE"/>
    <w:rsid w:val="00D901A0"/>
    <w:rsid w:val="00D9065B"/>
    <w:rsid w:val="00D90C89"/>
    <w:rsid w:val="00D913B3"/>
    <w:rsid w:val="00D91792"/>
    <w:rsid w:val="00D91C1E"/>
    <w:rsid w:val="00D92572"/>
    <w:rsid w:val="00D93E04"/>
    <w:rsid w:val="00D9552E"/>
    <w:rsid w:val="00D960E7"/>
    <w:rsid w:val="00D9641D"/>
    <w:rsid w:val="00D9646D"/>
    <w:rsid w:val="00D97401"/>
    <w:rsid w:val="00D97936"/>
    <w:rsid w:val="00DA1430"/>
    <w:rsid w:val="00DA274D"/>
    <w:rsid w:val="00DA2798"/>
    <w:rsid w:val="00DA2E25"/>
    <w:rsid w:val="00DA3975"/>
    <w:rsid w:val="00DA3A10"/>
    <w:rsid w:val="00DA4ED6"/>
    <w:rsid w:val="00DA4EF4"/>
    <w:rsid w:val="00DA50D0"/>
    <w:rsid w:val="00DA5DF2"/>
    <w:rsid w:val="00DA6E49"/>
    <w:rsid w:val="00DB031A"/>
    <w:rsid w:val="00DB0339"/>
    <w:rsid w:val="00DB1012"/>
    <w:rsid w:val="00DB11F5"/>
    <w:rsid w:val="00DB1301"/>
    <w:rsid w:val="00DB1927"/>
    <w:rsid w:val="00DB2A50"/>
    <w:rsid w:val="00DB2BC5"/>
    <w:rsid w:val="00DB3494"/>
    <w:rsid w:val="00DB3D80"/>
    <w:rsid w:val="00DB487C"/>
    <w:rsid w:val="00DB4EB8"/>
    <w:rsid w:val="00DB7B50"/>
    <w:rsid w:val="00DC2461"/>
    <w:rsid w:val="00DC3ECA"/>
    <w:rsid w:val="00DC4333"/>
    <w:rsid w:val="00DC461D"/>
    <w:rsid w:val="00DC4F14"/>
    <w:rsid w:val="00DC6CC8"/>
    <w:rsid w:val="00DC73C0"/>
    <w:rsid w:val="00DC7BE8"/>
    <w:rsid w:val="00DD0816"/>
    <w:rsid w:val="00DD0FED"/>
    <w:rsid w:val="00DD13D2"/>
    <w:rsid w:val="00DD144C"/>
    <w:rsid w:val="00DD3137"/>
    <w:rsid w:val="00DD504C"/>
    <w:rsid w:val="00DD741F"/>
    <w:rsid w:val="00DE0145"/>
    <w:rsid w:val="00DE09D3"/>
    <w:rsid w:val="00DE0F4F"/>
    <w:rsid w:val="00DE19B6"/>
    <w:rsid w:val="00DE1E27"/>
    <w:rsid w:val="00DE25A5"/>
    <w:rsid w:val="00DE44C1"/>
    <w:rsid w:val="00DE5287"/>
    <w:rsid w:val="00DE6296"/>
    <w:rsid w:val="00DE6EB4"/>
    <w:rsid w:val="00DE77E8"/>
    <w:rsid w:val="00DE7BE6"/>
    <w:rsid w:val="00DF08E8"/>
    <w:rsid w:val="00DF14EE"/>
    <w:rsid w:val="00DF3070"/>
    <w:rsid w:val="00DF31FD"/>
    <w:rsid w:val="00DF45F8"/>
    <w:rsid w:val="00DF5F3B"/>
    <w:rsid w:val="00DF6ABA"/>
    <w:rsid w:val="00E01654"/>
    <w:rsid w:val="00E01D1A"/>
    <w:rsid w:val="00E01FBE"/>
    <w:rsid w:val="00E02FE5"/>
    <w:rsid w:val="00E032B3"/>
    <w:rsid w:val="00E0378A"/>
    <w:rsid w:val="00E03ADB"/>
    <w:rsid w:val="00E03B2A"/>
    <w:rsid w:val="00E049DA"/>
    <w:rsid w:val="00E04B11"/>
    <w:rsid w:val="00E04B19"/>
    <w:rsid w:val="00E073F2"/>
    <w:rsid w:val="00E13AA0"/>
    <w:rsid w:val="00E13E52"/>
    <w:rsid w:val="00E14494"/>
    <w:rsid w:val="00E14D27"/>
    <w:rsid w:val="00E1577A"/>
    <w:rsid w:val="00E159FC"/>
    <w:rsid w:val="00E16905"/>
    <w:rsid w:val="00E17672"/>
    <w:rsid w:val="00E17AA0"/>
    <w:rsid w:val="00E2307F"/>
    <w:rsid w:val="00E2317E"/>
    <w:rsid w:val="00E239A7"/>
    <w:rsid w:val="00E23C63"/>
    <w:rsid w:val="00E23EDF"/>
    <w:rsid w:val="00E24DBF"/>
    <w:rsid w:val="00E256E2"/>
    <w:rsid w:val="00E266F2"/>
    <w:rsid w:val="00E26780"/>
    <w:rsid w:val="00E26CE0"/>
    <w:rsid w:val="00E305A9"/>
    <w:rsid w:val="00E3213C"/>
    <w:rsid w:val="00E32C39"/>
    <w:rsid w:val="00E33CD4"/>
    <w:rsid w:val="00E34AD4"/>
    <w:rsid w:val="00E35F0A"/>
    <w:rsid w:val="00E3632E"/>
    <w:rsid w:val="00E41837"/>
    <w:rsid w:val="00E42480"/>
    <w:rsid w:val="00E42BEA"/>
    <w:rsid w:val="00E43077"/>
    <w:rsid w:val="00E43748"/>
    <w:rsid w:val="00E456F6"/>
    <w:rsid w:val="00E4667F"/>
    <w:rsid w:val="00E50106"/>
    <w:rsid w:val="00E50929"/>
    <w:rsid w:val="00E535C7"/>
    <w:rsid w:val="00E53CE4"/>
    <w:rsid w:val="00E54092"/>
    <w:rsid w:val="00E54F99"/>
    <w:rsid w:val="00E5588B"/>
    <w:rsid w:val="00E57165"/>
    <w:rsid w:val="00E578F8"/>
    <w:rsid w:val="00E57E83"/>
    <w:rsid w:val="00E57F8A"/>
    <w:rsid w:val="00E57F9E"/>
    <w:rsid w:val="00E60675"/>
    <w:rsid w:val="00E61196"/>
    <w:rsid w:val="00E62561"/>
    <w:rsid w:val="00E6383C"/>
    <w:rsid w:val="00E63C9D"/>
    <w:rsid w:val="00E6422A"/>
    <w:rsid w:val="00E6430F"/>
    <w:rsid w:val="00E651AF"/>
    <w:rsid w:val="00E65298"/>
    <w:rsid w:val="00E658DF"/>
    <w:rsid w:val="00E65B52"/>
    <w:rsid w:val="00E6689A"/>
    <w:rsid w:val="00E66B0A"/>
    <w:rsid w:val="00E70BB1"/>
    <w:rsid w:val="00E70EDB"/>
    <w:rsid w:val="00E716F8"/>
    <w:rsid w:val="00E71BB4"/>
    <w:rsid w:val="00E71F84"/>
    <w:rsid w:val="00E7227A"/>
    <w:rsid w:val="00E73B7F"/>
    <w:rsid w:val="00E768BC"/>
    <w:rsid w:val="00E779DA"/>
    <w:rsid w:val="00E80222"/>
    <w:rsid w:val="00E81ADB"/>
    <w:rsid w:val="00E84324"/>
    <w:rsid w:val="00E84742"/>
    <w:rsid w:val="00E85505"/>
    <w:rsid w:val="00E85C7A"/>
    <w:rsid w:val="00E85F14"/>
    <w:rsid w:val="00E86233"/>
    <w:rsid w:val="00E86B07"/>
    <w:rsid w:val="00E86E3D"/>
    <w:rsid w:val="00E87121"/>
    <w:rsid w:val="00E875C4"/>
    <w:rsid w:val="00E9093F"/>
    <w:rsid w:val="00E91F8F"/>
    <w:rsid w:val="00E929D1"/>
    <w:rsid w:val="00E93173"/>
    <w:rsid w:val="00E93EBE"/>
    <w:rsid w:val="00E94550"/>
    <w:rsid w:val="00E945DA"/>
    <w:rsid w:val="00E94934"/>
    <w:rsid w:val="00E94AEF"/>
    <w:rsid w:val="00E94B68"/>
    <w:rsid w:val="00E953F2"/>
    <w:rsid w:val="00E95978"/>
    <w:rsid w:val="00E95DE1"/>
    <w:rsid w:val="00E97488"/>
    <w:rsid w:val="00E974A2"/>
    <w:rsid w:val="00E9756E"/>
    <w:rsid w:val="00E97B94"/>
    <w:rsid w:val="00E97D99"/>
    <w:rsid w:val="00EA0234"/>
    <w:rsid w:val="00EA1133"/>
    <w:rsid w:val="00EA16ED"/>
    <w:rsid w:val="00EA1D6F"/>
    <w:rsid w:val="00EA2A77"/>
    <w:rsid w:val="00EA4EA1"/>
    <w:rsid w:val="00EA5125"/>
    <w:rsid w:val="00EA5FA4"/>
    <w:rsid w:val="00EA63CD"/>
    <w:rsid w:val="00EA7C0B"/>
    <w:rsid w:val="00EA7ECE"/>
    <w:rsid w:val="00EB0721"/>
    <w:rsid w:val="00EB09DD"/>
    <w:rsid w:val="00EB3BBD"/>
    <w:rsid w:val="00EB4062"/>
    <w:rsid w:val="00EB4568"/>
    <w:rsid w:val="00EB536B"/>
    <w:rsid w:val="00EB6895"/>
    <w:rsid w:val="00EC01DE"/>
    <w:rsid w:val="00EC0293"/>
    <w:rsid w:val="00EC0C84"/>
    <w:rsid w:val="00EC1648"/>
    <w:rsid w:val="00EC26E4"/>
    <w:rsid w:val="00EC2A40"/>
    <w:rsid w:val="00EC39C3"/>
    <w:rsid w:val="00EC3F6B"/>
    <w:rsid w:val="00EC456C"/>
    <w:rsid w:val="00EC4CCF"/>
    <w:rsid w:val="00EC4DBF"/>
    <w:rsid w:val="00EC4F4A"/>
    <w:rsid w:val="00EC5280"/>
    <w:rsid w:val="00EC6493"/>
    <w:rsid w:val="00EC6558"/>
    <w:rsid w:val="00EC6E89"/>
    <w:rsid w:val="00EC726B"/>
    <w:rsid w:val="00EC76F0"/>
    <w:rsid w:val="00EC78BF"/>
    <w:rsid w:val="00EC7CA4"/>
    <w:rsid w:val="00ED14F5"/>
    <w:rsid w:val="00ED159A"/>
    <w:rsid w:val="00ED188C"/>
    <w:rsid w:val="00ED19C7"/>
    <w:rsid w:val="00ED2009"/>
    <w:rsid w:val="00ED219E"/>
    <w:rsid w:val="00ED27DC"/>
    <w:rsid w:val="00ED29EF"/>
    <w:rsid w:val="00ED42BA"/>
    <w:rsid w:val="00ED59A7"/>
    <w:rsid w:val="00ED7195"/>
    <w:rsid w:val="00ED7ABA"/>
    <w:rsid w:val="00EE0C47"/>
    <w:rsid w:val="00EE0E12"/>
    <w:rsid w:val="00EE16FF"/>
    <w:rsid w:val="00EE1C33"/>
    <w:rsid w:val="00EE302A"/>
    <w:rsid w:val="00EE3365"/>
    <w:rsid w:val="00EE41B3"/>
    <w:rsid w:val="00EE4706"/>
    <w:rsid w:val="00EE4BAC"/>
    <w:rsid w:val="00EE5779"/>
    <w:rsid w:val="00EE5FD2"/>
    <w:rsid w:val="00EE66D7"/>
    <w:rsid w:val="00EE6892"/>
    <w:rsid w:val="00EE69E5"/>
    <w:rsid w:val="00EE6D69"/>
    <w:rsid w:val="00EF13D6"/>
    <w:rsid w:val="00EF20C0"/>
    <w:rsid w:val="00EF2110"/>
    <w:rsid w:val="00EF2B85"/>
    <w:rsid w:val="00EF2C9F"/>
    <w:rsid w:val="00EF2CDA"/>
    <w:rsid w:val="00EF338A"/>
    <w:rsid w:val="00EF422A"/>
    <w:rsid w:val="00EF44A9"/>
    <w:rsid w:val="00EF6ED0"/>
    <w:rsid w:val="00EF74EC"/>
    <w:rsid w:val="00EF7CCF"/>
    <w:rsid w:val="00F00697"/>
    <w:rsid w:val="00F00E05"/>
    <w:rsid w:val="00F00E78"/>
    <w:rsid w:val="00F016E3"/>
    <w:rsid w:val="00F02028"/>
    <w:rsid w:val="00F022B5"/>
    <w:rsid w:val="00F02324"/>
    <w:rsid w:val="00F029EF"/>
    <w:rsid w:val="00F035E6"/>
    <w:rsid w:val="00F038F4"/>
    <w:rsid w:val="00F04789"/>
    <w:rsid w:val="00F047B8"/>
    <w:rsid w:val="00F047CA"/>
    <w:rsid w:val="00F04FB6"/>
    <w:rsid w:val="00F05BE4"/>
    <w:rsid w:val="00F103FB"/>
    <w:rsid w:val="00F11656"/>
    <w:rsid w:val="00F12D68"/>
    <w:rsid w:val="00F12E56"/>
    <w:rsid w:val="00F1387C"/>
    <w:rsid w:val="00F15F79"/>
    <w:rsid w:val="00F16AFB"/>
    <w:rsid w:val="00F20A0B"/>
    <w:rsid w:val="00F22176"/>
    <w:rsid w:val="00F22994"/>
    <w:rsid w:val="00F23142"/>
    <w:rsid w:val="00F23193"/>
    <w:rsid w:val="00F23D37"/>
    <w:rsid w:val="00F24743"/>
    <w:rsid w:val="00F24EB7"/>
    <w:rsid w:val="00F262AB"/>
    <w:rsid w:val="00F26C5D"/>
    <w:rsid w:val="00F26F7A"/>
    <w:rsid w:val="00F323D3"/>
    <w:rsid w:val="00F324AB"/>
    <w:rsid w:val="00F3272C"/>
    <w:rsid w:val="00F32932"/>
    <w:rsid w:val="00F32F8C"/>
    <w:rsid w:val="00F347D4"/>
    <w:rsid w:val="00F352B4"/>
    <w:rsid w:val="00F355D7"/>
    <w:rsid w:val="00F3571E"/>
    <w:rsid w:val="00F35B49"/>
    <w:rsid w:val="00F36B50"/>
    <w:rsid w:val="00F37301"/>
    <w:rsid w:val="00F3740A"/>
    <w:rsid w:val="00F37D66"/>
    <w:rsid w:val="00F41242"/>
    <w:rsid w:val="00F41A8E"/>
    <w:rsid w:val="00F41D59"/>
    <w:rsid w:val="00F41F95"/>
    <w:rsid w:val="00F42192"/>
    <w:rsid w:val="00F42305"/>
    <w:rsid w:val="00F428AA"/>
    <w:rsid w:val="00F428BF"/>
    <w:rsid w:val="00F42A0E"/>
    <w:rsid w:val="00F435F4"/>
    <w:rsid w:val="00F43E24"/>
    <w:rsid w:val="00F44F3A"/>
    <w:rsid w:val="00F47090"/>
    <w:rsid w:val="00F47677"/>
    <w:rsid w:val="00F47882"/>
    <w:rsid w:val="00F47F13"/>
    <w:rsid w:val="00F50571"/>
    <w:rsid w:val="00F50E18"/>
    <w:rsid w:val="00F51636"/>
    <w:rsid w:val="00F518E8"/>
    <w:rsid w:val="00F51B7D"/>
    <w:rsid w:val="00F5230F"/>
    <w:rsid w:val="00F526AB"/>
    <w:rsid w:val="00F55001"/>
    <w:rsid w:val="00F55418"/>
    <w:rsid w:val="00F55666"/>
    <w:rsid w:val="00F558AC"/>
    <w:rsid w:val="00F55A60"/>
    <w:rsid w:val="00F571B9"/>
    <w:rsid w:val="00F6044C"/>
    <w:rsid w:val="00F609F0"/>
    <w:rsid w:val="00F61E7E"/>
    <w:rsid w:val="00F629D4"/>
    <w:rsid w:val="00F62AC4"/>
    <w:rsid w:val="00F62C38"/>
    <w:rsid w:val="00F62DB3"/>
    <w:rsid w:val="00F64850"/>
    <w:rsid w:val="00F64B52"/>
    <w:rsid w:val="00F65188"/>
    <w:rsid w:val="00F66814"/>
    <w:rsid w:val="00F6757E"/>
    <w:rsid w:val="00F67F45"/>
    <w:rsid w:val="00F70726"/>
    <w:rsid w:val="00F714E0"/>
    <w:rsid w:val="00F728AD"/>
    <w:rsid w:val="00F73874"/>
    <w:rsid w:val="00F73C40"/>
    <w:rsid w:val="00F75569"/>
    <w:rsid w:val="00F75867"/>
    <w:rsid w:val="00F75A8B"/>
    <w:rsid w:val="00F75DCF"/>
    <w:rsid w:val="00F75E2F"/>
    <w:rsid w:val="00F763A4"/>
    <w:rsid w:val="00F763C1"/>
    <w:rsid w:val="00F766A9"/>
    <w:rsid w:val="00F767BC"/>
    <w:rsid w:val="00F80B54"/>
    <w:rsid w:val="00F8160C"/>
    <w:rsid w:val="00F8246D"/>
    <w:rsid w:val="00F82B6E"/>
    <w:rsid w:val="00F84193"/>
    <w:rsid w:val="00F844DE"/>
    <w:rsid w:val="00F84D62"/>
    <w:rsid w:val="00F854BD"/>
    <w:rsid w:val="00F85B9F"/>
    <w:rsid w:val="00F86ADA"/>
    <w:rsid w:val="00F86EE1"/>
    <w:rsid w:val="00F876A8"/>
    <w:rsid w:val="00F91124"/>
    <w:rsid w:val="00F9135C"/>
    <w:rsid w:val="00F91F05"/>
    <w:rsid w:val="00F94828"/>
    <w:rsid w:val="00F95AC3"/>
    <w:rsid w:val="00F95DED"/>
    <w:rsid w:val="00F96465"/>
    <w:rsid w:val="00F96766"/>
    <w:rsid w:val="00F96A88"/>
    <w:rsid w:val="00F96BB8"/>
    <w:rsid w:val="00F96DC5"/>
    <w:rsid w:val="00F9719B"/>
    <w:rsid w:val="00FA1AAF"/>
    <w:rsid w:val="00FA1E16"/>
    <w:rsid w:val="00FA38EC"/>
    <w:rsid w:val="00FA454B"/>
    <w:rsid w:val="00FA4790"/>
    <w:rsid w:val="00FA49B6"/>
    <w:rsid w:val="00FA4BE7"/>
    <w:rsid w:val="00FA4E7B"/>
    <w:rsid w:val="00FA668D"/>
    <w:rsid w:val="00FA6EE6"/>
    <w:rsid w:val="00FB01F7"/>
    <w:rsid w:val="00FB0C54"/>
    <w:rsid w:val="00FB2F79"/>
    <w:rsid w:val="00FB3356"/>
    <w:rsid w:val="00FB3A61"/>
    <w:rsid w:val="00FB451F"/>
    <w:rsid w:val="00FB5240"/>
    <w:rsid w:val="00FB5769"/>
    <w:rsid w:val="00FB6628"/>
    <w:rsid w:val="00FB69B1"/>
    <w:rsid w:val="00FB721B"/>
    <w:rsid w:val="00FB78EA"/>
    <w:rsid w:val="00FB7C7A"/>
    <w:rsid w:val="00FB7EE8"/>
    <w:rsid w:val="00FC10A8"/>
    <w:rsid w:val="00FC147B"/>
    <w:rsid w:val="00FC1AD6"/>
    <w:rsid w:val="00FC2A68"/>
    <w:rsid w:val="00FC2B02"/>
    <w:rsid w:val="00FC2B52"/>
    <w:rsid w:val="00FC308F"/>
    <w:rsid w:val="00FC3D37"/>
    <w:rsid w:val="00FC4677"/>
    <w:rsid w:val="00FC467B"/>
    <w:rsid w:val="00FC4769"/>
    <w:rsid w:val="00FC5E09"/>
    <w:rsid w:val="00FC5EED"/>
    <w:rsid w:val="00FC7BD6"/>
    <w:rsid w:val="00FD058F"/>
    <w:rsid w:val="00FD1A19"/>
    <w:rsid w:val="00FD497C"/>
    <w:rsid w:val="00FD76B4"/>
    <w:rsid w:val="00FD7AFC"/>
    <w:rsid w:val="00FE2415"/>
    <w:rsid w:val="00FE2BEE"/>
    <w:rsid w:val="00FE319E"/>
    <w:rsid w:val="00FE3A87"/>
    <w:rsid w:val="00FE3D31"/>
    <w:rsid w:val="00FE45D6"/>
    <w:rsid w:val="00FE4AF8"/>
    <w:rsid w:val="00FE5677"/>
    <w:rsid w:val="00FE572B"/>
    <w:rsid w:val="00FE753F"/>
    <w:rsid w:val="00FE7C4A"/>
    <w:rsid w:val="00FF059C"/>
    <w:rsid w:val="00FF0A34"/>
    <w:rsid w:val="00FF25D4"/>
    <w:rsid w:val="00FF4AEB"/>
    <w:rsid w:val="00FF5891"/>
    <w:rsid w:val="00FF60C3"/>
    <w:rsid w:val="00FF6619"/>
    <w:rsid w:val="00FF70C5"/>
    <w:rsid w:val="00FF7DEE"/>
    <w:rsid w:val="00FF7F75"/>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0CD3DA6E"/>
  <w15:docId w15:val="{0D56D57D-60B8-4140-9167-EA882DB12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55E8F"/>
    <w:pPr>
      <w:spacing w:before="120" w:after="0" w:line="360" w:lineRule="auto"/>
      <w:jc w:val="both"/>
    </w:pPr>
  </w:style>
  <w:style w:type="paragraph" w:styleId="Heading1">
    <w:name w:val="heading 1"/>
    <w:basedOn w:val="Normal"/>
    <w:next w:val="Normal"/>
    <w:link w:val="Heading1Char"/>
    <w:uiPriority w:val="9"/>
    <w:qFormat/>
    <w:rsid w:val="001B401C"/>
    <w:pPr>
      <w:keepNext/>
      <w:keepLines/>
      <w:numPr>
        <w:numId w:val="5"/>
      </w:numPr>
      <w:spacing w:before="240" w:after="120"/>
      <w:outlineLvl w:val="0"/>
    </w:pPr>
    <w:rPr>
      <w:rFonts w:asciiTheme="majorHAnsi" w:eastAsia="Times New Roman" w:hAnsiTheme="majorHAnsi" w:cstheme="majorBidi"/>
      <w:b/>
      <w:bCs/>
      <w:caps/>
      <w:color w:val="17365D"/>
      <w:sz w:val="28"/>
      <w:szCs w:val="28"/>
      <w:lang w:val="en-GB"/>
    </w:rPr>
  </w:style>
  <w:style w:type="paragraph" w:styleId="Heading2">
    <w:name w:val="heading 2"/>
    <w:basedOn w:val="Heading1"/>
    <w:next w:val="Normal"/>
    <w:link w:val="Heading2Char"/>
    <w:uiPriority w:val="9"/>
    <w:unhideWhenUsed/>
    <w:qFormat/>
    <w:rsid w:val="001B401C"/>
    <w:pPr>
      <w:numPr>
        <w:ilvl w:val="1"/>
      </w:numPr>
      <w:tabs>
        <w:tab w:val="left" w:pos="993"/>
      </w:tabs>
      <w:outlineLvl w:val="1"/>
    </w:pPr>
    <w:rPr>
      <w:color w:val="auto"/>
    </w:rPr>
  </w:style>
  <w:style w:type="paragraph" w:styleId="Heading3">
    <w:name w:val="heading 3"/>
    <w:basedOn w:val="Heading2"/>
    <w:next w:val="Normal"/>
    <w:link w:val="Heading3Char"/>
    <w:uiPriority w:val="9"/>
    <w:unhideWhenUsed/>
    <w:qFormat/>
    <w:rsid w:val="001B401C"/>
    <w:pPr>
      <w:numPr>
        <w:ilvl w:val="2"/>
      </w:numPr>
      <w:outlineLvl w:val="2"/>
    </w:pPr>
  </w:style>
  <w:style w:type="paragraph" w:styleId="Heading4">
    <w:name w:val="heading 4"/>
    <w:aliases w:val="Subseção"/>
    <w:basedOn w:val="Normal"/>
    <w:next w:val="Normal"/>
    <w:link w:val="Heading4Char"/>
    <w:uiPriority w:val="9"/>
    <w:unhideWhenUsed/>
    <w:qFormat/>
    <w:rsid w:val="00572F61"/>
    <w:pPr>
      <w:spacing w:before="0" w:after="120"/>
      <w:outlineLvl w:val="3"/>
    </w:pPr>
    <w:rPr>
      <w:b/>
      <w:color w:val="00B050"/>
    </w:rPr>
  </w:style>
  <w:style w:type="paragraph" w:styleId="Heading5">
    <w:name w:val="heading 5"/>
    <w:basedOn w:val="Normal"/>
    <w:next w:val="Normal"/>
    <w:link w:val="Heading5Char"/>
    <w:uiPriority w:val="9"/>
    <w:semiHidden/>
    <w:unhideWhenUsed/>
    <w:rsid w:val="00D21B9F"/>
    <w:pPr>
      <w:keepNext/>
      <w:keepLines/>
      <w:numPr>
        <w:ilvl w:val="4"/>
        <w:numId w:val="1"/>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D21B9F"/>
    <w:pPr>
      <w:keepNext/>
      <w:keepLines/>
      <w:numPr>
        <w:ilvl w:val="5"/>
        <w:numId w:val="1"/>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D21B9F"/>
    <w:pPr>
      <w:keepNext/>
      <w:keepLines/>
      <w:numPr>
        <w:ilvl w:val="6"/>
        <w:numId w:val="1"/>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21B9F"/>
    <w:pPr>
      <w:keepNext/>
      <w:keepLines/>
      <w:numPr>
        <w:ilvl w:val="7"/>
        <w:numId w:val="1"/>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D21B9F"/>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LightList1">
    <w:name w:val="Light List1"/>
    <w:basedOn w:val="TableNormal"/>
    <w:uiPriority w:val="61"/>
    <w:rsid w:val="00D20B0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hps">
    <w:name w:val="hps"/>
    <w:basedOn w:val="DefaultParagraphFont"/>
    <w:rsid w:val="004B23C3"/>
  </w:style>
  <w:style w:type="character" w:customStyle="1" w:styleId="Ttulo3Char">
    <w:name w:val="Título 3 Char"/>
    <w:basedOn w:val="DefaultParagraphFont"/>
    <w:uiPriority w:val="9"/>
    <w:rsid w:val="00CE6301"/>
    <w:rPr>
      <w:b/>
      <w:color w:val="1F497D" w:themeColor="text2"/>
      <w:lang w:eastAsia="zh-CN"/>
    </w:rPr>
  </w:style>
  <w:style w:type="character" w:styleId="PlaceholderText">
    <w:name w:val="Placeholder Text"/>
    <w:basedOn w:val="DefaultParagraphFont"/>
    <w:uiPriority w:val="99"/>
    <w:semiHidden/>
    <w:rsid w:val="001E5B59"/>
    <w:rPr>
      <w:color w:val="808080"/>
    </w:rPr>
  </w:style>
  <w:style w:type="paragraph" w:styleId="BalloonText">
    <w:name w:val="Balloon Text"/>
    <w:basedOn w:val="Normal"/>
    <w:link w:val="BalloonTextChar"/>
    <w:uiPriority w:val="99"/>
    <w:unhideWhenUsed/>
    <w:rsid w:val="001E5B59"/>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1E5B59"/>
    <w:rPr>
      <w:rFonts w:ascii="Tahoma" w:hAnsi="Tahoma" w:cs="Tahoma"/>
      <w:sz w:val="16"/>
      <w:szCs w:val="16"/>
    </w:rPr>
  </w:style>
  <w:style w:type="paragraph" w:styleId="FootnoteText">
    <w:name w:val="footnote text"/>
    <w:basedOn w:val="Normal"/>
    <w:link w:val="FootnoteTextChar"/>
    <w:uiPriority w:val="99"/>
    <w:unhideWhenUsed/>
    <w:rsid w:val="001E5B59"/>
    <w:pPr>
      <w:spacing w:line="240" w:lineRule="auto"/>
    </w:pPr>
    <w:rPr>
      <w:sz w:val="20"/>
      <w:szCs w:val="20"/>
    </w:rPr>
  </w:style>
  <w:style w:type="character" w:customStyle="1" w:styleId="FootnoteTextChar">
    <w:name w:val="Footnote Text Char"/>
    <w:basedOn w:val="DefaultParagraphFont"/>
    <w:link w:val="FootnoteText"/>
    <w:uiPriority w:val="99"/>
    <w:rsid w:val="001E5B59"/>
    <w:rPr>
      <w:sz w:val="20"/>
      <w:szCs w:val="20"/>
    </w:rPr>
  </w:style>
  <w:style w:type="character" w:styleId="FootnoteReference">
    <w:name w:val="footnote reference"/>
    <w:basedOn w:val="DefaultParagraphFont"/>
    <w:uiPriority w:val="99"/>
    <w:unhideWhenUsed/>
    <w:rsid w:val="001E5B59"/>
    <w:rPr>
      <w:vertAlign w:val="superscript"/>
    </w:rPr>
  </w:style>
  <w:style w:type="character" w:customStyle="1" w:styleId="Ttulo2Char">
    <w:name w:val="Título 2 Char"/>
    <w:basedOn w:val="DefaultParagraphFont"/>
    <w:uiPriority w:val="9"/>
    <w:rsid w:val="00D15467"/>
    <w:rPr>
      <w:rFonts w:eastAsia="SimSun"/>
      <w:bCs/>
      <w:iCs/>
      <w:szCs w:val="20"/>
    </w:rPr>
  </w:style>
  <w:style w:type="paragraph" w:styleId="ListParagraph">
    <w:name w:val="List Paragraph"/>
    <w:aliases w:val="Marcadores"/>
    <w:basedOn w:val="OCEBullet"/>
    <w:link w:val="ListParagraphChar"/>
    <w:uiPriority w:val="34"/>
    <w:qFormat/>
    <w:rsid w:val="008300D5"/>
    <w:pPr>
      <w:keepLines/>
      <w:numPr>
        <w:numId w:val="8"/>
      </w:numPr>
      <w:pBdr>
        <w:top w:val="none" w:sz="0" w:space="0" w:color="auto"/>
        <w:left w:val="none" w:sz="0" w:space="0" w:color="auto"/>
        <w:bottom w:val="none" w:sz="0" w:space="0" w:color="auto"/>
        <w:right w:val="none" w:sz="0" w:space="0" w:color="auto"/>
        <w:between w:val="none" w:sz="0" w:space="0" w:color="auto"/>
        <w:bar w:val="none" w:sz="0" w:color="auto"/>
      </w:pBdr>
    </w:pPr>
    <w:rPr>
      <w:rFonts w:asciiTheme="majorHAnsi" w:hAnsiTheme="majorHAnsi"/>
    </w:rPr>
  </w:style>
  <w:style w:type="paragraph" w:customStyle="1" w:styleId="bodytextfp">
    <w:name w:val="bodytextfp"/>
    <w:basedOn w:val="Normal"/>
    <w:rsid w:val="00884E2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
    <w:name w:val="bodytext"/>
    <w:basedOn w:val="Normal"/>
    <w:rsid w:val="00884E21"/>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84E21"/>
    <w:rPr>
      <w:color w:val="0000FF"/>
      <w:u w:val="single"/>
    </w:rPr>
  </w:style>
  <w:style w:type="paragraph" w:styleId="NormalWeb">
    <w:name w:val="Normal (Web)"/>
    <w:basedOn w:val="Normal"/>
    <w:uiPriority w:val="99"/>
    <w:semiHidden/>
    <w:unhideWhenUsed/>
    <w:rsid w:val="003D3786"/>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6D22FB"/>
    <w:pPr>
      <w:tabs>
        <w:tab w:val="center" w:pos="4252"/>
        <w:tab w:val="right" w:pos="8504"/>
      </w:tabs>
      <w:spacing w:line="240" w:lineRule="auto"/>
    </w:pPr>
  </w:style>
  <w:style w:type="character" w:customStyle="1" w:styleId="HeaderChar">
    <w:name w:val="Header Char"/>
    <w:basedOn w:val="DefaultParagraphFont"/>
    <w:link w:val="Header"/>
    <w:uiPriority w:val="99"/>
    <w:rsid w:val="006D22FB"/>
  </w:style>
  <w:style w:type="paragraph" w:styleId="Footer">
    <w:name w:val="footer"/>
    <w:basedOn w:val="Normal"/>
    <w:link w:val="FooterChar"/>
    <w:uiPriority w:val="99"/>
    <w:unhideWhenUsed/>
    <w:rsid w:val="006D22FB"/>
    <w:pPr>
      <w:tabs>
        <w:tab w:val="center" w:pos="4252"/>
        <w:tab w:val="right" w:pos="8504"/>
      </w:tabs>
      <w:spacing w:line="240" w:lineRule="auto"/>
    </w:pPr>
  </w:style>
  <w:style w:type="character" w:customStyle="1" w:styleId="FooterChar">
    <w:name w:val="Footer Char"/>
    <w:basedOn w:val="DefaultParagraphFont"/>
    <w:link w:val="Footer"/>
    <w:uiPriority w:val="99"/>
    <w:rsid w:val="006D22FB"/>
  </w:style>
  <w:style w:type="character" w:styleId="PageNumber">
    <w:name w:val="page number"/>
    <w:basedOn w:val="DefaultParagraphFont"/>
    <w:rsid w:val="00EC1648"/>
  </w:style>
  <w:style w:type="character" w:styleId="CommentReference">
    <w:name w:val="annotation reference"/>
    <w:basedOn w:val="DefaultParagraphFont"/>
    <w:uiPriority w:val="99"/>
    <w:unhideWhenUsed/>
    <w:rsid w:val="00115DAC"/>
    <w:rPr>
      <w:sz w:val="16"/>
      <w:szCs w:val="16"/>
    </w:rPr>
  </w:style>
  <w:style w:type="paragraph" w:styleId="CommentText">
    <w:name w:val="annotation text"/>
    <w:basedOn w:val="Normal"/>
    <w:link w:val="CommentTextChar"/>
    <w:uiPriority w:val="99"/>
    <w:unhideWhenUsed/>
    <w:rsid w:val="00115DAC"/>
    <w:pPr>
      <w:spacing w:line="240" w:lineRule="auto"/>
    </w:pPr>
    <w:rPr>
      <w:sz w:val="20"/>
      <w:szCs w:val="20"/>
    </w:rPr>
  </w:style>
  <w:style w:type="character" w:customStyle="1" w:styleId="CommentTextChar">
    <w:name w:val="Comment Text Char"/>
    <w:basedOn w:val="DefaultParagraphFont"/>
    <w:link w:val="CommentText"/>
    <w:uiPriority w:val="99"/>
    <w:rsid w:val="00115DAC"/>
    <w:rPr>
      <w:sz w:val="20"/>
      <w:szCs w:val="20"/>
    </w:rPr>
  </w:style>
  <w:style w:type="paragraph" w:styleId="CommentSubject">
    <w:name w:val="annotation subject"/>
    <w:basedOn w:val="CommentText"/>
    <w:next w:val="CommentText"/>
    <w:link w:val="CommentSubjectChar"/>
    <w:uiPriority w:val="99"/>
    <w:semiHidden/>
    <w:unhideWhenUsed/>
    <w:rsid w:val="00115DAC"/>
    <w:rPr>
      <w:b/>
      <w:bCs/>
    </w:rPr>
  </w:style>
  <w:style w:type="character" w:customStyle="1" w:styleId="CommentSubjectChar">
    <w:name w:val="Comment Subject Char"/>
    <w:basedOn w:val="CommentTextChar"/>
    <w:link w:val="CommentSubject"/>
    <w:uiPriority w:val="99"/>
    <w:semiHidden/>
    <w:rsid w:val="00115DAC"/>
    <w:rPr>
      <w:b/>
      <w:bCs/>
      <w:sz w:val="20"/>
      <w:szCs w:val="20"/>
    </w:rPr>
  </w:style>
  <w:style w:type="paragraph" w:styleId="Caption">
    <w:name w:val="caption"/>
    <w:basedOn w:val="Normal"/>
    <w:next w:val="Normal"/>
    <w:link w:val="CaptionChar"/>
    <w:uiPriority w:val="99"/>
    <w:unhideWhenUsed/>
    <w:qFormat/>
    <w:rsid w:val="00435CF6"/>
    <w:pPr>
      <w:keepNext/>
      <w:spacing w:after="240"/>
      <w:jc w:val="center"/>
    </w:pPr>
    <w:rPr>
      <w:rFonts w:asciiTheme="majorHAnsi" w:eastAsiaTheme="minorHAnsi" w:hAnsiTheme="majorHAnsi"/>
      <w:b/>
      <w:sz w:val="20"/>
      <w:lang w:eastAsia="en-US"/>
    </w:rPr>
  </w:style>
  <w:style w:type="character" w:customStyle="1" w:styleId="Ttulo1Char">
    <w:name w:val="Título 1 Char"/>
    <w:basedOn w:val="DefaultParagraphFont"/>
    <w:uiPriority w:val="9"/>
    <w:rsid w:val="00CE6301"/>
    <w:rPr>
      <w:b/>
      <w:smallCaps/>
      <w:color w:val="1F497D" w:themeColor="text2"/>
      <w:sz w:val="28"/>
      <w:szCs w:val="28"/>
      <w:lang w:eastAsia="zh-CN"/>
    </w:rPr>
  </w:style>
  <w:style w:type="paragraph" w:styleId="Revision">
    <w:name w:val="Revision"/>
    <w:hidden/>
    <w:uiPriority w:val="99"/>
    <w:semiHidden/>
    <w:rsid w:val="00ED7ABA"/>
    <w:pPr>
      <w:spacing w:after="0" w:line="240" w:lineRule="auto"/>
    </w:pPr>
  </w:style>
  <w:style w:type="character" w:customStyle="1" w:styleId="Ttulo4Char">
    <w:name w:val="Título 4 Char"/>
    <w:basedOn w:val="DefaultParagraphFont"/>
    <w:uiPriority w:val="9"/>
    <w:rsid w:val="00CE6301"/>
    <w:rPr>
      <w:b/>
      <w:color w:val="00B050"/>
    </w:rPr>
  </w:style>
  <w:style w:type="character" w:customStyle="1" w:styleId="Heading5Char">
    <w:name w:val="Heading 5 Char"/>
    <w:basedOn w:val="DefaultParagraphFont"/>
    <w:link w:val="Heading5"/>
    <w:uiPriority w:val="9"/>
    <w:semiHidden/>
    <w:rsid w:val="00D21B9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D21B9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D21B9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21B9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D21B9F"/>
    <w:rPr>
      <w:rFonts w:asciiTheme="majorHAnsi" w:eastAsiaTheme="majorEastAsia" w:hAnsiTheme="majorHAnsi" w:cstheme="majorBidi"/>
      <w:i/>
      <w:iCs/>
      <w:color w:val="404040" w:themeColor="text1" w:themeTint="BF"/>
      <w:sz w:val="20"/>
      <w:szCs w:val="20"/>
    </w:rPr>
  </w:style>
  <w:style w:type="character" w:customStyle="1" w:styleId="st1">
    <w:name w:val="st1"/>
    <w:basedOn w:val="DefaultParagraphFont"/>
    <w:rsid w:val="00CA1FD6"/>
  </w:style>
  <w:style w:type="character" w:styleId="FollowedHyperlink">
    <w:name w:val="FollowedHyperlink"/>
    <w:basedOn w:val="DefaultParagraphFont"/>
    <w:uiPriority w:val="99"/>
    <w:semiHidden/>
    <w:unhideWhenUsed/>
    <w:rsid w:val="004B07E6"/>
    <w:rPr>
      <w:color w:val="800080" w:themeColor="followedHyperlink"/>
      <w:u w:val="single"/>
    </w:rPr>
  </w:style>
  <w:style w:type="paragraph" w:styleId="EndnoteText">
    <w:name w:val="endnote text"/>
    <w:basedOn w:val="Normal"/>
    <w:link w:val="EndnoteTextChar"/>
    <w:uiPriority w:val="99"/>
    <w:semiHidden/>
    <w:unhideWhenUsed/>
    <w:rsid w:val="00714461"/>
    <w:pPr>
      <w:spacing w:before="0" w:line="240" w:lineRule="auto"/>
    </w:pPr>
    <w:rPr>
      <w:sz w:val="20"/>
      <w:szCs w:val="20"/>
    </w:rPr>
  </w:style>
  <w:style w:type="character" w:customStyle="1" w:styleId="EndnoteTextChar">
    <w:name w:val="Endnote Text Char"/>
    <w:basedOn w:val="DefaultParagraphFont"/>
    <w:link w:val="EndnoteText"/>
    <w:uiPriority w:val="99"/>
    <w:semiHidden/>
    <w:rsid w:val="00714461"/>
    <w:rPr>
      <w:sz w:val="20"/>
      <w:szCs w:val="20"/>
    </w:rPr>
  </w:style>
  <w:style w:type="character" w:styleId="EndnoteReference">
    <w:name w:val="endnote reference"/>
    <w:basedOn w:val="DefaultParagraphFont"/>
    <w:uiPriority w:val="99"/>
    <w:semiHidden/>
    <w:unhideWhenUsed/>
    <w:rsid w:val="00714461"/>
    <w:rPr>
      <w:vertAlign w:val="superscript"/>
    </w:rPr>
  </w:style>
  <w:style w:type="paragraph" w:styleId="DocumentMap">
    <w:name w:val="Document Map"/>
    <w:basedOn w:val="Normal"/>
    <w:link w:val="DocumentMapChar"/>
    <w:uiPriority w:val="99"/>
    <w:semiHidden/>
    <w:unhideWhenUsed/>
    <w:rsid w:val="00C91AD3"/>
    <w:pPr>
      <w:spacing w:before="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C91AD3"/>
    <w:rPr>
      <w:rFonts w:ascii="Lucida Grande" w:hAnsi="Lucida Grande" w:cs="Lucida Grande"/>
      <w:sz w:val="24"/>
      <w:szCs w:val="24"/>
    </w:rPr>
  </w:style>
  <w:style w:type="paragraph" w:customStyle="1" w:styleId="tit">
    <w:name w:val=". tit"/>
    <w:basedOn w:val="ListParagraph"/>
    <w:link w:val="titChar"/>
    <w:rsid w:val="00F103FB"/>
    <w:pPr>
      <w:numPr>
        <w:numId w:val="2"/>
      </w:numPr>
    </w:pPr>
  </w:style>
  <w:style w:type="character" w:customStyle="1" w:styleId="titChar">
    <w:name w:val=". tit Char"/>
    <w:link w:val="tit"/>
    <w:rsid w:val="00F103FB"/>
    <w:rPr>
      <w:rFonts w:asciiTheme="majorHAnsi" w:eastAsia="Calibri" w:hAnsiTheme="majorHAnsi" w:cs="Calibri"/>
      <w:color w:val="000000"/>
      <w:u w:color="000000"/>
      <w:bdr w:val="nil"/>
      <w:lang w:val="pt-PT" w:eastAsia="zh-CN"/>
    </w:rPr>
  </w:style>
  <w:style w:type="character" w:customStyle="1" w:styleId="OCPRelTitulo">
    <w:name w:val="OCP Rel Titulo"/>
    <w:rsid w:val="007919D4"/>
    <w:rPr>
      <w:u w:val="single"/>
    </w:rPr>
  </w:style>
  <w:style w:type="paragraph" w:styleId="TOCHeading">
    <w:name w:val="TOC Heading"/>
    <w:basedOn w:val="Normal"/>
    <w:next w:val="Normal"/>
    <w:uiPriority w:val="39"/>
    <w:unhideWhenUsed/>
    <w:rsid w:val="0040147E"/>
    <w:pPr>
      <w:keepNext/>
      <w:keepLines/>
      <w:tabs>
        <w:tab w:val="num" w:pos="705"/>
      </w:tabs>
      <w:spacing w:before="480" w:line="276" w:lineRule="auto"/>
      <w:ind w:left="705" w:hanging="705"/>
      <w:jc w:val="left"/>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9B50F4"/>
    <w:pPr>
      <w:tabs>
        <w:tab w:val="left" w:pos="390"/>
        <w:tab w:val="right" w:leader="dot" w:pos="9060"/>
      </w:tabs>
      <w:spacing w:after="120" w:line="240" w:lineRule="auto"/>
      <w:jc w:val="left"/>
    </w:pPr>
    <w:rPr>
      <w:rFonts w:ascii="Cambria" w:hAnsi="Cambria"/>
      <w:b/>
      <w:bCs/>
      <w:caps/>
      <w:noProof/>
      <w:lang w:val="en-GB"/>
    </w:rPr>
  </w:style>
  <w:style w:type="table" w:styleId="TableGrid">
    <w:name w:val="Table Grid"/>
    <w:basedOn w:val="TableNormal"/>
    <w:uiPriority w:val="59"/>
    <w:rsid w:val="0040147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9B50F4"/>
    <w:pPr>
      <w:spacing w:before="60" w:after="60" w:line="240" w:lineRule="auto"/>
      <w:ind w:left="425"/>
      <w:jc w:val="left"/>
    </w:pPr>
    <w:rPr>
      <w:rFonts w:ascii="Cambria" w:hAnsi="Cambria"/>
      <w:b/>
      <w:bCs/>
      <w:smallCaps/>
    </w:rPr>
  </w:style>
  <w:style w:type="table" w:customStyle="1" w:styleId="AAA">
    <w:name w:val="AAA"/>
    <w:basedOn w:val="TableNormal"/>
    <w:uiPriority w:val="99"/>
    <w:rsid w:val="00CC60F0"/>
    <w:pPr>
      <w:spacing w:after="0" w:line="240" w:lineRule="auto"/>
      <w:jc w:val="center"/>
    </w:pPr>
    <w:rPr>
      <w:color w:val="000000" w:themeColor="text1"/>
    </w:rPr>
    <w:tblPr>
      <w:tblStyleRowBandSize w:val="1"/>
      <w:tblBorders>
        <w:insideV w:val="single" w:sz="4" w:space="0" w:color="000000" w:themeColor="text1"/>
      </w:tblBorders>
    </w:tblPr>
    <w:tcPr>
      <w:vAlign w:val="center"/>
    </w:tcPr>
    <w:tblStylePr w:type="firstRow">
      <w:pPr>
        <w:jc w:val="center"/>
      </w:pPr>
      <w:rPr>
        <w:rFonts w:asciiTheme="minorHAnsi" w:hAnsiTheme="minorHAnsi"/>
        <w:b/>
        <w:color w:val="000000" w:themeColor="text1"/>
        <w:sz w:val="22"/>
      </w:rPr>
      <w:tblPr/>
      <w:tcPr>
        <w:tcBorders>
          <w:top w:val="nil"/>
          <w:left w:val="nil"/>
          <w:bottom w:val="single" w:sz="4" w:space="0" w:color="000000" w:themeColor="text1"/>
          <w:right w:val="nil"/>
          <w:insideH w:val="nil"/>
          <w:insideV w:val="single" w:sz="4" w:space="0" w:color="000000" w:themeColor="text1"/>
          <w:tl2br w:val="nil"/>
          <w:tr2bl w:val="nil"/>
        </w:tcBorders>
        <w:shd w:val="clear" w:color="auto" w:fill="BFBFBF" w:themeFill="background1" w:themeFillShade="BF"/>
      </w:tcPr>
    </w:tblStylePr>
    <w:tblStylePr w:type="band1Horz">
      <w:pPr>
        <w:jc w:val="center"/>
      </w:pPr>
      <w:rPr>
        <w:rFonts w:asciiTheme="minorHAnsi" w:hAnsiTheme="minorHAnsi"/>
        <w:color w:val="000000" w:themeColor="text1"/>
        <w:sz w:val="22"/>
      </w:rPr>
    </w:tblStylePr>
    <w:tblStylePr w:type="band2Horz">
      <w:pPr>
        <w:jc w:val="center"/>
      </w:pPr>
      <w:rPr>
        <w:rFonts w:asciiTheme="minorHAnsi" w:hAnsiTheme="minorHAnsi"/>
        <w:color w:val="000000" w:themeColor="text1"/>
        <w:sz w:val="22"/>
      </w:rPr>
      <w:tblPr/>
      <w:tcPr>
        <w:tcBorders>
          <w:top w:val="nil"/>
          <w:left w:val="nil"/>
          <w:bottom w:val="nil"/>
          <w:right w:val="nil"/>
          <w:insideH w:val="nil"/>
          <w:insideV w:val="single" w:sz="4" w:space="0" w:color="000000" w:themeColor="text1"/>
          <w:tl2br w:val="nil"/>
          <w:tr2bl w:val="nil"/>
        </w:tcBorders>
        <w:shd w:val="clear" w:color="auto" w:fill="F2F2F2" w:themeFill="background1" w:themeFillShade="F2"/>
      </w:tcPr>
    </w:tblStylePr>
  </w:style>
  <w:style w:type="table" w:customStyle="1" w:styleId="ListaMdia11">
    <w:name w:val="Lista Média 11"/>
    <w:basedOn w:val="TableNormal"/>
    <w:uiPriority w:val="65"/>
    <w:rsid w:val="00F86ADA"/>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character" w:styleId="BookTitle">
    <w:name w:val="Book Title"/>
    <w:basedOn w:val="DefaultParagraphFont"/>
    <w:uiPriority w:val="33"/>
    <w:qFormat/>
    <w:rsid w:val="00B934F4"/>
    <w:rPr>
      <w:b/>
      <w:bCs/>
      <w:smallCaps/>
      <w:spacing w:val="5"/>
    </w:rPr>
  </w:style>
  <w:style w:type="table" w:customStyle="1" w:styleId="SombreamentoClaro1">
    <w:name w:val="Sombreamento Claro1"/>
    <w:basedOn w:val="TableNormal"/>
    <w:uiPriority w:val="60"/>
    <w:rsid w:val="0053709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Ttulo2Char1">
    <w:name w:val="Título 2 Char1"/>
    <w:basedOn w:val="DefaultParagraphFont"/>
    <w:uiPriority w:val="9"/>
    <w:rsid w:val="00CE6301"/>
    <w:rPr>
      <w:b/>
      <w:smallCaps/>
      <w:color w:val="1F497D" w:themeColor="text2"/>
      <w:sz w:val="24"/>
      <w:szCs w:val="24"/>
      <w:lang w:eastAsia="zh-CN"/>
    </w:rPr>
  </w:style>
  <w:style w:type="numbering" w:customStyle="1" w:styleId="Estilo3">
    <w:name w:val="Estilo3"/>
    <w:uiPriority w:val="99"/>
    <w:rsid w:val="00D0170C"/>
    <w:pPr>
      <w:numPr>
        <w:numId w:val="3"/>
      </w:numPr>
    </w:pPr>
  </w:style>
  <w:style w:type="paragraph" w:styleId="NoSpacing">
    <w:name w:val="No Spacing"/>
    <w:basedOn w:val="Normal"/>
    <w:link w:val="NoSpacingChar"/>
    <w:uiPriority w:val="1"/>
    <w:qFormat/>
    <w:rsid w:val="00353B35"/>
    <w:pPr>
      <w:spacing w:before="0" w:line="240" w:lineRule="auto"/>
      <w:jc w:val="center"/>
    </w:pPr>
    <w:rPr>
      <w:rFonts w:ascii="Calibri" w:hAnsi="Calibri"/>
    </w:rPr>
  </w:style>
  <w:style w:type="table" w:customStyle="1" w:styleId="Ocean">
    <w:name w:val="Ocean"/>
    <w:basedOn w:val="TableNormal"/>
    <w:uiPriority w:val="99"/>
    <w:qFormat/>
    <w:rsid w:val="00690B8B"/>
    <w:pPr>
      <w:spacing w:after="0" w:line="240" w:lineRule="auto"/>
      <w:jc w:val="center"/>
    </w:pPr>
    <w:tblPr>
      <w:tblStyleRowBandSize w:val="1"/>
      <w:tblBorders>
        <w:top w:val="single" w:sz="12" w:space="0" w:color="FFFFFF" w:themeColor="background1"/>
        <w:insideH w:val="single" w:sz="18" w:space="0" w:color="FFFFFF" w:themeColor="background1"/>
        <w:insideV w:val="single" w:sz="18" w:space="0" w:color="FFFFFF" w:themeColor="background1"/>
      </w:tblBorders>
    </w:tblPr>
    <w:tcPr>
      <w:vAlign w:val="center"/>
    </w:tcPr>
    <w:tblStylePr w:type="firstRow">
      <w:pPr>
        <w:jc w:val="center"/>
      </w:pPr>
      <w:rPr>
        <w:rFonts w:ascii="Calibri" w:hAnsi="Calibri"/>
        <w:b/>
        <w:color w:val="FFFFFF" w:themeColor="background1"/>
        <w:sz w:val="22"/>
      </w:r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17365D" w:themeFill="text2" w:themeFillShade="BF"/>
      </w:tcPr>
    </w:tblStylePr>
    <w:tblStylePr w:type="band1Horz">
      <w:rPr>
        <w:rFonts w:ascii="Calibri" w:hAnsi="Calibri"/>
        <w:b w:val="0"/>
        <w:sz w:val="22"/>
      </w:r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D9D9D9" w:themeFill="background1" w:themeFillShade="D9"/>
      </w:tcPr>
    </w:tblStylePr>
    <w:tblStylePr w:type="band2Horz">
      <w:pPr>
        <w:jc w:val="center"/>
      </w:pPr>
      <w:tblPr/>
      <w:tcPr>
        <w:tcBorders>
          <w:top w:val="nil"/>
          <w:left w:val="nil"/>
          <w:bottom w:val="single" w:sz="12" w:space="0" w:color="FFFFFF" w:themeColor="background1"/>
          <w:right w:val="nil"/>
          <w:insideH w:val="single" w:sz="12" w:space="0" w:color="FFFFFF" w:themeColor="background1"/>
          <w:insideV w:val="single" w:sz="12" w:space="0" w:color="FFFFFF" w:themeColor="background1"/>
          <w:tl2br w:val="nil"/>
          <w:tr2bl w:val="nil"/>
        </w:tcBorders>
        <w:shd w:val="clear" w:color="auto" w:fill="D9D9D9" w:themeFill="background1" w:themeFillShade="D9"/>
      </w:tcPr>
    </w:tblStylePr>
  </w:style>
  <w:style w:type="paragraph" w:styleId="TableofFigures">
    <w:name w:val="table of figures"/>
    <w:basedOn w:val="Normal"/>
    <w:next w:val="Normal"/>
    <w:link w:val="TableofFiguresChar"/>
    <w:uiPriority w:val="99"/>
    <w:unhideWhenUsed/>
    <w:qFormat/>
    <w:rsid w:val="00FC10A8"/>
    <w:pPr>
      <w:spacing w:before="0"/>
      <w:jc w:val="left"/>
    </w:pPr>
    <w:rPr>
      <w:rFonts w:asciiTheme="majorHAnsi" w:hAnsiTheme="majorHAnsi"/>
      <w:i/>
      <w:iCs/>
      <w:szCs w:val="20"/>
    </w:rPr>
  </w:style>
  <w:style w:type="paragraph" w:styleId="TOC3">
    <w:name w:val="toc 3"/>
    <w:basedOn w:val="Normal"/>
    <w:next w:val="Normal"/>
    <w:autoRedefine/>
    <w:uiPriority w:val="39"/>
    <w:unhideWhenUsed/>
    <w:rsid w:val="009B50F4"/>
    <w:pPr>
      <w:spacing w:before="0"/>
      <w:ind w:left="567"/>
      <w:jc w:val="left"/>
    </w:pPr>
    <w:rPr>
      <w:rFonts w:ascii="Cambria" w:hAnsi="Cambria"/>
      <w:b/>
      <w:smallCaps/>
    </w:rPr>
  </w:style>
  <w:style w:type="character" w:customStyle="1" w:styleId="ExplicaoChar">
    <w:name w:val="Explicação Char"/>
    <w:basedOn w:val="DefaultParagraphFont"/>
    <w:rsid w:val="00264972"/>
    <w:rPr>
      <w:color w:val="1F497D" w:themeColor="text2"/>
      <w:lang w:eastAsia="zh-CN"/>
    </w:rPr>
  </w:style>
  <w:style w:type="paragraph" w:customStyle="1" w:styleId="Texto">
    <w:name w:val="Texto"/>
    <w:basedOn w:val="Normal"/>
    <w:link w:val="TextoChar"/>
    <w:qFormat/>
    <w:rsid w:val="00DA4EF4"/>
    <w:pPr>
      <w:spacing w:before="0" w:after="240"/>
    </w:pPr>
    <w:rPr>
      <w:rFonts w:cstheme="minorHAnsi"/>
      <w:szCs w:val="20"/>
    </w:rPr>
  </w:style>
  <w:style w:type="character" w:customStyle="1" w:styleId="TableofFiguresChar">
    <w:name w:val="Table of Figures Char"/>
    <w:basedOn w:val="DefaultParagraphFont"/>
    <w:link w:val="TableofFigures"/>
    <w:uiPriority w:val="99"/>
    <w:rsid w:val="00FC10A8"/>
    <w:rPr>
      <w:rFonts w:asciiTheme="majorHAnsi" w:hAnsiTheme="majorHAnsi"/>
      <w:i/>
      <w:iCs/>
      <w:szCs w:val="20"/>
    </w:rPr>
  </w:style>
  <w:style w:type="character" w:customStyle="1" w:styleId="NegritoVersaleteChar">
    <w:name w:val="NegritoVersalete Char"/>
    <w:basedOn w:val="TableofFiguresChar"/>
    <w:rsid w:val="00224F15"/>
    <w:rPr>
      <w:rFonts w:asciiTheme="majorHAnsi" w:hAnsiTheme="majorHAnsi"/>
      <w:b/>
      <w:i/>
      <w:iCs/>
      <w:smallCaps/>
      <w:color w:val="1F497D" w:themeColor="text2"/>
      <w:sz w:val="28"/>
      <w:szCs w:val="20"/>
    </w:rPr>
  </w:style>
  <w:style w:type="paragraph" w:customStyle="1" w:styleId="CabRod">
    <w:name w:val="CabRod"/>
    <w:basedOn w:val="Header"/>
    <w:link w:val="CabRodChar"/>
    <w:qFormat/>
    <w:rsid w:val="000725F9"/>
    <w:pPr>
      <w:spacing w:before="0" w:line="276" w:lineRule="auto"/>
      <w:jc w:val="center"/>
    </w:pPr>
    <w:rPr>
      <w:sz w:val="20"/>
    </w:rPr>
  </w:style>
  <w:style w:type="character" w:customStyle="1" w:styleId="TextoChar">
    <w:name w:val="Texto Char"/>
    <w:basedOn w:val="DefaultParagraphFont"/>
    <w:link w:val="Texto"/>
    <w:rsid w:val="00DA4EF4"/>
    <w:rPr>
      <w:rFonts w:cstheme="minorHAnsi"/>
      <w:szCs w:val="20"/>
    </w:rPr>
  </w:style>
  <w:style w:type="paragraph" w:customStyle="1" w:styleId="TextoTabela">
    <w:name w:val="TextoTabela"/>
    <w:basedOn w:val="Texto"/>
    <w:link w:val="TextoTabelaChar"/>
    <w:qFormat/>
    <w:rsid w:val="00572F61"/>
    <w:pPr>
      <w:spacing w:after="0"/>
    </w:pPr>
    <w:rPr>
      <w:rFonts w:ascii="Calibri" w:hAnsi="Calibri"/>
    </w:rPr>
  </w:style>
  <w:style w:type="character" w:customStyle="1" w:styleId="CabRodChar">
    <w:name w:val="CabRod Char"/>
    <w:basedOn w:val="HeaderChar"/>
    <w:link w:val="CabRod"/>
    <w:rsid w:val="000725F9"/>
    <w:rPr>
      <w:sz w:val="20"/>
    </w:rPr>
  </w:style>
  <w:style w:type="paragraph" w:customStyle="1" w:styleId="TtuloTabela">
    <w:name w:val="TítuloTabela"/>
    <w:basedOn w:val="Normal"/>
    <w:link w:val="TtuloTabelaChar"/>
    <w:qFormat/>
    <w:rsid w:val="00572F61"/>
    <w:pPr>
      <w:spacing w:before="0" w:line="240" w:lineRule="auto"/>
      <w:jc w:val="left"/>
    </w:pPr>
    <w:rPr>
      <w:rFonts w:ascii="Calibri" w:hAnsi="Calibri" w:cstheme="minorHAnsi"/>
      <w:b/>
      <w:color w:val="FFFFFF" w:themeColor="background1"/>
      <w:sz w:val="20"/>
      <w:szCs w:val="20"/>
    </w:rPr>
  </w:style>
  <w:style w:type="character" w:customStyle="1" w:styleId="NoSpacingChar">
    <w:name w:val="No Spacing Char"/>
    <w:basedOn w:val="DefaultParagraphFont"/>
    <w:link w:val="NoSpacing"/>
    <w:uiPriority w:val="1"/>
    <w:rsid w:val="00BC2835"/>
    <w:rPr>
      <w:rFonts w:ascii="Calibri" w:hAnsi="Calibri"/>
    </w:rPr>
  </w:style>
  <w:style w:type="character" w:customStyle="1" w:styleId="TextoTabelaChar">
    <w:name w:val="TextoTabela Char"/>
    <w:basedOn w:val="NoSpacingChar"/>
    <w:link w:val="TextoTabela"/>
    <w:rsid w:val="00572F61"/>
    <w:rPr>
      <w:rFonts w:ascii="Calibri" w:hAnsi="Calibri" w:cstheme="minorHAnsi"/>
      <w:szCs w:val="20"/>
    </w:rPr>
  </w:style>
  <w:style w:type="character" w:styleId="Strong">
    <w:name w:val="Strong"/>
    <w:aliases w:val="Negrito"/>
    <w:basedOn w:val="DefaultParagraphFont"/>
    <w:uiPriority w:val="22"/>
    <w:qFormat/>
    <w:rsid w:val="00CC23A7"/>
    <w:rPr>
      <w:b/>
      <w:bCs/>
    </w:rPr>
  </w:style>
  <w:style w:type="character" w:customStyle="1" w:styleId="TtuloTabelaChar">
    <w:name w:val="TítuloTabela Char"/>
    <w:basedOn w:val="NoSpacingChar"/>
    <w:link w:val="TtuloTabela"/>
    <w:rsid w:val="00572F61"/>
    <w:rPr>
      <w:rFonts w:ascii="Calibri" w:hAnsi="Calibri" w:cstheme="minorHAnsi"/>
      <w:b/>
      <w:color w:val="FFFFFF" w:themeColor="background1"/>
      <w:sz w:val="20"/>
      <w:szCs w:val="20"/>
    </w:rPr>
  </w:style>
  <w:style w:type="character" w:customStyle="1" w:styleId="Heading1Char">
    <w:name w:val="Heading 1 Char"/>
    <w:basedOn w:val="DefaultParagraphFont"/>
    <w:link w:val="Heading1"/>
    <w:uiPriority w:val="9"/>
    <w:rsid w:val="001B401C"/>
    <w:rPr>
      <w:rFonts w:asciiTheme="majorHAnsi" w:eastAsia="Times New Roman" w:hAnsiTheme="majorHAnsi" w:cstheme="majorBidi"/>
      <w:b/>
      <w:bCs/>
      <w:caps/>
      <w:color w:val="17365D"/>
      <w:sz w:val="28"/>
      <w:szCs w:val="28"/>
      <w:lang w:val="en-GB"/>
    </w:rPr>
  </w:style>
  <w:style w:type="character" w:customStyle="1" w:styleId="Heading2Char">
    <w:name w:val="Heading 2 Char"/>
    <w:basedOn w:val="DefaultParagraphFont"/>
    <w:link w:val="Heading2"/>
    <w:uiPriority w:val="9"/>
    <w:rsid w:val="001B401C"/>
    <w:rPr>
      <w:rFonts w:asciiTheme="majorHAnsi" w:eastAsia="Times New Roman" w:hAnsiTheme="majorHAnsi" w:cstheme="majorBidi"/>
      <w:b/>
      <w:bCs/>
      <w:caps/>
      <w:sz w:val="28"/>
      <w:szCs w:val="28"/>
      <w:lang w:val="en-GB"/>
    </w:rPr>
  </w:style>
  <w:style w:type="character" w:customStyle="1" w:styleId="Heading3Char">
    <w:name w:val="Heading 3 Char"/>
    <w:basedOn w:val="DefaultParagraphFont"/>
    <w:link w:val="Heading3"/>
    <w:uiPriority w:val="9"/>
    <w:rsid w:val="001B401C"/>
    <w:rPr>
      <w:rFonts w:asciiTheme="majorHAnsi" w:eastAsia="Times New Roman" w:hAnsiTheme="majorHAnsi" w:cstheme="majorBidi"/>
      <w:b/>
      <w:bCs/>
      <w:caps/>
      <w:sz w:val="28"/>
      <w:szCs w:val="28"/>
      <w:lang w:val="en-GB"/>
    </w:rPr>
  </w:style>
  <w:style w:type="character" w:customStyle="1" w:styleId="Heading4Char">
    <w:name w:val="Heading 4 Char"/>
    <w:aliases w:val="Subseção Char"/>
    <w:basedOn w:val="DefaultParagraphFont"/>
    <w:link w:val="Heading4"/>
    <w:uiPriority w:val="9"/>
    <w:rsid w:val="00572F61"/>
    <w:rPr>
      <w:b/>
      <w:color w:val="00B050"/>
    </w:rPr>
  </w:style>
  <w:style w:type="paragraph" w:customStyle="1" w:styleId="Indices">
    <w:name w:val="Indices"/>
    <w:basedOn w:val="Normal"/>
    <w:link w:val="IndicesChar"/>
    <w:qFormat/>
    <w:rsid w:val="00DA4EF4"/>
    <w:pPr>
      <w:jc w:val="center"/>
    </w:pPr>
    <w:rPr>
      <w:b/>
      <w:smallCaps/>
      <w:color w:val="1F497D" w:themeColor="text2"/>
      <w:sz w:val="28"/>
    </w:rPr>
  </w:style>
  <w:style w:type="paragraph" w:customStyle="1" w:styleId="CabSubtitulo">
    <w:name w:val="CabSubtitulo"/>
    <w:basedOn w:val="CabRod"/>
    <w:link w:val="CabSubtituloChar"/>
    <w:qFormat/>
    <w:rsid w:val="00DA4EF4"/>
    <w:rPr>
      <w:i/>
    </w:rPr>
  </w:style>
  <w:style w:type="character" w:customStyle="1" w:styleId="IndicesChar">
    <w:name w:val="Indices Char"/>
    <w:basedOn w:val="DefaultParagraphFont"/>
    <w:link w:val="Indices"/>
    <w:rsid w:val="00DA4EF4"/>
    <w:rPr>
      <w:b/>
      <w:smallCaps/>
      <w:color w:val="1F497D" w:themeColor="text2"/>
      <w:sz w:val="28"/>
    </w:rPr>
  </w:style>
  <w:style w:type="character" w:customStyle="1" w:styleId="CabSubtituloChar">
    <w:name w:val="CabSubtitulo Char"/>
    <w:basedOn w:val="CabRodChar"/>
    <w:link w:val="CabSubtitulo"/>
    <w:rsid w:val="00DA4EF4"/>
    <w:rPr>
      <w:i/>
      <w:sz w:val="20"/>
    </w:rPr>
  </w:style>
  <w:style w:type="character" w:customStyle="1" w:styleId="apple-converted-space">
    <w:name w:val="apple-converted-space"/>
    <w:basedOn w:val="DefaultParagraphFont"/>
    <w:rsid w:val="00451416"/>
  </w:style>
  <w:style w:type="paragraph" w:customStyle="1" w:styleId="Default">
    <w:name w:val="Default"/>
    <w:link w:val="DefaultChar"/>
    <w:rsid w:val="00BF1560"/>
    <w:pPr>
      <w:autoSpaceDE w:val="0"/>
      <w:autoSpaceDN w:val="0"/>
      <w:adjustRightInd w:val="0"/>
      <w:spacing w:after="0" w:line="240" w:lineRule="auto"/>
    </w:pPr>
    <w:rPr>
      <w:rFonts w:ascii="Calibri" w:hAnsi="Calibri" w:cs="Calibri"/>
      <w:color w:val="000000"/>
      <w:sz w:val="24"/>
      <w:szCs w:val="24"/>
    </w:rPr>
  </w:style>
  <w:style w:type="paragraph" w:styleId="TOC4">
    <w:name w:val="toc 4"/>
    <w:basedOn w:val="Normal"/>
    <w:next w:val="Normal"/>
    <w:autoRedefine/>
    <w:uiPriority w:val="39"/>
    <w:unhideWhenUsed/>
    <w:rsid w:val="009B50F4"/>
    <w:pPr>
      <w:spacing w:before="0"/>
      <w:ind w:left="709"/>
      <w:jc w:val="left"/>
    </w:pPr>
    <w:rPr>
      <w:rFonts w:ascii="Cambria" w:hAnsi="Cambria"/>
    </w:rPr>
  </w:style>
  <w:style w:type="paragraph" w:styleId="TOC5">
    <w:name w:val="toc 5"/>
    <w:basedOn w:val="Normal"/>
    <w:next w:val="Normal"/>
    <w:autoRedefine/>
    <w:uiPriority w:val="39"/>
    <w:unhideWhenUsed/>
    <w:rsid w:val="00C31723"/>
    <w:pPr>
      <w:spacing w:before="0"/>
      <w:jc w:val="left"/>
    </w:pPr>
  </w:style>
  <w:style w:type="paragraph" w:styleId="TOC6">
    <w:name w:val="toc 6"/>
    <w:basedOn w:val="Normal"/>
    <w:next w:val="Normal"/>
    <w:autoRedefine/>
    <w:uiPriority w:val="39"/>
    <w:unhideWhenUsed/>
    <w:rsid w:val="00C31723"/>
    <w:pPr>
      <w:spacing w:before="0"/>
      <w:jc w:val="left"/>
    </w:pPr>
  </w:style>
  <w:style w:type="paragraph" w:styleId="TOC7">
    <w:name w:val="toc 7"/>
    <w:basedOn w:val="Normal"/>
    <w:next w:val="Normal"/>
    <w:autoRedefine/>
    <w:uiPriority w:val="39"/>
    <w:unhideWhenUsed/>
    <w:rsid w:val="00C31723"/>
    <w:pPr>
      <w:spacing w:before="0"/>
      <w:jc w:val="left"/>
    </w:pPr>
  </w:style>
  <w:style w:type="paragraph" w:styleId="TOC8">
    <w:name w:val="toc 8"/>
    <w:basedOn w:val="Normal"/>
    <w:next w:val="Normal"/>
    <w:autoRedefine/>
    <w:uiPriority w:val="39"/>
    <w:unhideWhenUsed/>
    <w:rsid w:val="00C31723"/>
    <w:pPr>
      <w:spacing w:before="0"/>
      <w:jc w:val="left"/>
    </w:pPr>
  </w:style>
  <w:style w:type="paragraph" w:styleId="TOC9">
    <w:name w:val="toc 9"/>
    <w:basedOn w:val="Normal"/>
    <w:next w:val="Normal"/>
    <w:autoRedefine/>
    <w:uiPriority w:val="39"/>
    <w:unhideWhenUsed/>
    <w:rsid w:val="00C31723"/>
    <w:pPr>
      <w:spacing w:before="0"/>
      <w:jc w:val="left"/>
    </w:pPr>
  </w:style>
  <w:style w:type="character" w:customStyle="1" w:styleId="ListParagraphChar">
    <w:name w:val="List Paragraph Char"/>
    <w:aliases w:val="Marcadores Char"/>
    <w:basedOn w:val="DefaultParagraphFont"/>
    <w:link w:val="ListParagraph"/>
    <w:uiPriority w:val="34"/>
    <w:rsid w:val="008300D5"/>
    <w:rPr>
      <w:rFonts w:asciiTheme="majorHAnsi" w:eastAsia="Calibri" w:hAnsiTheme="majorHAnsi" w:cs="Calibri"/>
      <w:color w:val="000000"/>
      <w:u w:color="000000"/>
      <w:bdr w:val="nil"/>
      <w:lang w:val="pt-PT" w:eastAsia="zh-CN"/>
    </w:rPr>
  </w:style>
  <w:style w:type="paragraph" w:customStyle="1" w:styleId="Titulo1-PPLC">
    <w:name w:val="Titulo1-PPLC"/>
    <w:basedOn w:val="TableofFigures"/>
    <w:qFormat/>
    <w:rsid w:val="00641FD8"/>
    <w:pPr>
      <w:tabs>
        <w:tab w:val="right" w:leader="underscore" w:pos="9060"/>
      </w:tabs>
    </w:pPr>
  </w:style>
  <w:style w:type="paragraph" w:customStyle="1" w:styleId="OCPRelTexto">
    <w:name w:val="OCP Rel Texto"/>
    <w:basedOn w:val="Normal"/>
    <w:qFormat/>
    <w:rsid w:val="00260987"/>
    <w:pPr>
      <w:spacing w:before="40"/>
      <w:jc w:val="left"/>
    </w:pPr>
    <w:rPr>
      <w:rFonts w:ascii="Trebuchet MS" w:eastAsia="Times New Roman" w:hAnsi="Trebuchet MS" w:cs="Times New Roman"/>
      <w:color w:val="000000"/>
      <w:sz w:val="20"/>
      <w:szCs w:val="20"/>
      <w:lang w:val="en-US" w:eastAsia="en-US"/>
    </w:rPr>
  </w:style>
  <w:style w:type="character" w:customStyle="1" w:styleId="A9">
    <w:name w:val="A9"/>
    <w:uiPriority w:val="99"/>
    <w:rsid w:val="009325B0"/>
    <w:rPr>
      <w:i/>
      <w:iCs/>
      <w:color w:val="000000"/>
      <w:sz w:val="18"/>
      <w:szCs w:val="18"/>
    </w:rPr>
  </w:style>
  <w:style w:type="paragraph" w:customStyle="1" w:styleId="Ttulo4OdB">
    <w:name w:val="Título 4_OdB"/>
    <w:basedOn w:val="Heading3"/>
    <w:link w:val="Ttulo4OdBChar"/>
    <w:qFormat/>
    <w:rsid w:val="00696B56"/>
    <w:pPr>
      <w:numPr>
        <w:ilvl w:val="3"/>
        <w:numId w:val="4"/>
      </w:numPr>
    </w:pPr>
  </w:style>
  <w:style w:type="character" w:customStyle="1" w:styleId="Ttulo4OdBChar">
    <w:name w:val="Título 4_OdB Char"/>
    <w:basedOn w:val="Heading3Char"/>
    <w:link w:val="Ttulo4OdB"/>
    <w:rsid w:val="00696B56"/>
    <w:rPr>
      <w:rFonts w:asciiTheme="majorHAnsi" w:eastAsia="Times New Roman" w:hAnsiTheme="majorHAnsi" w:cstheme="majorBidi"/>
      <w:b/>
      <w:bCs/>
      <w:caps/>
      <w:smallCaps w:val="0"/>
      <w:sz w:val="28"/>
      <w:szCs w:val="28"/>
      <w:lang w:val="en-GB"/>
    </w:rPr>
  </w:style>
  <w:style w:type="character" w:customStyle="1" w:styleId="shorttext">
    <w:name w:val="short_text"/>
    <w:basedOn w:val="DefaultParagraphFont"/>
    <w:rsid w:val="00445A5E"/>
  </w:style>
  <w:style w:type="paragraph" w:customStyle="1" w:styleId="semespaamento">
    <w:name w:val="sem espaçamento"/>
    <w:basedOn w:val="Normal"/>
    <w:link w:val="semespaamentoChar"/>
    <w:qFormat/>
    <w:rsid w:val="000F3DA6"/>
    <w:pPr>
      <w:spacing w:before="0" w:line="240" w:lineRule="auto"/>
    </w:pPr>
    <w:rPr>
      <w:rFonts w:ascii="Calibri" w:eastAsia="Times New Roman" w:hAnsi="Calibri" w:cs="Calibri"/>
      <w:b/>
      <w:sz w:val="18"/>
      <w:szCs w:val="18"/>
      <w:lang w:val="en-US"/>
    </w:rPr>
  </w:style>
  <w:style w:type="character" w:customStyle="1" w:styleId="semespaamentoChar">
    <w:name w:val="sem espaçamento Char"/>
    <w:link w:val="semespaamento"/>
    <w:rsid w:val="000F3DA6"/>
    <w:rPr>
      <w:rFonts w:ascii="Calibri" w:eastAsia="Times New Roman" w:hAnsi="Calibri" w:cs="Calibri"/>
      <w:b/>
      <w:sz w:val="18"/>
      <w:szCs w:val="18"/>
      <w:lang w:val="en-US"/>
    </w:rPr>
  </w:style>
  <w:style w:type="paragraph" w:customStyle="1" w:styleId="Titulo1WOB">
    <w:name w:val="Titulo 1 WOB"/>
    <w:basedOn w:val="Normal"/>
    <w:link w:val="Titulo1WOBChar"/>
    <w:qFormat/>
    <w:rsid w:val="000F3DA6"/>
    <w:pPr>
      <w:numPr>
        <w:numId w:val="6"/>
      </w:numPr>
      <w:spacing w:before="360" w:after="120" w:line="276" w:lineRule="auto"/>
      <w:contextualSpacing/>
      <w:jc w:val="left"/>
    </w:pPr>
    <w:rPr>
      <w:rFonts w:asciiTheme="majorHAnsi" w:eastAsia="Times New Roman" w:hAnsiTheme="majorHAnsi" w:cs="Times New Roman"/>
      <w:b/>
      <w:caps/>
      <w:color w:val="17365D"/>
      <w:sz w:val="32"/>
      <w:szCs w:val="32"/>
      <w:lang w:eastAsia="en-US"/>
    </w:rPr>
  </w:style>
  <w:style w:type="paragraph" w:customStyle="1" w:styleId="Titulo2WOB">
    <w:name w:val="Titulo 2 WOB"/>
    <w:basedOn w:val="Titulo1WOB"/>
    <w:link w:val="Titulo2WOBChar"/>
    <w:qFormat/>
    <w:rsid w:val="000F3DA6"/>
    <w:pPr>
      <w:numPr>
        <w:ilvl w:val="1"/>
      </w:numPr>
      <w:tabs>
        <w:tab w:val="left" w:pos="993"/>
      </w:tabs>
      <w:spacing w:before="240"/>
      <w:ind w:left="567" w:hanging="567"/>
    </w:pPr>
    <w:rPr>
      <w:caps w:val="0"/>
    </w:rPr>
  </w:style>
  <w:style w:type="character" w:customStyle="1" w:styleId="Titulo2WOBChar">
    <w:name w:val="Titulo 2 WOB Char"/>
    <w:link w:val="Titulo2WOB"/>
    <w:rsid w:val="000F3DA6"/>
    <w:rPr>
      <w:rFonts w:asciiTheme="majorHAnsi" w:eastAsia="Times New Roman" w:hAnsiTheme="majorHAnsi" w:cs="Times New Roman"/>
      <w:b/>
      <w:color w:val="17365D"/>
      <w:sz w:val="32"/>
      <w:szCs w:val="32"/>
      <w:lang w:eastAsia="en-US"/>
    </w:rPr>
  </w:style>
  <w:style w:type="paragraph" w:customStyle="1" w:styleId="Titulo3WOB">
    <w:name w:val="Titulo 3 WOB"/>
    <w:basedOn w:val="Titulo1WOB"/>
    <w:link w:val="Titulo3WOBChar"/>
    <w:qFormat/>
    <w:rsid w:val="000F3DA6"/>
    <w:pPr>
      <w:numPr>
        <w:ilvl w:val="2"/>
      </w:numPr>
      <w:tabs>
        <w:tab w:val="left" w:pos="993"/>
      </w:tabs>
      <w:spacing w:before="240"/>
      <w:ind w:hanging="6458"/>
    </w:pPr>
    <w:rPr>
      <w:b w:val="0"/>
      <w:caps w:val="0"/>
    </w:rPr>
  </w:style>
  <w:style w:type="paragraph" w:customStyle="1" w:styleId="Titulo4WOB">
    <w:name w:val="Titulo 4 WOB"/>
    <w:basedOn w:val="Titulo3WOB"/>
    <w:qFormat/>
    <w:rsid w:val="000F3DA6"/>
    <w:pPr>
      <w:numPr>
        <w:ilvl w:val="3"/>
      </w:numPr>
      <w:ind w:left="992" w:hanging="992"/>
    </w:pPr>
  </w:style>
  <w:style w:type="paragraph" w:customStyle="1" w:styleId="Titulo5WOB">
    <w:name w:val="Titulo 5 WOB"/>
    <w:basedOn w:val="Titulo4WOB"/>
    <w:qFormat/>
    <w:rsid w:val="000F3DA6"/>
  </w:style>
  <w:style w:type="paragraph" w:customStyle="1" w:styleId="Corpo">
    <w:name w:val="Corpo"/>
    <w:rsid w:val="00F6044C"/>
    <w:pPr>
      <w:pBdr>
        <w:top w:val="nil"/>
        <w:left w:val="nil"/>
        <w:bottom w:val="nil"/>
        <w:right w:val="nil"/>
        <w:between w:val="nil"/>
        <w:bar w:val="nil"/>
      </w:pBdr>
      <w:spacing w:after="0" w:line="240" w:lineRule="auto"/>
    </w:pPr>
    <w:rPr>
      <w:rFonts w:ascii="Arial" w:eastAsia="Arial Unicode MS" w:hAnsi="Arial Unicode MS" w:cs="Arial Unicode MS"/>
      <w:color w:val="000000"/>
      <w:sz w:val="24"/>
      <w:szCs w:val="24"/>
      <w:u w:color="000000"/>
      <w:bdr w:val="nil"/>
      <w:lang w:val="pt-PT" w:eastAsia="zh-CN"/>
    </w:rPr>
  </w:style>
  <w:style w:type="paragraph" w:customStyle="1" w:styleId="TableParagraph">
    <w:name w:val="Table Paragraph"/>
    <w:basedOn w:val="Normal"/>
    <w:uiPriority w:val="1"/>
    <w:qFormat/>
    <w:rsid w:val="00F6044C"/>
    <w:pPr>
      <w:widowControl w:val="0"/>
      <w:spacing w:before="0" w:line="240" w:lineRule="auto"/>
      <w:jc w:val="left"/>
    </w:pPr>
    <w:rPr>
      <w:rFonts w:eastAsiaTheme="minorHAnsi"/>
      <w:lang w:val="en-US" w:eastAsia="en-US"/>
    </w:rPr>
  </w:style>
  <w:style w:type="paragraph" w:customStyle="1" w:styleId="TITULOTAB">
    <w:name w:val="TITULO TAB"/>
    <w:basedOn w:val="TtuloTabela"/>
    <w:link w:val="TITULOTABChar"/>
    <w:qFormat/>
    <w:rsid w:val="00F6044C"/>
    <w:pPr>
      <w:pBdr>
        <w:top w:val="nil"/>
        <w:left w:val="nil"/>
        <w:bottom w:val="nil"/>
        <w:right w:val="nil"/>
        <w:between w:val="nil"/>
        <w:bar w:val="nil"/>
      </w:pBdr>
    </w:pPr>
    <w:rPr>
      <w:rFonts w:ascii="Cambria" w:hAnsi="Cambria"/>
      <w:lang w:val="en-GB"/>
    </w:rPr>
  </w:style>
  <w:style w:type="character" w:customStyle="1" w:styleId="TITULOTABChar">
    <w:name w:val="TITULO TAB Char"/>
    <w:basedOn w:val="TtuloTabelaChar"/>
    <w:link w:val="TITULOTAB"/>
    <w:rsid w:val="00F6044C"/>
    <w:rPr>
      <w:rFonts w:ascii="Cambria" w:hAnsi="Cambria" w:cstheme="minorHAnsi"/>
      <w:b/>
      <w:color w:val="FFFFFF" w:themeColor="background1"/>
      <w:sz w:val="20"/>
      <w:szCs w:val="20"/>
      <w:lang w:val="en-GB"/>
    </w:rPr>
  </w:style>
  <w:style w:type="paragraph" w:customStyle="1" w:styleId="tier1Itext">
    <w:name w:val="tier 1 (I) text"/>
    <w:link w:val="tier1ItextChar"/>
    <w:qFormat/>
    <w:rsid w:val="00723A97"/>
    <w:pPr>
      <w:keepLines/>
      <w:widowControl w:val="0"/>
      <w:tabs>
        <w:tab w:val="left" w:pos="5529"/>
      </w:tabs>
      <w:spacing w:before="120" w:after="240" w:line="360" w:lineRule="auto"/>
      <w:jc w:val="both"/>
    </w:pPr>
    <w:rPr>
      <w:rFonts w:asciiTheme="majorHAnsi" w:eastAsia="Times New Roman" w:hAnsiTheme="majorHAnsi" w:cs="Calibri"/>
      <w:szCs w:val="24"/>
      <w:lang w:eastAsia="en-US"/>
    </w:rPr>
  </w:style>
  <w:style w:type="character" w:customStyle="1" w:styleId="tier1ItextChar">
    <w:name w:val="tier 1 (I) text Char"/>
    <w:link w:val="tier1Itext"/>
    <w:rsid w:val="00723A97"/>
    <w:rPr>
      <w:rFonts w:asciiTheme="majorHAnsi" w:eastAsia="Times New Roman" w:hAnsiTheme="majorHAnsi" w:cs="Calibri"/>
      <w:szCs w:val="24"/>
      <w:lang w:eastAsia="en-US"/>
    </w:rPr>
  </w:style>
  <w:style w:type="paragraph" w:customStyle="1" w:styleId="OCEBullet">
    <w:name w:val="OCE Bullet"/>
    <w:link w:val="OCEBulletChar"/>
    <w:qFormat/>
    <w:rsid w:val="002541D0"/>
    <w:pPr>
      <w:pBdr>
        <w:top w:val="nil"/>
        <w:left w:val="nil"/>
        <w:bottom w:val="nil"/>
        <w:right w:val="nil"/>
        <w:between w:val="nil"/>
        <w:bar w:val="nil"/>
      </w:pBdr>
      <w:tabs>
        <w:tab w:val="left" w:pos="227"/>
        <w:tab w:val="left" w:pos="709"/>
      </w:tabs>
      <w:spacing w:before="120" w:after="220" w:line="320" w:lineRule="exact"/>
      <w:ind w:left="720" w:hanging="360"/>
      <w:jc w:val="both"/>
    </w:pPr>
    <w:rPr>
      <w:rFonts w:ascii="Calibri" w:eastAsia="Calibri" w:hAnsi="Calibri" w:cs="Calibri"/>
      <w:color w:val="000000"/>
      <w:u w:color="000000"/>
      <w:bdr w:val="nil"/>
      <w:lang w:val="pt-PT" w:eastAsia="zh-CN"/>
    </w:rPr>
  </w:style>
  <w:style w:type="numbering" w:customStyle="1" w:styleId="List6">
    <w:name w:val="List 6"/>
    <w:basedOn w:val="NoList"/>
    <w:rsid w:val="002541D0"/>
    <w:pPr>
      <w:numPr>
        <w:numId w:val="7"/>
      </w:numPr>
    </w:pPr>
  </w:style>
  <w:style w:type="character" w:customStyle="1" w:styleId="Hyperlink5">
    <w:name w:val="Hyperlink.5"/>
    <w:basedOn w:val="DefaultParagraphFont"/>
    <w:rsid w:val="002541D0"/>
    <w:rPr>
      <w:rFonts w:ascii="Calibri" w:eastAsia="Calibri" w:hAnsi="Calibri" w:cs="Calibri"/>
      <w:b/>
      <w:bCs/>
    </w:rPr>
  </w:style>
  <w:style w:type="character" w:customStyle="1" w:styleId="OCEBulletChar">
    <w:name w:val="OCE Bullet Char"/>
    <w:link w:val="OCEBullet"/>
    <w:locked/>
    <w:rsid w:val="002541D0"/>
    <w:rPr>
      <w:rFonts w:ascii="Calibri" w:eastAsia="Calibri" w:hAnsi="Calibri" w:cs="Calibri"/>
      <w:color w:val="000000"/>
      <w:u w:color="000000"/>
      <w:bdr w:val="nil"/>
      <w:lang w:val="pt-PT" w:eastAsia="zh-CN"/>
    </w:rPr>
  </w:style>
  <w:style w:type="paragraph" w:customStyle="1" w:styleId="CabealhoeRodap">
    <w:name w:val="Cabeçalho e Rodapé"/>
    <w:rsid w:val="002541D0"/>
    <w:pPr>
      <w:pBdr>
        <w:top w:val="nil"/>
        <w:left w:val="nil"/>
        <w:bottom w:val="nil"/>
        <w:right w:val="nil"/>
        <w:between w:val="nil"/>
        <w:bar w:val="nil"/>
      </w:pBdr>
      <w:tabs>
        <w:tab w:val="right" w:pos="9020"/>
      </w:tabs>
      <w:spacing w:after="0" w:line="240" w:lineRule="auto"/>
    </w:pPr>
    <w:rPr>
      <w:rFonts w:ascii="Helvetica" w:eastAsia="Arial Unicode MS" w:hAnsi="Arial Unicode MS" w:cs="Arial Unicode MS"/>
      <w:color w:val="000000"/>
      <w:sz w:val="24"/>
      <w:szCs w:val="24"/>
      <w:bdr w:val="nil"/>
      <w:lang w:val="en-US" w:eastAsia="zh-CN"/>
    </w:rPr>
  </w:style>
  <w:style w:type="paragraph" w:customStyle="1" w:styleId="Itemizao">
    <w:name w:val="Itemização"/>
    <w:rsid w:val="002541D0"/>
    <w:pPr>
      <w:pBdr>
        <w:top w:val="nil"/>
        <w:left w:val="nil"/>
        <w:bottom w:val="nil"/>
        <w:right w:val="nil"/>
        <w:between w:val="nil"/>
        <w:bar w:val="nil"/>
      </w:pBdr>
      <w:tabs>
        <w:tab w:val="left" w:pos="993"/>
      </w:tabs>
      <w:spacing w:before="120" w:after="120" w:line="360" w:lineRule="auto"/>
      <w:jc w:val="both"/>
    </w:pPr>
    <w:rPr>
      <w:rFonts w:ascii="Calibri" w:eastAsia="Calibri" w:hAnsi="Calibri" w:cs="Calibri"/>
      <w:color w:val="000000"/>
      <w:u w:color="000000"/>
      <w:bdr w:val="nil"/>
      <w:lang w:val="pt-PT" w:eastAsia="zh-CN"/>
    </w:rPr>
  </w:style>
  <w:style w:type="character" w:customStyle="1" w:styleId="Titulo1WOBChar">
    <w:name w:val="Titulo 1 WOB Char"/>
    <w:link w:val="Titulo1WOB"/>
    <w:rsid w:val="002541D0"/>
    <w:rPr>
      <w:rFonts w:asciiTheme="majorHAnsi" w:eastAsia="Times New Roman" w:hAnsiTheme="majorHAnsi" w:cs="Times New Roman"/>
      <w:b/>
      <w:caps/>
      <w:color w:val="17365D"/>
      <w:sz w:val="32"/>
      <w:szCs w:val="32"/>
      <w:lang w:eastAsia="en-US"/>
    </w:rPr>
  </w:style>
  <w:style w:type="paragraph" w:customStyle="1" w:styleId="TEXTO0">
    <w:name w:val="TEXTO"/>
    <w:basedOn w:val="tier1Itext"/>
    <w:link w:val="TEXTOChar0"/>
    <w:qFormat/>
    <w:rsid w:val="002541D0"/>
    <w:rPr>
      <w:rFonts w:ascii="Cambria" w:hAnsi="Cambria"/>
    </w:rPr>
  </w:style>
  <w:style w:type="character" w:customStyle="1" w:styleId="TEXTOChar0">
    <w:name w:val="TEXTO Char"/>
    <w:basedOn w:val="tier1ItextChar"/>
    <w:link w:val="TEXTO0"/>
    <w:rsid w:val="002541D0"/>
    <w:rPr>
      <w:rFonts w:ascii="Cambria" w:eastAsia="Times New Roman" w:hAnsi="Cambria" w:cs="Times New Roman"/>
      <w:szCs w:val="24"/>
      <w:lang w:eastAsia="en-US"/>
    </w:rPr>
  </w:style>
  <w:style w:type="numbering" w:customStyle="1" w:styleId="List31">
    <w:name w:val="List 31"/>
    <w:basedOn w:val="NoList"/>
    <w:rsid w:val="002D4EAC"/>
    <w:pPr>
      <w:numPr>
        <w:numId w:val="11"/>
      </w:numPr>
    </w:pPr>
  </w:style>
  <w:style w:type="numbering" w:customStyle="1" w:styleId="List41">
    <w:name w:val="List 41"/>
    <w:basedOn w:val="NoList"/>
    <w:rsid w:val="002D4EAC"/>
    <w:pPr>
      <w:numPr>
        <w:numId w:val="12"/>
      </w:numPr>
    </w:pPr>
  </w:style>
  <w:style w:type="paragraph" w:customStyle="1" w:styleId="Bodystyle11pt">
    <w:name w:val="Body style 11 pt"/>
    <w:basedOn w:val="Normal"/>
    <w:rsid w:val="00F3740A"/>
    <w:pPr>
      <w:tabs>
        <w:tab w:val="left" w:pos="-3060"/>
        <w:tab w:val="left" w:pos="-2970"/>
        <w:tab w:val="left" w:pos="0"/>
      </w:tabs>
      <w:spacing w:before="0" w:after="300" w:line="240" w:lineRule="auto"/>
    </w:pPr>
    <w:rPr>
      <w:rFonts w:ascii="Arial" w:eastAsia="Times New Roman" w:hAnsi="Arial" w:cs="Times New Roman"/>
      <w:snapToGrid w:val="0"/>
      <w:szCs w:val="20"/>
      <w:lang w:val="en-US" w:eastAsia="en-US"/>
    </w:rPr>
  </w:style>
  <w:style w:type="paragraph" w:customStyle="1" w:styleId="itemx">
    <w:name w:val="itemx"/>
    <w:basedOn w:val="Normal"/>
    <w:uiPriority w:val="99"/>
    <w:rsid w:val="00F3740A"/>
    <w:pPr>
      <w:numPr>
        <w:numId w:val="13"/>
      </w:numPr>
      <w:spacing w:after="120" w:line="240" w:lineRule="auto"/>
    </w:pPr>
    <w:rPr>
      <w:rFonts w:ascii="Arial" w:eastAsia="Times New Roman" w:hAnsi="Arial" w:cs="Times New Roman"/>
      <w:sz w:val="20"/>
      <w:szCs w:val="20"/>
      <w:lang w:val="en-US"/>
    </w:rPr>
  </w:style>
  <w:style w:type="paragraph" w:customStyle="1" w:styleId="bartfogalt2main">
    <w:name w:val="bart fog alt2 main"/>
    <w:basedOn w:val="Normal"/>
    <w:rsid w:val="00F3740A"/>
    <w:pPr>
      <w:overflowPunct w:val="0"/>
      <w:autoSpaceDE w:val="0"/>
      <w:autoSpaceDN w:val="0"/>
      <w:adjustRightInd w:val="0"/>
      <w:spacing w:before="0" w:after="120" w:line="240" w:lineRule="auto"/>
      <w:textAlignment w:val="baseline"/>
    </w:pPr>
    <w:rPr>
      <w:rFonts w:ascii="Arial" w:eastAsia="Times New Roman" w:hAnsi="Arial" w:cs="Times New Roman"/>
      <w:color w:val="000000"/>
      <w:sz w:val="18"/>
      <w:szCs w:val="20"/>
      <w:lang w:val="en-US" w:eastAsia="en-US"/>
    </w:rPr>
  </w:style>
  <w:style w:type="paragraph" w:customStyle="1" w:styleId="texto1">
    <w:name w:val="texto"/>
    <w:basedOn w:val="BodyText0"/>
    <w:uiPriority w:val="99"/>
    <w:rsid w:val="004D65B3"/>
    <w:pPr>
      <w:tabs>
        <w:tab w:val="left" w:pos="851"/>
      </w:tabs>
      <w:spacing w:before="240" w:after="0" w:line="288" w:lineRule="auto"/>
      <w:jc w:val="left"/>
    </w:pPr>
    <w:rPr>
      <w:rFonts w:ascii="Arial" w:eastAsia="Times New Roman" w:hAnsi="Arial" w:cs="Times New Roman"/>
      <w:szCs w:val="20"/>
    </w:rPr>
  </w:style>
  <w:style w:type="paragraph" w:styleId="BodyText0">
    <w:name w:val="Body Text"/>
    <w:basedOn w:val="Normal"/>
    <w:link w:val="BodyTextChar"/>
    <w:uiPriority w:val="99"/>
    <w:semiHidden/>
    <w:unhideWhenUsed/>
    <w:rsid w:val="004D65B3"/>
    <w:pPr>
      <w:spacing w:after="120"/>
    </w:pPr>
  </w:style>
  <w:style w:type="character" w:customStyle="1" w:styleId="BodyTextChar">
    <w:name w:val="Body Text Char"/>
    <w:basedOn w:val="DefaultParagraphFont"/>
    <w:link w:val="BodyText0"/>
    <w:uiPriority w:val="99"/>
    <w:semiHidden/>
    <w:rsid w:val="004D65B3"/>
  </w:style>
  <w:style w:type="paragraph" w:customStyle="1" w:styleId="font8">
    <w:name w:val="font_8"/>
    <w:basedOn w:val="Normal"/>
    <w:rsid w:val="008A2ADA"/>
    <w:pPr>
      <w:spacing w:before="100" w:beforeAutospacing="1" w:after="100" w:afterAutospacing="1" w:line="240" w:lineRule="auto"/>
      <w:jc w:val="left"/>
    </w:pPr>
    <w:rPr>
      <w:rFonts w:ascii="Times New Roman" w:eastAsia="Times New Roman" w:hAnsi="Times New Roman" w:cs="Times New Roman"/>
      <w:sz w:val="24"/>
      <w:szCs w:val="24"/>
    </w:rPr>
  </w:style>
  <w:style w:type="paragraph" w:customStyle="1" w:styleId="OCETextobullet">
    <w:name w:val="OCE Texto bullet"/>
    <w:basedOn w:val="Normal"/>
    <w:link w:val="OCETextobulletChar"/>
    <w:qFormat/>
    <w:rsid w:val="00A15CEE"/>
    <w:pPr>
      <w:numPr>
        <w:numId w:val="14"/>
      </w:numPr>
      <w:tabs>
        <w:tab w:val="left" w:pos="709"/>
      </w:tabs>
      <w:spacing w:after="220" w:line="320" w:lineRule="exact"/>
    </w:pPr>
    <w:rPr>
      <w:rFonts w:ascii="Calibri" w:eastAsia="Times New Roman" w:hAnsi="Calibri" w:cs="Times New Roman"/>
      <w:sz w:val="18"/>
      <w:szCs w:val="24"/>
      <w:lang w:val="x-none" w:eastAsia="en-US"/>
    </w:rPr>
  </w:style>
  <w:style w:type="character" w:customStyle="1" w:styleId="OCETextobulletChar">
    <w:name w:val="OCE Texto bullet Char"/>
    <w:link w:val="OCETextobullet"/>
    <w:rsid w:val="0000172F"/>
    <w:rPr>
      <w:rFonts w:ascii="Calibri" w:eastAsia="Times New Roman" w:hAnsi="Calibri" w:cs="Times New Roman"/>
      <w:sz w:val="18"/>
      <w:szCs w:val="24"/>
      <w:lang w:val="x-none" w:eastAsia="en-US"/>
    </w:rPr>
  </w:style>
  <w:style w:type="paragraph" w:customStyle="1" w:styleId="Text">
    <w:name w:val="Text"/>
    <w:next w:val="Normal"/>
    <w:rsid w:val="00241AFC"/>
    <w:pPr>
      <w:spacing w:before="120" w:after="0" w:line="312" w:lineRule="exact"/>
      <w:jc w:val="both"/>
    </w:pPr>
    <w:rPr>
      <w:rFonts w:ascii="Arial" w:eastAsia="Times New Roman" w:hAnsi="Arial" w:cs="Times New Roman"/>
      <w:sz w:val="20"/>
      <w:szCs w:val="20"/>
      <w:lang w:val="en-US" w:eastAsia="en-US"/>
    </w:rPr>
  </w:style>
  <w:style w:type="paragraph" w:customStyle="1" w:styleId="PEIParagrafo">
    <w:name w:val="PEI_Paragrafo"/>
    <w:basedOn w:val="Normal"/>
    <w:link w:val="PEIParagrafoChar"/>
    <w:uiPriority w:val="99"/>
    <w:rsid w:val="00707CE1"/>
    <w:pPr>
      <w:spacing w:before="60" w:after="60"/>
    </w:pPr>
    <w:rPr>
      <w:rFonts w:ascii="Arial" w:eastAsia="Times New Roman" w:hAnsi="Arial" w:cs="Times New Roman"/>
      <w:szCs w:val="24"/>
      <w:lang w:val="x-none" w:eastAsia="en-US"/>
    </w:rPr>
  </w:style>
  <w:style w:type="character" w:customStyle="1" w:styleId="PEIParagrafoChar">
    <w:name w:val="PEI_Paragrafo Char"/>
    <w:link w:val="PEIParagrafo"/>
    <w:uiPriority w:val="99"/>
    <w:locked/>
    <w:rsid w:val="00707CE1"/>
    <w:rPr>
      <w:rFonts w:ascii="Arial" w:eastAsia="Times New Roman" w:hAnsi="Arial" w:cs="Times New Roman"/>
      <w:szCs w:val="24"/>
      <w:lang w:val="x-none" w:eastAsia="en-US"/>
    </w:rPr>
  </w:style>
  <w:style w:type="paragraph" w:customStyle="1" w:styleId="bartfogalt3checkbox">
    <w:name w:val="bart fog alt3 checkbox"/>
    <w:basedOn w:val="Normal"/>
    <w:rsid w:val="00B97508"/>
    <w:pPr>
      <w:numPr>
        <w:numId w:val="16"/>
      </w:numPr>
      <w:tabs>
        <w:tab w:val="left" w:pos="1170"/>
        <w:tab w:val="left" w:pos="13788"/>
      </w:tabs>
      <w:overflowPunct w:val="0"/>
      <w:autoSpaceDE w:val="0"/>
      <w:autoSpaceDN w:val="0"/>
      <w:adjustRightInd w:val="0"/>
      <w:spacing w:before="0" w:after="60" w:line="240" w:lineRule="auto"/>
      <w:jc w:val="left"/>
      <w:textAlignment w:val="baseline"/>
    </w:pPr>
    <w:rPr>
      <w:rFonts w:ascii="Arial" w:eastAsia="Times New Roman" w:hAnsi="Arial" w:cs="Times New Roman"/>
      <w:color w:val="000000"/>
      <w:sz w:val="18"/>
      <w:szCs w:val="20"/>
      <w:lang w:val="en-US" w:eastAsia="en-US"/>
    </w:rPr>
  </w:style>
  <w:style w:type="character" w:customStyle="1" w:styleId="DefaultChar">
    <w:name w:val="Default Char"/>
    <w:link w:val="Default"/>
    <w:locked/>
    <w:rsid w:val="00B97508"/>
    <w:rPr>
      <w:rFonts w:ascii="Calibri" w:hAnsi="Calibri" w:cs="Calibri"/>
      <w:color w:val="000000"/>
      <w:sz w:val="24"/>
      <w:szCs w:val="24"/>
    </w:rPr>
  </w:style>
  <w:style w:type="paragraph" w:customStyle="1" w:styleId="Tabtekst">
    <w:name w:val="Tabtekst"/>
    <w:basedOn w:val="Normal"/>
    <w:rsid w:val="00B97508"/>
    <w:pPr>
      <w:suppressAutoHyphens/>
      <w:spacing w:before="20" w:after="20" w:line="200" w:lineRule="atLeast"/>
      <w:jc w:val="left"/>
    </w:pPr>
    <w:rPr>
      <w:rFonts w:ascii="Arial" w:eastAsia="Times New Roman" w:hAnsi="Arial" w:cs="Times New Roman"/>
      <w:sz w:val="18"/>
      <w:szCs w:val="20"/>
      <w:lang w:val="en-GB" w:eastAsia="en-US"/>
    </w:rPr>
  </w:style>
  <w:style w:type="character" w:customStyle="1" w:styleId="Titulo3WOBChar">
    <w:name w:val="Titulo 3 WOB Char"/>
    <w:basedOn w:val="Titulo1WOBChar"/>
    <w:link w:val="Titulo3WOB"/>
    <w:rsid w:val="007E0169"/>
    <w:rPr>
      <w:rFonts w:asciiTheme="majorHAnsi" w:eastAsia="Times New Roman" w:hAnsiTheme="majorHAnsi" w:cs="Times New Roman"/>
      <w:b w:val="0"/>
      <w:caps w:val="0"/>
      <w:color w:val="17365D"/>
      <w:sz w:val="32"/>
      <w:szCs w:val="32"/>
      <w:lang w:eastAsia="en-US"/>
    </w:rPr>
  </w:style>
  <w:style w:type="character" w:customStyle="1" w:styleId="A17">
    <w:name w:val="A17"/>
    <w:rsid w:val="007E0169"/>
    <w:rPr>
      <w:color w:val="000000"/>
      <w:sz w:val="18"/>
    </w:rPr>
  </w:style>
  <w:style w:type="paragraph" w:customStyle="1" w:styleId="SECTIONHEADING2">
    <w:name w:val="SECTION HEADING 2"/>
    <w:basedOn w:val="Normal"/>
    <w:rsid w:val="007E0169"/>
    <w:pPr>
      <w:shd w:val="clear" w:color="auto" w:fill="99CC00"/>
      <w:spacing w:before="0" w:line="240" w:lineRule="auto"/>
      <w:jc w:val="left"/>
    </w:pPr>
    <w:rPr>
      <w:rFonts w:ascii="Arial" w:eastAsia="Times New Roman" w:hAnsi="Arial" w:cs="Arial"/>
      <w:b/>
      <w:szCs w:val="28"/>
      <w:lang w:val="en-US" w:eastAsia="en-US"/>
    </w:rPr>
  </w:style>
  <w:style w:type="paragraph" w:customStyle="1" w:styleId="ListParagraph1">
    <w:name w:val="List Paragraph1"/>
    <w:basedOn w:val="Normal"/>
    <w:rsid w:val="007E0169"/>
    <w:pPr>
      <w:spacing w:before="200" w:after="200" w:line="276" w:lineRule="auto"/>
      <w:ind w:left="720"/>
      <w:jc w:val="left"/>
    </w:pPr>
    <w:rPr>
      <w:rFonts w:ascii="Calibri" w:eastAsia="Times New Roman" w:hAnsi="Calibri" w:cs="Times New Roman"/>
      <w:sz w:val="20"/>
      <w:szCs w:val="20"/>
      <w:lang w:val="en-US" w:eastAsia="en-US"/>
    </w:rPr>
  </w:style>
  <w:style w:type="paragraph" w:customStyle="1" w:styleId="CharChar8">
    <w:name w:val="Char Char8"/>
    <w:basedOn w:val="Normal"/>
    <w:autoRedefine/>
    <w:rsid w:val="009236C4"/>
    <w:pPr>
      <w:widowControl w:val="0"/>
      <w:spacing w:before="0" w:line="240" w:lineRule="auto"/>
      <w:jc w:val="center"/>
    </w:pPr>
    <w:rPr>
      <w:rFonts w:asciiTheme="majorHAnsi" w:eastAsia="Times New Roman" w:hAnsiTheme="majorHAnsi" w:cstheme="majorHAnsi"/>
      <w:i/>
      <w:kern w:val="28"/>
      <w:sz w:val="20"/>
      <w:szCs w:val="24"/>
      <w:lang w:eastAsia="en-US"/>
    </w:rPr>
  </w:style>
  <w:style w:type="paragraph" w:customStyle="1" w:styleId="tier1Ihed">
    <w:name w:val="tier 1 (I) hed"/>
    <w:basedOn w:val="Normal"/>
    <w:link w:val="tier1IhedChar"/>
    <w:qFormat/>
    <w:rsid w:val="0053320F"/>
    <w:pPr>
      <w:spacing w:before="360" w:after="120" w:line="276" w:lineRule="auto"/>
      <w:ind w:left="720" w:right="-432" w:hanging="720"/>
      <w:contextualSpacing/>
      <w:jc w:val="left"/>
    </w:pPr>
    <w:rPr>
      <w:rFonts w:asciiTheme="majorHAnsi" w:eastAsia="Times New Roman" w:hAnsiTheme="majorHAnsi" w:cs="Times New Roman"/>
      <w:b/>
      <w:caps/>
      <w:color w:val="17365D"/>
      <w:sz w:val="32"/>
      <w:szCs w:val="32"/>
      <w:lang w:eastAsia="en-US"/>
    </w:rPr>
  </w:style>
  <w:style w:type="character" w:customStyle="1" w:styleId="tier1IhedChar">
    <w:name w:val="tier 1 (I) hed Char"/>
    <w:link w:val="tier1Ihed"/>
    <w:rsid w:val="0053320F"/>
    <w:rPr>
      <w:rFonts w:asciiTheme="majorHAnsi" w:eastAsia="Times New Roman" w:hAnsiTheme="majorHAnsi" w:cs="Times New Roman"/>
      <w:b/>
      <w:caps/>
      <w:color w:val="17365D"/>
      <w:sz w:val="32"/>
      <w:szCs w:val="32"/>
      <w:lang w:eastAsia="en-US"/>
    </w:rPr>
  </w:style>
  <w:style w:type="paragraph" w:customStyle="1" w:styleId="LegendaTabela">
    <w:name w:val="Legenda Tabela"/>
    <w:basedOn w:val="Caption"/>
    <w:link w:val="LegendaTabelaChar"/>
    <w:qFormat/>
    <w:rsid w:val="00435CF6"/>
    <w:pPr>
      <w:spacing w:before="0" w:after="0" w:line="240" w:lineRule="auto"/>
      <w:jc w:val="left"/>
    </w:pPr>
  </w:style>
  <w:style w:type="paragraph" w:customStyle="1" w:styleId="xl40">
    <w:name w:val="xl40"/>
    <w:basedOn w:val="Normal"/>
    <w:rsid w:val="00953C7D"/>
    <w:pPr>
      <w:pBdr>
        <w:top w:val="single" w:sz="8" w:space="0" w:color="auto"/>
        <w:bottom w:val="single" w:sz="8" w:space="0" w:color="auto"/>
        <w:right w:val="single" w:sz="8" w:space="0" w:color="auto"/>
      </w:pBdr>
      <w:spacing w:before="100" w:beforeAutospacing="1" w:after="100" w:afterAutospacing="1" w:line="240" w:lineRule="auto"/>
      <w:jc w:val="left"/>
    </w:pPr>
    <w:rPr>
      <w:rFonts w:ascii="Calibri" w:eastAsia="Times New Roman" w:hAnsi="Calibri" w:cs="Times New Roman"/>
      <w:color w:val="000000"/>
      <w:sz w:val="16"/>
      <w:szCs w:val="16"/>
      <w:lang w:val="en-US" w:eastAsia="en-US"/>
    </w:rPr>
  </w:style>
  <w:style w:type="character" w:customStyle="1" w:styleId="CaptionChar">
    <w:name w:val="Caption Char"/>
    <w:basedOn w:val="DefaultParagraphFont"/>
    <w:link w:val="Caption"/>
    <w:uiPriority w:val="99"/>
    <w:rsid w:val="00435CF6"/>
    <w:rPr>
      <w:rFonts w:asciiTheme="majorHAnsi" w:eastAsiaTheme="minorHAnsi" w:hAnsiTheme="majorHAnsi"/>
      <w:b/>
      <w:sz w:val="20"/>
      <w:lang w:eastAsia="en-US"/>
    </w:rPr>
  </w:style>
  <w:style w:type="character" w:customStyle="1" w:styleId="LegendaTabelaChar">
    <w:name w:val="Legenda Tabela Char"/>
    <w:basedOn w:val="CaptionChar"/>
    <w:link w:val="LegendaTabela"/>
    <w:rsid w:val="00435CF6"/>
    <w:rPr>
      <w:rFonts w:asciiTheme="majorHAnsi" w:eastAsiaTheme="minorHAnsi" w:hAnsiTheme="majorHAnsi"/>
      <w:b/>
      <w:sz w:val="20"/>
      <w:lang w:eastAsia="en-US"/>
    </w:rPr>
  </w:style>
  <w:style w:type="paragraph" w:styleId="Title">
    <w:name w:val="Title"/>
    <w:basedOn w:val="Normal"/>
    <w:next w:val="Normal"/>
    <w:link w:val="TitleChar"/>
    <w:uiPriority w:val="10"/>
    <w:qFormat/>
    <w:rsid w:val="003B5634"/>
    <w:pPr>
      <w:pBdr>
        <w:top w:val="single" w:sz="12" w:space="1" w:color="C0504D" w:themeColor="accent2"/>
      </w:pBdr>
      <w:spacing w:line="240" w:lineRule="auto"/>
      <w:jc w:val="right"/>
    </w:pPr>
    <w:rPr>
      <w:smallCaps/>
      <w:sz w:val="48"/>
      <w:szCs w:val="48"/>
    </w:rPr>
  </w:style>
  <w:style w:type="character" w:customStyle="1" w:styleId="TitleChar">
    <w:name w:val="Title Char"/>
    <w:basedOn w:val="DefaultParagraphFont"/>
    <w:link w:val="Title"/>
    <w:uiPriority w:val="10"/>
    <w:rsid w:val="003B5634"/>
    <w:rPr>
      <w:smallCaps/>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94528">
      <w:bodyDiv w:val="1"/>
      <w:marLeft w:val="0"/>
      <w:marRight w:val="0"/>
      <w:marTop w:val="0"/>
      <w:marBottom w:val="0"/>
      <w:divBdr>
        <w:top w:val="none" w:sz="0" w:space="0" w:color="auto"/>
        <w:left w:val="none" w:sz="0" w:space="0" w:color="auto"/>
        <w:bottom w:val="none" w:sz="0" w:space="0" w:color="auto"/>
        <w:right w:val="none" w:sz="0" w:space="0" w:color="auto"/>
      </w:divBdr>
    </w:div>
    <w:div w:id="57824012">
      <w:bodyDiv w:val="1"/>
      <w:marLeft w:val="0"/>
      <w:marRight w:val="0"/>
      <w:marTop w:val="0"/>
      <w:marBottom w:val="0"/>
      <w:divBdr>
        <w:top w:val="none" w:sz="0" w:space="0" w:color="auto"/>
        <w:left w:val="none" w:sz="0" w:space="0" w:color="auto"/>
        <w:bottom w:val="none" w:sz="0" w:space="0" w:color="auto"/>
        <w:right w:val="none" w:sz="0" w:space="0" w:color="auto"/>
      </w:divBdr>
    </w:div>
    <w:div w:id="79521232">
      <w:bodyDiv w:val="1"/>
      <w:marLeft w:val="0"/>
      <w:marRight w:val="0"/>
      <w:marTop w:val="0"/>
      <w:marBottom w:val="0"/>
      <w:divBdr>
        <w:top w:val="none" w:sz="0" w:space="0" w:color="auto"/>
        <w:left w:val="none" w:sz="0" w:space="0" w:color="auto"/>
        <w:bottom w:val="none" w:sz="0" w:space="0" w:color="auto"/>
        <w:right w:val="none" w:sz="0" w:space="0" w:color="auto"/>
      </w:divBdr>
    </w:div>
    <w:div w:id="108934868">
      <w:bodyDiv w:val="1"/>
      <w:marLeft w:val="0"/>
      <w:marRight w:val="0"/>
      <w:marTop w:val="0"/>
      <w:marBottom w:val="0"/>
      <w:divBdr>
        <w:top w:val="none" w:sz="0" w:space="0" w:color="auto"/>
        <w:left w:val="none" w:sz="0" w:space="0" w:color="auto"/>
        <w:bottom w:val="none" w:sz="0" w:space="0" w:color="auto"/>
        <w:right w:val="none" w:sz="0" w:space="0" w:color="auto"/>
      </w:divBdr>
    </w:div>
    <w:div w:id="110322467">
      <w:bodyDiv w:val="1"/>
      <w:marLeft w:val="0"/>
      <w:marRight w:val="0"/>
      <w:marTop w:val="0"/>
      <w:marBottom w:val="0"/>
      <w:divBdr>
        <w:top w:val="none" w:sz="0" w:space="0" w:color="auto"/>
        <w:left w:val="none" w:sz="0" w:space="0" w:color="auto"/>
        <w:bottom w:val="none" w:sz="0" w:space="0" w:color="auto"/>
        <w:right w:val="none" w:sz="0" w:space="0" w:color="auto"/>
      </w:divBdr>
    </w:div>
    <w:div w:id="112290427">
      <w:bodyDiv w:val="1"/>
      <w:marLeft w:val="0"/>
      <w:marRight w:val="0"/>
      <w:marTop w:val="0"/>
      <w:marBottom w:val="0"/>
      <w:divBdr>
        <w:top w:val="none" w:sz="0" w:space="0" w:color="auto"/>
        <w:left w:val="none" w:sz="0" w:space="0" w:color="auto"/>
        <w:bottom w:val="none" w:sz="0" w:space="0" w:color="auto"/>
        <w:right w:val="none" w:sz="0" w:space="0" w:color="auto"/>
      </w:divBdr>
    </w:div>
    <w:div w:id="128286177">
      <w:bodyDiv w:val="1"/>
      <w:marLeft w:val="0"/>
      <w:marRight w:val="0"/>
      <w:marTop w:val="0"/>
      <w:marBottom w:val="0"/>
      <w:divBdr>
        <w:top w:val="none" w:sz="0" w:space="0" w:color="auto"/>
        <w:left w:val="none" w:sz="0" w:space="0" w:color="auto"/>
        <w:bottom w:val="none" w:sz="0" w:space="0" w:color="auto"/>
        <w:right w:val="none" w:sz="0" w:space="0" w:color="auto"/>
      </w:divBdr>
    </w:div>
    <w:div w:id="157044014">
      <w:bodyDiv w:val="1"/>
      <w:marLeft w:val="0"/>
      <w:marRight w:val="0"/>
      <w:marTop w:val="0"/>
      <w:marBottom w:val="0"/>
      <w:divBdr>
        <w:top w:val="none" w:sz="0" w:space="0" w:color="auto"/>
        <w:left w:val="none" w:sz="0" w:space="0" w:color="auto"/>
        <w:bottom w:val="none" w:sz="0" w:space="0" w:color="auto"/>
        <w:right w:val="none" w:sz="0" w:space="0" w:color="auto"/>
      </w:divBdr>
    </w:div>
    <w:div w:id="188031641">
      <w:bodyDiv w:val="1"/>
      <w:marLeft w:val="0"/>
      <w:marRight w:val="0"/>
      <w:marTop w:val="0"/>
      <w:marBottom w:val="0"/>
      <w:divBdr>
        <w:top w:val="none" w:sz="0" w:space="0" w:color="auto"/>
        <w:left w:val="none" w:sz="0" w:space="0" w:color="auto"/>
        <w:bottom w:val="none" w:sz="0" w:space="0" w:color="auto"/>
        <w:right w:val="none" w:sz="0" w:space="0" w:color="auto"/>
      </w:divBdr>
    </w:div>
    <w:div w:id="268396233">
      <w:bodyDiv w:val="1"/>
      <w:marLeft w:val="0"/>
      <w:marRight w:val="0"/>
      <w:marTop w:val="0"/>
      <w:marBottom w:val="0"/>
      <w:divBdr>
        <w:top w:val="none" w:sz="0" w:space="0" w:color="auto"/>
        <w:left w:val="none" w:sz="0" w:space="0" w:color="auto"/>
        <w:bottom w:val="none" w:sz="0" w:space="0" w:color="auto"/>
        <w:right w:val="none" w:sz="0" w:space="0" w:color="auto"/>
      </w:divBdr>
    </w:div>
    <w:div w:id="270279660">
      <w:bodyDiv w:val="1"/>
      <w:marLeft w:val="0"/>
      <w:marRight w:val="0"/>
      <w:marTop w:val="0"/>
      <w:marBottom w:val="0"/>
      <w:divBdr>
        <w:top w:val="none" w:sz="0" w:space="0" w:color="auto"/>
        <w:left w:val="none" w:sz="0" w:space="0" w:color="auto"/>
        <w:bottom w:val="none" w:sz="0" w:space="0" w:color="auto"/>
        <w:right w:val="none" w:sz="0" w:space="0" w:color="auto"/>
      </w:divBdr>
    </w:div>
    <w:div w:id="271933915">
      <w:bodyDiv w:val="1"/>
      <w:marLeft w:val="0"/>
      <w:marRight w:val="0"/>
      <w:marTop w:val="0"/>
      <w:marBottom w:val="0"/>
      <w:divBdr>
        <w:top w:val="none" w:sz="0" w:space="0" w:color="auto"/>
        <w:left w:val="none" w:sz="0" w:space="0" w:color="auto"/>
        <w:bottom w:val="none" w:sz="0" w:space="0" w:color="auto"/>
        <w:right w:val="none" w:sz="0" w:space="0" w:color="auto"/>
      </w:divBdr>
    </w:div>
    <w:div w:id="284966247">
      <w:bodyDiv w:val="1"/>
      <w:marLeft w:val="0"/>
      <w:marRight w:val="0"/>
      <w:marTop w:val="0"/>
      <w:marBottom w:val="0"/>
      <w:divBdr>
        <w:top w:val="none" w:sz="0" w:space="0" w:color="auto"/>
        <w:left w:val="none" w:sz="0" w:space="0" w:color="auto"/>
        <w:bottom w:val="none" w:sz="0" w:space="0" w:color="auto"/>
        <w:right w:val="none" w:sz="0" w:space="0" w:color="auto"/>
      </w:divBdr>
    </w:div>
    <w:div w:id="300698781">
      <w:bodyDiv w:val="1"/>
      <w:marLeft w:val="0"/>
      <w:marRight w:val="0"/>
      <w:marTop w:val="0"/>
      <w:marBottom w:val="0"/>
      <w:divBdr>
        <w:top w:val="none" w:sz="0" w:space="0" w:color="auto"/>
        <w:left w:val="none" w:sz="0" w:space="0" w:color="auto"/>
        <w:bottom w:val="none" w:sz="0" w:space="0" w:color="auto"/>
        <w:right w:val="none" w:sz="0" w:space="0" w:color="auto"/>
      </w:divBdr>
    </w:div>
    <w:div w:id="306739700">
      <w:bodyDiv w:val="1"/>
      <w:marLeft w:val="0"/>
      <w:marRight w:val="0"/>
      <w:marTop w:val="0"/>
      <w:marBottom w:val="0"/>
      <w:divBdr>
        <w:top w:val="none" w:sz="0" w:space="0" w:color="auto"/>
        <w:left w:val="none" w:sz="0" w:space="0" w:color="auto"/>
        <w:bottom w:val="none" w:sz="0" w:space="0" w:color="auto"/>
        <w:right w:val="none" w:sz="0" w:space="0" w:color="auto"/>
      </w:divBdr>
    </w:div>
    <w:div w:id="327289126">
      <w:bodyDiv w:val="1"/>
      <w:marLeft w:val="0"/>
      <w:marRight w:val="0"/>
      <w:marTop w:val="0"/>
      <w:marBottom w:val="0"/>
      <w:divBdr>
        <w:top w:val="none" w:sz="0" w:space="0" w:color="auto"/>
        <w:left w:val="none" w:sz="0" w:space="0" w:color="auto"/>
        <w:bottom w:val="none" w:sz="0" w:space="0" w:color="auto"/>
        <w:right w:val="none" w:sz="0" w:space="0" w:color="auto"/>
      </w:divBdr>
    </w:div>
    <w:div w:id="388842031">
      <w:bodyDiv w:val="1"/>
      <w:marLeft w:val="0"/>
      <w:marRight w:val="0"/>
      <w:marTop w:val="0"/>
      <w:marBottom w:val="0"/>
      <w:divBdr>
        <w:top w:val="none" w:sz="0" w:space="0" w:color="auto"/>
        <w:left w:val="none" w:sz="0" w:space="0" w:color="auto"/>
        <w:bottom w:val="none" w:sz="0" w:space="0" w:color="auto"/>
        <w:right w:val="none" w:sz="0" w:space="0" w:color="auto"/>
      </w:divBdr>
    </w:div>
    <w:div w:id="468323056">
      <w:bodyDiv w:val="1"/>
      <w:marLeft w:val="0"/>
      <w:marRight w:val="0"/>
      <w:marTop w:val="0"/>
      <w:marBottom w:val="0"/>
      <w:divBdr>
        <w:top w:val="none" w:sz="0" w:space="0" w:color="auto"/>
        <w:left w:val="none" w:sz="0" w:space="0" w:color="auto"/>
        <w:bottom w:val="none" w:sz="0" w:space="0" w:color="auto"/>
        <w:right w:val="none" w:sz="0" w:space="0" w:color="auto"/>
      </w:divBdr>
    </w:div>
    <w:div w:id="481850324">
      <w:bodyDiv w:val="1"/>
      <w:marLeft w:val="0"/>
      <w:marRight w:val="0"/>
      <w:marTop w:val="0"/>
      <w:marBottom w:val="0"/>
      <w:divBdr>
        <w:top w:val="none" w:sz="0" w:space="0" w:color="auto"/>
        <w:left w:val="none" w:sz="0" w:space="0" w:color="auto"/>
        <w:bottom w:val="none" w:sz="0" w:space="0" w:color="auto"/>
        <w:right w:val="none" w:sz="0" w:space="0" w:color="auto"/>
      </w:divBdr>
    </w:div>
    <w:div w:id="518079187">
      <w:bodyDiv w:val="1"/>
      <w:marLeft w:val="0"/>
      <w:marRight w:val="0"/>
      <w:marTop w:val="0"/>
      <w:marBottom w:val="0"/>
      <w:divBdr>
        <w:top w:val="none" w:sz="0" w:space="0" w:color="auto"/>
        <w:left w:val="none" w:sz="0" w:space="0" w:color="auto"/>
        <w:bottom w:val="none" w:sz="0" w:space="0" w:color="auto"/>
        <w:right w:val="none" w:sz="0" w:space="0" w:color="auto"/>
      </w:divBdr>
    </w:div>
    <w:div w:id="535195968">
      <w:bodyDiv w:val="1"/>
      <w:marLeft w:val="0"/>
      <w:marRight w:val="0"/>
      <w:marTop w:val="0"/>
      <w:marBottom w:val="0"/>
      <w:divBdr>
        <w:top w:val="none" w:sz="0" w:space="0" w:color="auto"/>
        <w:left w:val="none" w:sz="0" w:space="0" w:color="auto"/>
        <w:bottom w:val="none" w:sz="0" w:space="0" w:color="auto"/>
        <w:right w:val="none" w:sz="0" w:space="0" w:color="auto"/>
      </w:divBdr>
    </w:div>
    <w:div w:id="554631417">
      <w:bodyDiv w:val="1"/>
      <w:marLeft w:val="0"/>
      <w:marRight w:val="0"/>
      <w:marTop w:val="0"/>
      <w:marBottom w:val="0"/>
      <w:divBdr>
        <w:top w:val="none" w:sz="0" w:space="0" w:color="auto"/>
        <w:left w:val="none" w:sz="0" w:space="0" w:color="auto"/>
        <w:bottom w:val="none" w:sz="0" w:space="0" w:color="auto"/>
        <w:right w:val="none" w:sz="0" w:space="0" w:color="auto"/>
      </w:divBdr>
    </w:div>
    <w:div w:id="562105013">
      <w:bodyDiv w:val="1"/>
      <w:marLeft w:val="0"/>
      <w:marRight w:val="0"/>
      <w:marTop w:val="0"/>
      <w:marBottom w:val="0"/>
      <w:divBdr>
        <w:top w:val="none" w:sz="0" w:space="0" w:color="auto"/>
        <w:left w:val="none" w:sz="0" w:space="0" w:color="auto"/>
        <w:bottom w:val="none" w:sz="0" w:space="0" w:color="auto"/>
        <w:right w:val="none" w:sz="0" w:space="0" w:color="auto"/>
      </w:divBdr>
    </w:div>
    <w:div w:id="575630456">
      <w:bodyDiv w:val="1"/>
      <w:marLeft w:val="0"/>
      <w:marRight w:val="0"/>
      <w:marTop w:val="0"/>
      <w:marBottom w:val="0"/>
      <w:divBdr>
        <w:top w:val="none" w:sz="0" w:space="0" w:color="auto"/>
        <w:left w:val="none" w:sz="0" w:space="0" w:color="auto"/>
        <w:bottom w:val="none" w:sz="0" w:space="0" w:color="auto"/>
        <w:right w:val="none" w:sz="0" w:space="0" w:color="auto"/>
      </w:divBdr>
    </w:div>
    <w:div w:id="579869243">
      <w:bodyDiv w:val="1"/>
      <w:marLeft w:val="0"/>
      <w:marRight w:val="0"/>
      <w:marTop w:val="0"/>
      <w:marBottom w:val="0"/>
      <w:divBdr>
        <w:top w:val="none" w:sz="0" w:space="0" w:color="auto"/>
        <w:left w:val="none" w:sz="0" w:space="0" w:color="auto"/>
        <w:bottom w:val="none" w:sz="0" w:space="0" w:color="auto"/>
        <w:right w:val="none" w:sz="0" w:space="0" w:color="auto"/>
      </w:divBdr>
    </w:div>
    <w:div w:id="590772456">
      <w:bodyDiv w:val="1"/>
      <w:marLeft w:val="0"/>
      <w:marRight w:val="0"/>
      <w:marTop w:val="0"/>
      <w:marBottom w:val="0"/>
      <w:divBdr>
        <w:top w:val="none" w:sz="0" w:space="0" w:color="auto"/>
        <w:left w:val="none" w:sz="0" w:space="0" w:color="auto"/>
        <w:bottom w:val="none" w:sz="0" w:space="0" w:color="auto"/>
        <w:right w:val="none" w:sz="0" w:space="0" w:color="auto"/>
      </w:divBdr>
    </w:div>
    <w:div w:id="593631530">
      <w:bodyDiv w:val="1"/>
      <w:marLeft w:val="0"/>
      <w:marRight w:val="0"/>
      <w:marTop w:val="0"/>
      <w:marBottom w:val="0"/>
      <w:divBdr>
        <w:top w:val="none" w:sz="0" w:space="0" w:color="auto"/>
        <w:left w:val="none" w:sz="0" w:space="0" w:color="auto"/>
        <w:bottom w:val="none" w:sz="0" w:space="0" w:color="auto"/>
        <w:right w:val="none" w:sz="0" w:space="0" w:color="auto"/>
      </w:divBdr>
    </w:div>
    <w:div w:id="618803102">
      <w:bodyDiv w:val="1"/>
      <w:marLeft w:val="0"/>
      <w:marRight w:val="0"/>
      <w:marTop w:val="0"/>
      <w:marBottom w:val="0"/>
      <w:divBdr>
        <w:top w:val="none" w:sz="0" w:space="0" w:color="auto"/>
        <w:left w:val="none" w:sz="0" w:space="0" w:color="auto"/>
        <w:bottom w:val="none" w:sz="0" w:space="0" w:color="auto"/>
        <w:right w:val="none" w:sz="0" w:space="0" w:color="auto"/>
      </w:divBdr>
    </w:div>
    <w:div w:id="633213319">
      <w:bodyDiv w:val="1"/>
      <w:marLeft w:val="0"/>
      <w:marRight w:val="0"/>
      <w:marTop w:val="0"/>
      <w:marBottom w:val="0"/>
      <w:divBdr>
        <w:top w:val="none" w:sz="0" w:space="0" w:color="auto"/>
        <w:left w:val="none" w:sz="0" w:space="0" w:color="auto"/>
        <w:bottom w:val="none" w:sz="0" w:space="0" w:color="auto"/>
        <w:right w:val="none" w:sz="0" w:space="0" w:color="auto"/>
      </w:divBdr>
    </w:div>
    <w:div w:id="672538010">
      <w:bodyDiv w:val="1"/>
      <w:marLeft w:val="0"/>
      <w:marRight w:val="0"/>
      <w:marTop w:val="0"/>
      <w:marBottom w:val="0"/>
      <w:divBdr>
        <w:top w:val="none" w:sz="0" w:space="0" w:color="auto"/>
        <w:left w:val="none" w:sz="0" w:space="0" w:color="auto"/>
        <w:bottom w:val="none" w:sz="0" w:space="0" w:color="auto"/>
        <w:right w:val="none" w:sz="0" w:space="0" w:color="auto"/>
      </w:divBdr>
    </w:div>
    <w:div w:id="697655735">
      <w:bodyDiv w:val="1"/>
      <w:marLeft w:val="0"/>
      <w:marRight w:val="0"/>
      <w:marTop w:val="0"/>
      <w:marBottom w:val="0"/>
      <w:divBdr>
        <w:top w:val="none" w:sz="0" w:space="0" w:color="auto"/>
        <w:left w:val="none" w:sz="0" w:space="0" w:color="auto"/>
        <w:bottom w:val="none" w:sz="0" w:space="0" w:color="auto"/>
        <w:right w:val="none" w:sz="0" w:space="0" w:color="auto"/>
      </w:divBdr>
    </w:div>
    <w:div w:id="711541492">
      <w:bodyDiv w:val="1"/>
      <w:marLeft w:val="0"/>
      <w:marRight w:val="0"/>
      <w:marTop w:val="0"/>
      <w:marBottom w:val="0"/>
      <w:divBdr>
        <w:top w:val="none" w:sz="0" w:space="0" w:color="auto"/>
        <w:left w:val="none" w:sz="0" w:space="0" w:color="auto"/>
        <w:bottom w:val="none" w:sz="0" w:space="0" w:color="auto"/>
        <w:right w:val="none" w:sz="0" w:space="0" w:color="auto"/>
      </w:divBdr>
    </w:div>
    <w:div w:id="715740174">
      <w:bodyDiv w:val="1"/>
      <w:marLeft w:val="0"/>
      <w:marRight w:val="0"/>
      <w:marTop w:val="0"/>
      <w:marBottom w:val="0"/>
      <w:divBdr>
        <w:top w:val="none" w:sz="0" w:space="0" w:color="auto"/>
        <w:left w:val="none" w:sz="0" w:space="0" w:color="auto"/>
        <w:bottom w:val="none" w:sz="0" w:space="0" w:color="auto"/>
        <w:right w:val="none" w:sz="0" w:space="0" w:color="auto"/>
      </w:divBdr>
    </w:div>
    <w:div w:id="715859455">
      <w:bodyDiv w:val="1"/>
      <w:marLeft w:val="0"/>
      <w:marRight w:val="0"/>
      <w:marTop w:val="0"/>
      <w:marBottom w:val="0"/>
      <w:divBdr>
        <w:top w:val="none" w:sz="0" w:space="0" w:color="auto"/>
        <w:left w:val="none" w:sz="0" w:space="0" w:color="auto"/>
        <w:bottom w:val="none" w:sz="0" w:space="0" w:color="auto"/>
        <w:right w:val="none" w:sz="0" w:space="0" w:color="auto"/>
      </w:divBdr>
    </w:div>
    <w:div w:id="730347610">
      <w:bodyDiv w:val="1"/>
      <w:marLeft w:val="0"/>
      <w:marRight w:val="0"/>
      <w:marTop w:val="0"/>
      <w:marBottom w:val="0"/>
      <w:divBdr>
        <w:top w:val="none" w:sz="0" w:space="0" w:color="auto"/>
        <w:left w:val="none" w:sz="0" w:space="0" w:color="auto"/>
        <w:bottom w:val="none" w:sz="0" w:space="0" w:color="auto"/>
        <w:right w:val="none" w:sz="0" w:space="0" w:color="auto"/>
      </w:divBdr>
    </w:div>
    <w:div w:id="779110787">
      <w:bodyDiv w:val="1"/>
      <w:marLeft w:val="0"/>
      <w:marRight w:val="0"/>
      <w:marTop w:val="0"/>
      <w:marBottom w:val="0"/>
      <w:divBdr>
        <w:top w:val="none" w:sz="0" w:space="0" w:color="auto"/>
        <w:left w:val="none" w:sz="0" w:space="0" w:color="auto"/>
        <w:bottom w:val="none" w:sz="0" w:space="0" w:color="auto"/>
        <w:right w:val="none" w:sz="0" w:space="0" w:color="auto"/>
      </w:divBdr>
    </w:div>
    <w:div w:id="828983211">
      <w:bodyDiv w:val="1"/>
      <w:marLeft w:val="0"/>
      <w:marRight w:val="0"/>
      <w:marTop w:val="0"/>
      <w:marBottom w:val="0"/>
      <w:divBdr>
        <w:top w:val="none" w:sz="0" w:space="0" w:color="auto"/>
        <w:left w:val="none" w:sz="0" w:space="0" w:color="auto"/>
        <w:bottom w:val="none" w:sz="0" w:space="0" w:color="auto"/>
        <w:right w:val="none" w:sz="0" w:space="0" w:color="auto"/>
      </w:divBdr>
    </w:div>
    <w:div w:id="852691143">
      <w:bodyDiv w:val="1"/>
      <w:marLeft w:val="0"/>
      <w:marRight w:val="0"/>
      <w:marTop w:val="0"/>
      <w:marBottom w:val="0"/>
      <w:divBdr>
        <w:top w:val="none" w:sz="0" w:space="0" w:color="auto"/>
        <w:left w:val="none" w:sz="0" w:space="0" w:color="auto"/>
        <w:bottom w:val="none" w:sz="0" w:space="0" w:color="auto"/>
        <w:right w:val="none" w:sz="0" w:space="0" w:color="auto"/>
      </w:divBdr>
    </w:div>
    <w:div w:id="874005337">
      <w:bodyDiv w:val="1"/>
      <w:marLeft w:val="0"/>
      <w:marRight w:val="0"/>
      <w:marTop w:val="0"/>
      <w:marBottom w:val="0"/>
      <w:divBdr>
        <w:top w:val="none" w:sz="0" w:space="0" w:color="auto"/>
        <w:left w:val="none" w:sz="0" w:space="0" w:color="auto"/>
        <w:bottom w:val="none" w:sz="0" w:space="0" w:color="auto"/>
        <w:right w:val="none" w:sz="0" w:space="0" w:color="auto"/>
      </w:divBdr>
    </w:div>
    <w:div w:id="877620661">
      <w:bodyDiv w:val="1"/>
      <w:marLeft w:val="0"/>
      <w:marRight w:val="0"/>
      <w:marTop w:val="0"/>
      <w:marBottom w:val="0"/>
      <w:divBdr>
        <w:top w:val="none" w:sz="0" w:space="0" w:color="auto"/>
        <w:left w:val="none" w:sz="0" w:space="0" w:color="auto"/>
        <w:bottom w:val="none" w:sz="0" w:space="0" w:color="auto"/>
        <w:right w:val="none" w:sz="0" w:space="0" w:color="auto"/>
      </w:divBdr>
    </w:div>
    <w:div w:id="881792447">
      <w:bodyDiv w:val="1"/>
      <w:marLeft w:val="0"/>
      <w:marRight w:val="0"/>
      <w:marTop w:val="0"/>
      <w:marBottom w:val="0"/>
      <w:divBdr>
        <w:top w:val="none" w:sz="0" w:space="0" w:color="auto"/>
        <w:left w:val="none" w:sz="0" w:space="0" w:color="auto"/>
        <w:bottom w:val="none" w:sz="0" w:space="0" w:color="auto"/>
        <w:right w:val="none" w:sz="0" w:space="0" w:color="auto"/>
      </w:divBdr>
    </w:div>
    <w:div w:id="893347765">
      <w:bodyDiv w:val="1"/>
      <w:marLeft w:val="0"/>
      <w:marRight w:val="0"/>
      <w:marTop w:val="0"/>
      <w:marBottom w:val="0"/>
      <w:divBdr>
        <w:top w:val="none" w:sz="0" w:space="0" w:color="auto"/>
        <w:left w:val="none" w:sz="0" w:space="0" w:color="auto"/>
        <w:bottom w:val="none" w:sz="0" w:space="0" w:color="auto"/>
        <w:right w:val="none" w:sz="0" w:space="0" w:color="auto"/>
      </w:divBdr>
    </w:div>
    <w:div w:id="919873752">
      <w:bodyDiv w:val="1"/>
      <w:marLeft w:val="0"/>
      <w:marRight w:val="0"/>
      <w:marTop w:val="0"/>
      <w:marBottom w:val="0"/>
      <w:divBdr>
        <w:top w:val="none" w:sz="0" w:space="0" w:color="auto"/>
        <w:left w:val="none" w:sz="0" w:space="0" w:color="auto"/>
        <w:bottom w:val="none" w:sz="0" w:space="0" w:color="auto"/>
        <w:right w:val="none" w:sz="0" w:space="0" w:color="auto"/>
      </w:divBdr>
    </w:div>
    <w:div w:id="926696108">
      <w:bodyDiv w:val="1"/>
      <w:marLeft w:val="0"/>
      <w:marRight w:val="0"/>
      <w:marTop w:val="0"/>
      <w:marBottom w:val="0"/>
      <w:divBdr>
        <w:top w:val="none" w:sz="0" w:space="0" w:color="auto"/>
        <w:left w:val="none" w:sz="0" w:space="0" w:color="auto"/>
        <w:bottom w:val="none" w:sz="0" w:space="0" w:color="auto"/>
        <w:right w:val="none" w:sz="0" w:space="0" w:color="auto"/>
      </w:divBdr>
    </w:div>
    <w:div w:id="986593228">
      <w:bodyDiv w:val="1"/>
      <w:marLeft w:val="0"/>
      <w:marRight w:val="0"/>
      <w:marTop w:val="0"/>
      <w:marBottom w:val="0"/>
      <w:divBdr>
        <w:top w:val="none" w:sz="0" w:space="0" w:color="auto"/>
        <w:left w:val="none" w:sz="0" w:space="0" w:color="auto"/>
        <w:bottom w:val="none" w:sz="0" w:space="0" w:color="auto"/>
        <w:right w:val="none" w:sz="0" w:space="0" w:color="auto"/>
      </w:divBdr>
    </w:div>
    <w:div w:id="1165628767">
      <w:bodyDiv w:val="1"/>
      <w:marLeft w:val="0"/>
      <w:marRight w:val="0"/>
      <w:marTop w:val="0"/>
      <w:marBottom w:val="0"/>
      <w:divBdr>
        <w:top w:val="none" w:sz="0" w:space="0" w:color="auto"/>
        <w:left w:val="none" w:sz="0" w:space="0" w:color="auto"/>
        <w:bottom w:val="none" w:sz="0" w:space="0" w:color="auto"/>
        <w:right w:val="none" w:sz="0" w:space="0" w:color="auto"/>
      </w:divBdr>
    </w:div>
    <w:div w:id="1188982707">
      <w:bodyDiv w:val="1"/>
      <w:marLeft w:val="0"/>
      <w:marRight w:val="0"/>
      <w:marTop w:val="0"/>
      <w:marBottom w:val="0"/>
      <w:divBdr>
        <w:top w:val="none" w:sz="0" w:space="0" w:color="auto"/>
        <w:left w:val="none" w:sz="0" w:space="0" w:color="auto"/>
        <w:bottom w:val="none" w:sz="0" w:space="0" w:color="auto"/>
        <w:right w:val="none" w:sz="0" w:space="0" w:color="auto"/>
      </w:divBdr>
    </w:div>
    <w:div w:id="1220900591">
      <w:bodyDiv w:val="1"/>
      <w:marLeft w:val="0"/>
      <w:marRight w:val="0"/>
      <w:marTop w:val="0"/>
      <w:marBottom w:val="0"/>
      <w:divBdr>
        <w:top w:val="none" w:sz="0" w:space="0" w:color="auto"/>
        <w:left w:val="none" w:sz="0" w:space="0" w:color="auto"/>
        <w:bottom w:val="none" w:sz="0" w:space="0" w:color="auto"/>
        <w:right w:val="none" w:sz="0" w:space="0" w:color="auto"/>
      </w:divBdr>
    </w:div>
    <w:div w:id="1257204771">
      <w:bodyDiv w:val="1"/>
      <w:marLeft w:val="0"/>
      <w:marRight w:val="0"/>
      <w:marTop w:val="0"/>
      <w:marBottom w:val="0"/>
      <w:divBdr>
        <w:top w:val="none" w:sz="0" w:space="0" w:color="auto"/>
        <w:left w:val="none" w:sz="0" w:space="0" w:color="auto"/>
        <w:bottom w:val="none" w:sz="0" w:space="0" w:color="auto"/>
        <w:right w:val="none" w:sz="0" w:space="0" w:color="auto"/>
      </w:divBdr>
    </w:div>
    <w:div w:id="1260869283">
      <w:bodyDiv w:val="1"/>
      <w:marLeft w:val="0"/>
      <w:marRight w:val="0"/>
      <w:marTop w:val="0"/>
      <w:marBottom w:val="0"/>
      <w:divBdr>
        <w:top w:val="none" w:sz="0" w:space="0" w:color="auto"/>
        <w:left w:val="none" w:sz="0" w:space="0" w:color="auto"/>
        <w:bottom w:val="none" w:sz="0" w:space="0" w:color="auto"/>
        <w:right w:val="none" w:sz="0" w:space="0" w:color="auto"/>
      </w:divBdr>
    </w:div>
    <w:div w:id="1262645655">
      <w:bodyDiv w:val="1"/>
      <w:marLeft w:val="0"/>
      <w:marRight w:val="0"/>
      <w:marTop w:val="0"/>
      <w:marBottom w:val="0"/>
      <w:divBdr>
        <w:top w:val="none" w:sz="0" w:space="0" w:color="auto"/>
        <w:left w:val="none" w:sz="0" w:space="0" w:color="auto"/>
        <w:bottom w:val="none" w:sz="0" w:space="0" w:color="auto"/>
        <w:right w:val="none" w:sz="0" w:space="0" w:color="auto"/>
      </w:divBdr>
    </w:div>
    <w:div w:id="1315766573">
      <w:bodyDiv w:val="1"/>
      <w:marLeft w:val="0"/>
      <w:marRight w:val="0"/>
      <w:marTop w:val="0"/>
      <w:marBottom w:val="0"/>
      <w:divBdr>
        <w:top w:val="none" w:sz="0" w:space="0" w:color="auto"/>
        <w:left w:val="none" w:sz="0" w:space="0" w:color="auto"/>
        <w:bottom w:val="none" w:sz="0" w:space="0" w:color="auto"/>
        <w:right w:val="none" w:sz="0" w:space="0" w:color="auto"/>
      </w:divBdr>
    </w:div>
    <w:div w:id="1341355478">
      <w:bodyDiv w:val="1"/>
      <w:marLeft w:val="0"/>
      <w:marRight w:val="0"/>
      <w:marTop w:val="0"/>
      <w:marBottom w:val="0"/>
      <w:divBdr>
        <w:top w:val="none" w:sz="0" w:space="0" w:color="auto"/>
        <w:left w:val="none" w:sz="0" w:space="0" w:color="auto"/>
        <w:bottom w:val="none" w:sz="0" w:space="0" w:color="auto"/>
        <w:right w:val="none" w:sz="0" w:space="0" w:color="auto"/>
      </w:divBdr>
    </w:div>
    <w:div w:id="1428427309">
      <w:bodyDiv w:val="1"/>
      <w:marLeft w:val="0"/>
      <w:marRight w:val="0"/>
      <w:marTop w:val="0"/>
      <w:marBottom w:val="0"/>
      <w:divBdr>
        <w:top w:val="none" w:sz="0" w:space="0" w:color="auto"/>
        <w:left w:val="none" w:sz="0" w:space="0" w:color="auto"/>
        <w:bottom w:val="none" w:sz="0" w:space="0" w:color="auto"/>
        <w:right w:val="none" w:sz="0" w:space="0" w:color="auto"/>
      </w:divBdr>
    </w:div>
    <w:div w:id="1448619177">
      <w:bodyDiv w:val="1"/>
      <w:marLeft w:val="0"/>
      <w:marRight w:val="0"/>
      <w:marTop w:val="0"/>
      <w:marBottom w:val="0"/>
      <w:divBdr>
        <w:top w:val="none" w:sz="0" w:space="0" w:color="auto"/>
        <w:left w:val="none" w:sz="0" w:space="0" w:color="auto"/>
        <w:bottom w:val="none" w:sz="0" w:space="0" w:color="auto"/>
        <w:right w:val="none" w:sz="0" w:space="0" w:color="auto"/>
      </w:divBdr>
    </w:div>
    <w:div w:id="1464735406">
      <w:bodyDiv w:val="1"/>
      <w:marLeft w:val="0"/>
      <w:marRight w:val="0"/>
      <w:marTop w:val="0"/>
      <w:marBottom w:val="0"/>
      <w:divBdr>
        <w:top w:val="none" w:sz="0" w:space="0" w:color="auto"/>
        <w:left w:val="none" w:sz="0" w:space="0" w:color="auto"/>
        <w:bottom w:val="none" w:sz="0" w:space="0" w:color="auto"/>
        <w:right w:val="none" w:sz="0" w:space="0" w:color="auto"/>
      </w:divBdr>
    </w:div>
    <w:div w:id="1469321296">
      <w:bodyDiv w:val="1"/>
      <w:marLeft w:val="0"/>
      <w:marRight w:val="0"/>
      <w:marTop w:val="0"/>
      <w:marBottom w:val="0"/>
      <w:divBdr>
        <w:top w:val="none" w:sz="0" w:space="0" w:color="auto"/>
        <w:left w:val="none" w:sz="0" w:space="0" w:color="auto"/>
        <w:bottom w:val="none" w:sz="0" w:space="0" w:color="auto"/>
        <w:right w:val="none" w:sz="0" w:space="0" w:color="auto"/>
      </w:divBdr>
    </w:div>
    <w:div w:id="1478642832">
      <w:bodyDiv w:val="1"/>
      <w:marLeft w:val="0"/>
      <w:marRight w:val="0"/>
      <w:marTop w:val="0"/>
      <w:marBottom w:val="0"/>
      <w:divBdr>
        <w:top w:val="none" w:sz="0" w:space="0" w:color="auto"/>
        <w:left w:val="none" w:sz="0" w:space="0" w:color="auto"/>
        <w:bottom w:val="none" w:sz="0" w:space="0" w:color="auto"/>
        <w:right w:val="none" w:sz="0" w:space="0" w:color="auto"/>
      </w:divBdr>
    </w:div>
    <w:div w:id="1511483487">
      <w:bodyDiv w:val="1"/>
      <w:marLeft w:val="0"/>
      <w:marRight w:val="0"/>
      <w:marTop w:val="0"/>
      <w:marBottom w:val="0"/>
      <w:divBdr>
        <w:top w:val="none" w:sz="0" w:space="0" w:color="auto"/>
        <w:left w:val="none" w:sz="0" w:space="0" w:color="auto"/>
        <w:bottom w:val="none" w:sz="0" w:space="0" w:color="auto"/>
        <w:right w:val="none" w:sz="0" w:space="0" w:color="auto"/>
      </w:divBdr>
    </w:div>
    <w:div w:id="1539202496">
      <w:bodyDiv w:val="1"/>
      <w:marLeft w:val="0"/>
      <w:marRight w:val="0"/>
      <w:marTop w:val="0"/>
      <w:marBottom w:val="0"/>
      <w:divBdr>
        <w:top w:val="none" w:sz="0" w:space="0" w:color="auto"/>
        <w:left w:val="none" w:sz="0" w:space="0" w:color="auto"/>
        <w:bottom w:val="none" w:sz="0" w:space="0" w:color="auto"/>
        <w:right w:val="none" w:sz="0" w:space="0" w:color="auto"/>
      </w:divBdr>
    </w:div>
    <w:div w:id="1582718607">
      <w:bodyDiv w:val="1"/>
      <w:marLeft w:val="0"/>
      <w:marRight w:val="0"/>
      <w:marTop w:val="0"/>
      <w:marBottom w:val="0"/>
      <w:divBdr>
        <w:top w:val="none" w:sz="0" w:space="0" w:color="auto"/>
        <w:left w:val="none" w:sz="0" w:space="0" w:color="auto"/>
        <w:bottom w:val="none" w:sz="0" w:space="0" w:color="auto"/>
        <w:right w:val="none" w:sz="0" w:space="0" w:color="auto"/>
      </w:divBdr>
    </w:div>
    <w:div w:id="1609311841">
      <w:bodyDiv w:val="1"/>
      <w:marLeft w:val="0"/>
      <w:marRight w:val="0"/>
      <w:marTop w:val="0"/>
      <w:marBottom w:val="0"/>
      <w:divBdr>
        <w:top w:val="none" w:sz="0" w:space="0" w:color="auto"/>
        <w:left w:val="none" w:sz="0" w:space="0" w:color="auto"/>
        <w:bottom w:val="none" w:sz="0" w:space="0" w:color="auto"/>
        <w:right w:val="none" w:sz="0" w:space="0" w:color="auto"/>
      </w:divBdr>
    </w:div>
    <w:div w:id="1632250188">
      <w:bodyDiv w:val="1"/>
      <w:marLeft w:val="0"/>
      <w:marRight w:val="0"/>
      <w:marTop w:val="0"/>
      <w:marBottom w:val="0"/>
      <w:divBdr>
        <w:top w:val="none" w:sz="0" w:space="0" w:color="auto"/>
        <w:left w:val="none" w:sz="0" w:space="0" w:color="auto"/>
        <w:bottom w:val="none" w:sz="0" w:space="0" w:color="auto"/>
        <w:right w:val="none" w:sz="0" w:space="0" w:color="auto"/>
      </w:divBdr>
    </w:div>
    <w:div w:id="1648050980">
      <w:bodyDiv w:val="1"/>
      <w:marLeft w:val="0"/>
      <w:marRight w:val="0"/>
      <w:marTop w:val="0"/>
      <w:marBottom w:val="0"/>
      <w:divBdr>
        <w:top w:val="none" w:sz="0" w:space="0" w:color="auto"/>
        <w:left w:val="none" w:sz="0" w:space="0" w:color="auto"/>
        <w:bottom w:val="none" w:sz="0" w:space="0" w:color="auto"/>
        <w:right w:val="none" w:sz="0" w:space="0" w:color="auto"/>
      </w:divBdr>
    </w:div>
    <w:div w:id="1648703433">
      <w:bodyDiv w:val="1"/>
      <w:marLeft w:val="0"/>
      <w:marRight w:val="0"/>
      <w:marTop w:val="0"/>
      <w:marBottom w:val="0"/>
      <w:divBdr>
        <w:top w:val="none" w:sz="0" w:space="0" w:color="auto"/>
        <w:left w:val="none" w:sz="0" w:space="0" w:color="auto"/>
        <w:bottom w:val="none" w:sz="0" w:space="0" w:color="auto"/>
        <w:right w:val="none" w:sz="0" w:space="0" w:color="auto"/>
      </w:divBdr>
    </w:div>
    <w:div w:id="1659573127">
      <w:bodyDiv w:val="1"/>
      <w:marLeft w:val="0"/>
      <w:marRight w:val="0"/>
      <w:marTop w:val="0"/>
      <w:marBottom w:val="0"/>
      <w:divBdr>
        <w:top w:val="none" w:sz="0" w:space="0" w:color="auto"/>
        <w:left w:val="none" w:sz="0" w:space="0" w:color="auto"/>
        <w:bottom w:val="none" w:sz="0" w:space="0" w:color="auto"/>
        <w:right w:val="none" w:sz="0" w:space="0" w:color="auto"/>
      </w:divBdr>
    </w:div>
    <w:div w:id="1690179526">
      <w:bodyDiv w:val="1"/>
      <w:marLeft w:val="0"/>
      <w:marRight w:val="0"/>
      <w:marTop w:val="0"/>
      <w:marBottom w:val="0"/>
      <w:divBdr>
        <w:top w:val="none" w:sz="0" w:space="0" w:color="auto"/>
        <w:left w:val="none" w:sz="0" w:space="0" w:color="auto"/>
        <w:bottom w:val="none" w:sz="0" w:space="0" w:color="auto"/>
        <w:right w:val="none" w:sz="0" w:space="0" w:color="auto"/>
      </w:divBdr>
    </w:div>
    <w:div w:id="1742828625">
      <w:bodyDiv w:val="1"/>
      <w:marLeft w:val="0"/>
      <w:marRight w:val="0"/>
      <w:marTop w:val="0"/>
      <w:marBottom w:val="0"/>
      <w:divBdr>
        <w:top w:val="none" w:sz="0" w:space="0" w:color="auto"/>
        <w:left w:val="none" w:sz="0" w:space="0" w:color="auto"/>
        <w:bottom w:val="none" w:sz="0" w:space="0" w:color="auto"/>
        <w:right w:val="none" w:sz="0" w:space="0" w:color="auto"/>
      </w:divBdr>
    </w:div>
    <w:div w:id="1803234463">
      <w:bodyDiv w:val="1"/>
      <w:marLeft w:val="0"/>
      <w:marRight w:val="0"/>
      <w:marTop w:val="0"/>
      <w:marBottom w:val="0"/>
      <w:divBdr>
        <w:top w:val="none" w:sz="0" w:space="0" w:color="auto"/>
        <w:left w:val="none" w:sz="0" w:space="0" w:color="auto"/>
        <w:bottom w:val="none" w:sz="0" w:space="0" w:color="auto"/>
        <w:right w:val="none" w:sz="0" w:space="0" w:color="auto"/>
      </w:divBdr>
    </w:div>
    <w:div w:id="1853569975">
      <w:bodyDiv w:val="1"/>
      <w:marLeft w:val="0"/>
      <w:marRight w:val="0"/>
      <w:marTop w:val="0"/>
      <w:marBottom w:val="0"/>
      <w:divBdr>
        <w:top w:val="none" w:sz="0" w:space="0" w:color="auto"/>
        <w:left w:val="none" w:sz="0" w:space="0" w:color="auto"/>
        <w:bottom w:val="none" w:sz="0" w:space="0" w:color="auto"/>
        <w:right w:val="none" w:sz="0" w:space="0" w:color="auto"/>
      </w:divBdr>
    </w:div>
    <w:div w:id="1854831307">
      <w:bodyDiv w:val="1"/>
      <w:marLeft w:val="0"/>
      <w:marRight w:val="0"/>
      <w:marTop w:val="0"/>
      <w:marBottom w:val="0"/>
      <w:divBdr>
        <w:top w:val="none" w:sz="0" w:space="0" w:color="auto"/>
        <w:left w:val="none" w:sz="0" w:space="0" w:color="auto"/>
        <w:bottom w:val="none" w:sz="0" w:space="0" w:color="auto"/>
        <w:right w:val="none" w:sz="0" w:space="0" w:color="auto"/>
      </w:divBdr>
    </w:div>
    <w:div w:id="1881090864">
      <w:bodyDiv w:val="1"/>
      <w:marLeft w:val="0"/>
      <w:marRight w:val="0"/>
      <w:marTop w:val="0"/>
      <w:marBottom w:val="0"/>
      <w:divBdr>
        <w:top w:val="none" w:sz="0" w:space="0" w:color="auto"/>
        <w:left w:val="none" w:sz="0" w:space="0" w:color="auto"/>
        <w:bottom w:val="none" w:sz="0" w:space="0" w:color="auto"/>
        <w:right w:val="none" w:sz="0" w:space="0" w:color="auto"/>
      </w:divBdr>
    </w:div>
    <w:div w:id="1925458339">
      <w:bodyDiv w:val="1"/>
      <w:marLeft w:val="0"/>
      <w:marRight w:val="0"/>
      <w:marTop w:val="0"/>
      <w:marBottom w:val="0"/>
      <w:divBdr>
        <w:top w:val="none" w:sz="0" w:space="0" w:color="auto"/>
        <w:left w:val="none" w:sz="0" w:space="0" w:color="auto"/>
        <w:bottom w:val="none" w:sz="0" w:space="0" w:color="auto"/>
        <w:right w:val="none" w:sz="0" w:space="0" w:color="auto"/>
      </w:divBdr>
    </w:div>
    <w:div w:id="1950428744">
      <w:bodyDiv w:val="1"/>
      <w:marLeft w:val="0"/>
      <w:marRight w:val="0"/>
      <w:marTop w:val="0"/>
      <w:marBottom w:val="0"/>
      <w:divBdr>
        <w:top w:val="none" w:sz="0" w:space="0" w:color="auto"/>
        <w:left w:val="none" w:sz="0" w:space="0" w:color="auto"/>
        <w:bottom w:val="none" w:sz="0" w:space="0" w:color="auto"/>
        <w:right w:val="none" w:sz="0" w:space="0" w:color="auto"/>
      </w:divBdr>
    </w:div>
    <w:div w:id="2003775253">
      <w:bodyDiv w:val="1"/>
      <w:marLeft w:val="0"/>
      <w:marRight w:val="0"/>
      <w:marTop w:val="0"/>
      <w:marBottom w:val="0"/>
      <w:divBdr>
        <w:top w:val="none" w:sz="0" w:space="0" w:color="auto"/>
        <w:left w:val="none" w:sz="0" w:space="0" w:color="auto"/>
        <w:bottom w:val="none" w:sz="0" w:space="0" w:color="auto"/>
        <w:right w:val="none" w:sz="0" w:space="0" w:color="auto"/>
      </w:divBdr>
    </w:div>
    <w:div w:id="2012369468">
      <w:bodyDiv w:val="1"/>
      <w:marLeft w:val="0"/>
      <w:marRight w:val="0"/>
      <w:marTop w:val="0"/>
      <w:marBottom w:val="0"/>
      <w:divBdr>
        <w:top w:val="none" w:sz="0" w:space="0" w:color="auto"/>
        <w:left w:val="none" w:sz="0" w:space="0" w:color="auto"/>
        <w:bottom w:val="none" w:sz="0" w:space="0" w:color="auto"/>
        <w:right w:val="none" w:sz="0" w:space="0" w:color="auto"/>
      </w:divBdr>
    </w:div>
    <w:div w:id="2018072558">
      <w:bodyDiv w:val="1"/>
      <w:marLeft w:val="0"/>
      <w:marRight w:val="0"/>
      <w:marTop w:val="0"/>
      <w:marBottom w:val="0"/>
      <w:divBdr>
        <w:top w:val="none" w:sz="0" w:space="0" w:color="auto"/>
        <w:left w:val="none" w:sz="0" w:space="0" w:color="auto"/>
        <w:bottom w:val="none" w:sz="0" w:space="0" w:color="auto"/>
        <w:right w:val="none" w:sz="0" w:space="0" w:color="auto"/>
      </w:divBdr>
    </w:div>
    <w:div w:id="2034913281">
      <w:bodyDiv w:val="1"/>
      <w:marLeft w:val="0"/>
      <w:marRight w:val="0"/>
      <w:marTop w:val="0"/>
      <w:marBottom w:val="0"/>
      <w:divBdr>
        <w:top w:val="none" w:sz="0" w:space="0" w:color="auto"/>
        <w:left w:val="none" w:sz="0" w:space="0" w:color="auto"/>
        <w:bottom w:val="none" w:sz="0" w:space="0" w:color="auto"/>
        <w:right w:val="none" w:sz="0" w:space="0" w:color="auto"/>
      </w:divBdr>
    </w:div>
    <w:div w:id="2049261611">
      <w:bodyDiv w:val="1"/>
      <w:marLeft w:val="0"/>
      <w:marRight w:val="0"/>
      <w:marTop w:val="0"/>
      <w:marBottom w:val="0"/>
      <w:divBdr>
        <w:top w:val="none" w:sz="0" w:space="0" w:color="auto"/>
        <w:left w:val="none" w:sz="0" w:space="0" w:color="auto"/>
        <w:bottom w:val="none" w:sz="0" w:space="0" w:color="auto"/>
        <w:right w:val="none" w:sz="0" w:space="0" w:color="auto"/>
      </w:divBdr>
    </w:div>
    <w:div w:id="2064863628">
      <w:bodyDiv w:val="1"/>
      <w:marLeft w:val="0"/>
      <w:marRight w:val="0"/>
      <w:marTop w:val="0"/>
      <w:marBottom w:val="0"/>
      <w:divBdr>
        <w:top w:val="none" w:sz="0" w:space="0" w:color="auto"/>
        <w:left w:val="none" w:sz="0" w:space="0" w:color="auto"/>
        <w:bottom w:val="none" w:sz="0" w:space="0" w:color="auto"/>
        <w:right w:val="none" w:sz="0" w:space="0" w:color="auto"/>
      </w:divBdr>
    </w:div>
    <w:div w:id="2065257331">
      <w:bodyDiv w:val="1"/>
      <w:marLeft w:val="0"/>
      <w:marRight w:val="0"/>
      <w:marTop w:val="0"/>
      <w:marBottom w:val="0"/>
      <w:divBdr>
        <w:top w:val="none" w:sz="0" w:space="0" w:color="auto"/>
        <w:left w:val="none" w:sz="0" w:space="0" w:color="auto"/>
        <w:bottom w:val="none" w:sz="0" w:space="0" w:color="auto"/>
        <w:right w:val="none" w:sz="0" w:space="0" w:color="auto"/>
      </w:divBdr>
    </w:div>
    <w:div w:id="2066365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image" Target="media/image5.jpg"/><Relationship Id="rId34" Type="http://schemas.openxmlformats.org/officeDocument/2006/relationships/footer" Target="footer8.xml"/><Relationship Id="rId42" Type="http://schemas.openxmlformats.org/officeDocument/2006/relationships/footer" Target="footer12.xml"/><Relationship Id="rId47" Type="http://schemas.openxmlformats.org/officeDocument/2006/relationships/image" Target="media/image12.png"/><Relationship Id="rId50" Type="http://schemas.openxmlformats.org/officeDocument/2006/relationships/image" Target="media/image15.jpeg"/><Relationship Id="rId55" Type="http://schemas.openxmlformats.org/officeDocument/2006/relationships/image" Target="media/image20.png"/><Relationship Id="rId63" Type="http://schemas.openxmlformats.org/officeDocument/2006/relationships/image" Target="media/image22.emf"/><Relationship Id="rId68" Type="http://schemas.openxmlformats.org/officeDocument/2006/relationships/image" Target="media/image27.jpeg"/><Relationship Id="rId76" Type="http://schemas.openxmlformats.org/officeDocument/2006/relationships/header" Target="header16.xml"/><Relationship Id="rId84" Type="http://schemas.openxmlformats.org/officeDocument/2006/relationships/hyperlink" Target="https://www.elastec.com/oilspill" TargetMode="External"/><Relationship Id="rId89" Type="http://schemas.openxmlformats.org/officeDocument/2006/relationships/hyperlink" Target="http://www.maritimerobotics.com/systems/%20ocean-eye/" TargetMode="External"/><Relationship Id="rId97" Type="http://schemas.openxmlformats.org/officeDocument/2006/relationships/footer" Target="footer18.xml"/><Relationship Id="rId7" Type="http://schemas.openxmlformats.org/officeDocument/2006/relationships/footnotes" Target="footnotes.xml"/><Relationship Id="rId71" Type="http://schemas.openxmlformats.org/officeDocument/2006/relationships/image" Target="media/image30.png"/><Relationship Id="rId92" Type="http://schemas.openxmlformats.org/officeDocument/2006/relationships/hyperlink" Target="http://www.nesdis.noaa.gov/news_archives/valdez_anniversary.html" TargetMode="Externa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7.png"/><Relationship Id="rId11" Type="http://schemas.openxmlformats.org/officeDocument/2006/relationships/header" Target="header2.xml"/><Relationship Id="rId24" Type="http://schemas.openxmlformats.org/officeDocument/2006/relationships/header" Target="header6.xml"/><Relationship Id="rId32" Type="http://schemas.openxmlformats.org/officeDocument/2006/relationships/hyperlink" Target="http://www.anp.gov.br" TargetMode="External"/><Relationship Id="rId37" Type="http://schemas.openxmlformats.org/officeDocument/2006/relationships/header" Target="header10.xml"/><Relationship Id="rId40" Type="http://schemas.openxmlformats.org/officeDocument/2006/relationships/footer" Target="footer11.xml"/><Relationship Id="rId45" Type="http://schemas.openxmlformats.org/officeDocument/2006/relationships/image" Target="media/image10.emf"/><Relationship Id="rId53" Type="http://schemas.openxmlformats.org/officeDocument/2006/relationships/image" Target="media/image18.png"/><Relationship Id="rId58" Type="http://schemas.openxmlformats.org/officeDocument/2006/relationships/header" Target="header14.xml"/><Relationship Id="rId66" Type="http://schemas.openxmlformats.org/officeDocument/2006/relationships/image" Target="media/image25.png"/><Relationship Id="rId74" Type="http://schemas.openxmlformats.org/officeDocument/2006/relationships/image" Target="media/image33.emf"/><Relationship Id="rId79" Type="http://schemas.openxmlformats.org/officeDocument/2006/relationships/footer" Target="footer17.xml"/><Relationship Id="rId87" Type="http://schemas.openxmlformats.org/officeDocument/2006/relationships/hyperlink" Target="http://www.inmet.gov.br/html/informacoes/glossario/%20glossario.html" TargetMode="External"/><Relationship Id="rId5" Type="http://schemas.openxmlformats.org/officeDocument/2006/relationships/settings" Target="settings.xml"/><Relationship Id="rId61" Type="http://schemas.openxmlformats.org/officeDocument/2006/relationships/header" Target="header15.xml"/><Relationship Id="rId82" Type="http://schemas.openxmlformats.org/officeDocument/2006/relationships/hyperlink" Target="http://www.cetesb.sp.gov.br/gerenciamento-de-riscos/Vazamento%20de%20Oleo/228-Limpeza%20de%20Ambientes%25%2020Costeiros" TargetMode="External"/><Relationship Id="rId90" Type="http://schemas.openxmlformats.org/officeDocument/2006/relationships/hyperlink" Target="https://www.MarineTraffic.com" TargetMode="External"/><Relationship Id="rId95" Type="http://schemas.openxmlformats.org/officeDocument/2006/relationships/hyperlink" Target="https://www.threetek.com" TargetMode="External"/><Relationship Id="rId19" Type="http://schemas.openxmlformats.org/officeDocument/2006/relationships/hyperlink" Target="mailto:humberto.quintas@bp.com" TargetMode="External"/><Relationship Id="rId14" Type="http://schemas.openxmlformats.org/officeDocument/2006/relationships/header" Target="header3.xml"/><Relationship Id="rId22" Type="http://schemas.openxmlformats.org/officeDocument/2006/relationships/header" Target="header5.xml"/><Relationship Id="rId27" Type="http://schemas.openxmlformats.org/officeDocument/2006/relationships/footer" Target="footer7.xml"/><Relationship Id="rId30" Type="http://schemas.openxmlformats.org/officeDocument/2006/relationships/image" Target="media/image8.png"/><Relationship Id="rId35" Type="http://schemas.openxmlformats.org/officeDocument/2006/relationships/header" Target="header9.xml"/><Relationship Id="rId43" Type="http://schemas.openxmlformats.org/officeDocument/2006/relationships/hyperlink" Target="mailto:falecomabp@bp.com" TargetMode="External"/><Relationship Id="rId48" Type="http://schemas.openxmlformats.org/officeDocument/2006/relationships/image" Target="media/image13.png"/><Relationship Id="rId56" Type="http://schemas.openxmlformats.org/officeDocument/2006/relationships/image" Target="media/image21.emf"/><Relationship Id="rId64" Type="http://schemas.openxmlformats.org/officeDocument/2006/relationships/image" Target="media/image23.jpg"/><Relationship Id="rId69" Type="http://schemas.openxmlformats.org/officeDocument/2006/relationships/image" Target="media/image28.png"/><Relationship Id="rId77" Type="http://schemas.openxmlformats.org/officeDocument/2006/relationships/footer" Target="footer16.xml"/><Relationship Id="rId8" Type="http://schemas.openxmlformats.org/officeDocument/2006/relationships/endnotes" Target="endnotes.xml"/><Relationship Id="rId51" Type="http://schemas.openxmlformats.org/officeDocument/2006/relationships/image" Target="media/image16.jpeg"/><Relationship Id="rId72" Type="http://schemas.openxmlformats.org/officeDocument/2006/relationships/image" Target="media/image31.png"/><Relationship Id="rId80" Type="http://schemas.openxmlformats.org/officeDocument/2006/relationships/hyperlink" Target="http://www.anp.gov.br" TargetMode="External"/><Relationship Id="rId85" Type="http://schemas.openxmlformats.org/officeDocument/2006/relationships/hyperlink" Target="https://www.elastec.com/" TargetMode="External"/><Relationship Id="rId93" Type="http://schemas.openxmlformats.org/officeDocument/2006/relationships/hyperlink" Target="http://www.nofi.no/nofi-current-busterareg-8.4663345-139608.html" TargetMode="External"/><Relationship Id="rId98"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footer" Target="footer4.xml"/><Relationship Id="rId25" Type="http://schemas.openxmlformats.org/officeDocument/2006/relationships/header" Target="header7.xml"/><Relationship Id="rId33" Type="http://schemas.openxmlformats.org/officeDocument/2006/relationships/header" Target="header8.xml"/><Relationship Id="rId38" Type="http://schemas.openxmlformats.org/officeDocument/2006/relationships/header" Target="header11.xml"/><Relationship Id="rId46" Type="http://schemas.openxmlformats.org/officeDocument/2006/relationships/image" Target="media/image11.emf"/><Relationship Id="rId59" Type="http://schemas.openxmlformats.org/officeDocument/2006/relationships/footer" Target="footer13.xml"/><Relationship Id="rId67" Type="http://schemas.openxmlformats.org/officeDocument/2006/relationships/image" Target="media/image26.png"/><Relationship Id="rId20" Type="http://schemas.openxmlformats.org/officeDocument/2006/relationships/hyperlink" Target="mailto:anderson.cantarino@bp.com" TargetMode="External"/><Relationship Id="rId41" Type="http://schemas.openxmlformats.org/officeDocument/2006/relationships/header" Target="header12.xml"/><Relationship Id="rId54" Type="http://schemas.openxmlformats.org/officeDocument/2006/relationships/image" Target="media/image19.png"/><Relationship Id="rId62" Type="http://schemas.openxmlformats.org/officeDocument/2006/relationships/footer" Target="footer15.xml"/><Relationship Id="rId70" Type="http://schemas.openxmlformats.org/officeDocument/2006/relationships/image" Target="media/image29.png"/><Relationship Id="rId75" Type="http://schemas.openxmlformats.org/officeDocument/2006/relationships/image" Target="media/image34.jpg"/><Relationship Id="rId83" Type="http://schemas.openxmlformats.org/officeDocument/2006/relationships/hyperlink" Target="http://www.elastec.com/oilspill/dispersant/elaspray/" TargetMode="External"/><Relationship Id="rId88" Type="http://schemas.openxmlformats.org/officeDocument/2006/relationships/hyperlink" Target="http://www.ipieca.org/library?tid%5b0%5d=8&amp;language=en&amp;date_filter%5bvalue%5d%5byear%5d=&amp;keys=&amp;_x=30&amp;_y=11" TargetMode="External"/><Relationship Id="rId91" Type="http://schemas.openxmlformats.org/officeDocument/2006/relationships/hyperlink" Target="http://modis.gsfc.nasa.gov" TargetMode="External"/><Relationship Id="rId96"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image" Target="media/image6.png"/><Relationship Id="rId36" Type="http://schemas.openxmlformats.org/officeDocument/2006/relationships/footer" Target="footer9.xml"/><Relationship Id="rId49" Type="http://schemas.openxmlformats.org/officeDocument/2006/relationships/image" Target="media/image14.png"/><Relationship Id="rId57" Type="http://schemas.openxmlformats.org/officeDocument/2006/relationships/header" Target="header13.xml"/><Relationship Id="rId10" Type="http://schemas.openxmlformats.org/officeDocument/2006/relationships/header" Target="header1.xml"/><Relationship Id="rId31" Type="http://schemas.openxmlformats.org/officeDocument/2006/relationships/image" Target="media/image9.png"/><Relationship Id="rId44" Type="http://schemas.openxmlformats.org/officeDocument/2006/relationships/hyperlink" Target="http://www.bp.com/brazil" TargetMode="External"/><Relationship Id="rId52" Type="http://schemas.openxmlformats.org/officeDocument/2006/relationships/image" Target="media/image17.png"/><Relationship Id="rId60" Type="http://schemas.openxmlformats.org/officeDocument/2006/relationships/footer" Target="footer14.xml"/><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header" Target="header17.xml"/><Relationship Id="rId81" Type="http://schemas.openxmlformats.org/officeDocument/2006/relationships/hyperlink" Target="https://www.asc-csa.gc.ca/eng" TargetMode="External"/><Relationship Id="rId86" Type="http://schemas.openxmlformats.org/officeDocument/2006/relationships/hyperlink" Target="https://www.sat.cnpm.embrapa.br/%20conteudo/radarsat.html" TargetMode="External"/><Relationship Id="rId94" Type="http://schemas.openxmlformats.org/officeDocument/2006/relationships/hyperlink" Target="https://www.sintef.no" TargetMode="External"/><Relationship Id="rId9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image" Target="media/image4.jpg"/><Relationship Id="rId39" Type="http://schemas.openxmlformats.org/officeDocument/2006/relationships/footer" Target="footer10.xml"/></Relationships>
</file>

<file path=word/_rels/footer10.xml.rels><?xml version="1.0" encoding="UTF-8" standalone="yes"?>
<Relationships xmlns="http://schemas.openxmlformats.org/package/2006/relationships"><Relationship Id="rId1" Type="http://schemas.openxmlformats.org/officeDocument/2006/relationships/image" Target="media/image1.jpg"/></Relationships>
</file>

<file path=word/_rels/footer13.xml.rels><?xml version="1.0" encoding="UTF-8" standalone="yes"?>
<Relationships xmlns="http://schemas.openxmlformats.org/package/2006/relationships"><Relationship Id="rId1" Type="http://schemas.openxmlformats.org/officeDocument/2006/relationships/image" Target="media/image1.jpg"/></Relationships>
</file>

<file path=word/_rels/footer6.xml.rels><?xml version="1.0" encoding="UTF-8" standalone="yes"?>
<Relationships xmlns="http://schemas.openxmlformats.org/package/2006/relationships"><Relationship Id="rId1" Type="http://schemas.openxmlformats.org/officeDocument/2006/relationships/image" Target="media/image1.jpg"/></Relationships>
</file>

<file path=word/_rels/footnotes.xml.rels><?xml version="1.0" encoding="UTF-8" standalone="yes"?>
<Relationships xmlns="http://schemas.openxmlformats.org/package/2006/relationships"><Relationship Id="rId2" Type="http://schemas.openxmlformats.org/officeDocument/2006/relationships/hyperlink" Target="http://www.oilspillresponse.com/" TargetMode="External"/><Relationship Id="rId1" Type="http://schemas.openxmlformats.org/officeDocument/2006/relationships/hyperlink" Target="http://www.anp.gov.br" TargetMode="External"/></Relationships>
</file>

<file path=word/_rels/header10.xml.rels><?xml version="1.0" encoding="UTF-8" standalone="yes"?>
<Relationships xmlns="http://schemas.openxmlformats.org/package/2006/relationships"><Relationship Id="rId1" Type="http://schemas.openxmlformats.org/officeDocument/2006/relationships/image" Target="media/image3.jpeg"/></Relationships>
</file>

<file path=word/_rels/header1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3.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1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6.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_rels/header9.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sl xmlns:xsi="http://www.w3.org/2001/XMLSchema-instance" xmlns:xsd="http://www.w3.org/2001/XMLSchema" xmlns="http://www.boldonjames.com/2008/01/sie/internal/label" sislVersion="0" policy="b5b2165e-8acf-48b8-a935-01f1f90977f0">
  <element uid="id_classification_businessvalue" value=""/>
</sisl>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7DADCFE-164D-4EAD-B10E-9058AFEC1440}">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5FF0CB01-D882-4EDD-AEFC-E3BEE4EAB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148</Pages>
  <Words>42696</Words>
  <Characters>243372</Characters>
  <Application>Microsoft Office Word</Application>
  <DocSecurity>0</DocSecurity>
  <Lines>2028</Lines>
  <Paragraphs>570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Microsoft</Company>
  <LinksUpToDate>false</LinksUpToDate>
  <CharactersWithSpaces>285498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Lilia</dc:creator>
  <cp:keywords>Unclassified::</cp:keywords>
  <cp:lastModifiedBy>Bosisio, Barbara</cp:lastModifiedBy>
  <cp:revision>5</cp:revision>
  <cp:lastPrinted>2015-03-31T13:35:00Z</cp:lastPrinted>
  <dcterms:created xsi:type="dcterms:W3CDTF">2018-08-30T12:32:00Z</dcterms:created>
  <dcterms:modified xsi:type="dcterms:W3CDTF">2018-09-04T17:19:00Z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70c9e66d-fcfe-407b-a91d-b8672be30996</vt:lpwstr>
  </property>
  <property fmtid="{D5CDD505-2E9C-101B-9397-08002B2CF9AE}" pid="3" name="bjDocumentLabelXML">
    <vt:lpwstr>&lt;?xml version="1.0"?&gt;&lt;sisl xmlns:xsi="http://www.w3.org/2001/XMLSchema-instance" xmlns:xsd="http://www.w3.org/2001/XMLSchema" sislVersion="0" policy="b5b2165e-8acf-48b8-a935-01f1f90977f0" xmlns="http://www.boldonjames.com/2008/01/sie/internal/label"&gt;  &lt;el</vt:lpwstr>
  </property>
  <property fmtid="{D5CDD505-2E9C-101B-9397-08002B2CF9AE}" pid="4" name="bjDocumentLabelXML-0">
    <vt:lpwstr>ement uid="id_classification_businessvalue" value="" /&gt;&lt;/sisl&gt;</vt:lpwstr>
  </property>
  <property fmtid="{D5CDD505-2E9C-101B-9397-08002B2CF9AE}" pid="5" name="bjDocumentSecurityLabel">
    <vt:lpwstr>Unclassified</vt:lpwstr>
  </property>
  <property fmtid="{D5CDD505-2E9C-101B-9397-08002B2CF9AE}" pid="6" name="MSIP_Label_569bf4a9-87bd-4dbf-a36c-1db5158e5def_Enabled">
    <vt:lpwstr>True</vt:lpwstr>
  </property>
  <property fmtid="{D5CDD505-2E9C-101B-9397-08002B2CF9AE}" pid="7" name="MSIP_Label_569bf4a9-87bd-4dbf-a36c-1db5158e5def_SiteId">
    <vt:lpwstr>ea80952e-a476-42d4-aaf4-5457852b0f7e</vt:lpwstr>
  </property>
  <property fmtid="{D5CDD505-2E9C-101B-9397-08002B2CF9AE}" pid="8" name="MSIP_Label_569bf4a9-87bd-4dbf-a36c-1db5158e5def_Owner">
    <vt:lpwstr>Luiz.Pimenta@bp.com</vt:lpwstr>
  </property>
  <property fmtid="{D5CDD505-2E9C-101B-9397-08002B2CF9AE}" pid="9" name="MSIP_Label_569bf4a9-87bd-4dbf-a36c-1db5158e5def_SetDate">
    <vt:lpwstr>2018-06-29T20:41:30.5042575Z</vt:lpwstr>
  </property>
  <property fmtid="{D5CDD505-2E9C-101B-9397-08002B2CF9AE}" pid="10" name="MSIP_Label_569bf4a9-87bd-4dbf-a36c-1db5158e5def_Name">
    <vt:lpwstr>General</vt:lpwstr>
  </property>
  <property fmtid="{D5CDD505-2E9C-101B-9397-08002B2CF9AE}" pid="11" name="MSIP_Label_569bf4a9-87bd-4dbf-a36c-1db5158e5def_Application">
    <vt:lpwstr>Microsoft Azure Information Protection</vt:lpwstr>
  </property>
  <property fmtid="{D5CDD505-2E9C-101B-9397-08002B2CF9AE}" pid="12" name="MSIP_Label_569bf4a9-87bd-4dbf-a36c-1db5158e5def_Extended_MSFT_Method">
    <vt:lpwstr>Manual</vt:lpwstr>
  </property>
  <property fmtid="{D5CDD505-2E9C-101B-9397-08002B2CF9AE}" pid="13" name="Sensitivity">
    <vt:lpwstr>General</vt:lpwstr>
  </property>
</Properties>
</file>