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D69445" w14:textId="143F5506" w:rsidR="00B37F6E" w:rsidRPr="00CC61C2" w:rsidRDefault="00B37F6E" w:rsidP="00CB2D7A">
      <w:pPr>
        <w:spacing w:after="0" w:line="288" w:lineRule="auto"/>
        <w:jc w:val="both"/>
        <w:rPr>
          <w:rFonts w:ascii="Arial" w:eastAsiaTheme="minorHAnsi" w:hAnsi="Arial" w:cs="Arial"/>
          <w:b/>
          <w:sz w:val="28"/>
          <w:szCs w:val="28"/>
          <w:lang w:eastAsia="en-US"/>
        </w:rPr>
      </w:pPr>
      <w:r w:rsidRPr="00CC61C2">
        <w:rPr>
          <w:rFonts w:ascii="Arial" w:eastAsiaTheme="minorHAnsi" w:hAnsi="Arial" w:cs="Arial"/>
          <w:b/>
          <w:sz w:val="28"/>
          <w:szCs w:val="28"/>
          <w:lang w:eastAsia="en-US"/>
        </w:rPr>
        <w:t>II.12. ANÁLISE E GERENCIAMENTO DE RISCO</w:t>
      </w:r>
    </w:p>
    <w:p w14:paraId="2C2B1005" w14:textId="77777777" w:rsidR="00CC61C2" w:rsidRDefault="00CC61C2" w:rsidP="00CB2D7A">
      <w:pPr>
        <w:spacing w:after="0" w:line="288" w:lineRule="auto"/>
        <w:jc w:val="both"/>
        <w:rPr>
          <w:rFonts w:ascii="Arial" w:eastAsiaTheme="minorHAnsi" w:hAnsi="Arial" w:cs="Arial"/>
          <w:b/>
          <w:sz w:val="20"/>
          <w:szCs w:val="24"/>
          <w:lang w:eastAsia="en-US"/>
        </w:rPr>
      </w:pPr>
    </w:p>
    <w:p w14:paraId="16B21D29" w14:textId="57E2A043" w:rsidR="00D84F24" w:rsidRPr="00CC61C2" w:rsidRDefault="00D84F24" w:rsidP="00CB2D7A">
      <w:pPr>
        <w:spacing w:after="0" w:line="288" w:lineRule="auto"/>
        <w:jc w:val="both"/>
        <w:rPr>
          <w:rFonts w:ascii="Arial" w:eastAsiaTheme="minorHAnsi" w:hAnsi="Arial" w:cs="Arial"/>
          <w:b/>
          <w:sz w:val="24"/>
          <w:szCs w:val="24"/>
          <w:lang w:eastAsia="en-US"/>
        </w:rPr>
      </w:pPr>
      <w:r w:rsidRPr="00CC61C2">
        <w:rPr>
          <w:rFonts w:ascii="Arial" w:eastAsiaTheme="minorHAnsi" w:hAnsi="Arial" w:cs="Arial"/>
          <w:b/>
          <w:sz w:val="24"/>
          <w:szCs w:val="24"/>
          <w:lang w:eastAsia="en-US"/>
        </w:rPr>
        <w:t>II.12.4. AVALIAÇÃO DAS CONSEQUÊNCIAS</w:t>
      </w:r>
    </w:p>
    <w:p w14:paraId="43612A1A" w14:textId="77777777" w:rsidR="0037477D" w:rsidRDefault="0037477D" w:rsidP="00CD625F">
      <w:pPr>
        <w:spacing w:after="0" w:line="288" w:lineRule="auto"/>
        <w:jc w:val="both"/>
        <w:rPr>
          <w:rFonts w:ascii="Arial" w:eastAsiaTheme="minorHAnsi" w:hAnsi="Arial" w:cs="Arial"/>
          <w:b/>
          <w:sz w:val="24"/>
          <w:szCs w:val="24"/>
          <w:lang w:eastAsia="en-US"/>
        </w:rPr>
      </w:pPr>
    </w:p>
    <w:p w14:paraId="1DDDA578" w14:textId="59C05A9D" w:rsidR="007853CC" w:rsidRPr="00CD625F" w:rsidRDefault="007853CC" w:rsidP="00CD625F">
      <w:pPr>
        <w:spacing w:after="0" w:line="288" w:lineRule="auto"/>
        <w:jc w:val="both"/>
        <w:rPr>
          <w:rFonts w:ascii="Arial" w:eastAsiaTheme="minorHAnsi" w:hAnsi="Arial" w:cs="Arial"/>
          <w:b/>
          <w:sz w:val="24"/>
          <w:szCs w:val="24"/>
          <w:lang w:eastAsia="en-US"/>
        </w:rPr>
      </w:pPr>
      <w:r w:rsidRPr="00CD625F">
        <w:rPr>
          <w:rFonts w:ascii="Arial" w:eastAsiaTheme="minorHAnsi" w:hAnsi="Arial" w:cs="Arial"/>
          <w:b/>
          <w:sz w:val="24"/>
          <w:szCs w:val="24"/>
          <w:lang w:eastAsia="en-US"/>
        </w:rPr>
        <w:t>II.12.4.2</w:t>
      </w:r>
      <w:r w:rsidR="00DB2C20" w:rsidRPr="00CD625F">
        <w:rPr>
          <w:rFonts w:ascii="Arial" w:eastAsiaTheme="minorHAnsi" w:hAnsi="Arial" w:cs="Arial"/>
          <w:b/>
          <w:sz w:val="24"/>
          <w:szCs w:val="24"/>
          <w:lang w:eastAsia="en-US"/>
        </w:rPr>
        <w:t>.</w:t>
      </w:r>
      <w:r w:rsidRPr="00CD625F">
        <w:rPr>
          <w:rFonts w:ascii="Arial" w:eastAsiaTheme="minorHAnsi" w:hAnsi="Arial" w:cs="Arial"/>
          <w:b/>
          <w:sz w:val="24"/>
          <w:szCs w:val="24"/>
          <w:lang w:eastAsia="en-US"/>
        </w:rPr>
        <w:t xml:space="preserve"> </w:t>
      </w:r>
      <w:r w:rsidR="00471920" w:rsidRPr="00CD625F">
        <w:rPr>
          <w:rFonts w:ascii="Arial" w:eastAsiaTheme="minorHAnsi" w:hAnsi="Arial" w:cs="Arial"/>
          <w:b/>
          <w:sz w:val="24"/>
          <w:szCs w:val="24"/>
          <w:lang w:eastAsia="en-US"/>
        </w:rPr>
        <w:t>An</w:t>
      </w:r>
      <w:r w:rsidR="00471920" w:rsidRPr="00CD625F">
        <w:rPr>
          <w:rFonts w:ascii="Arial" w:eastAsiaTheme="minorHAnsi" w:hAnsi="Arial" w:cs="Arial" w:hint="eastAsia"/>
          <w:b/>
          <w:sz w:val="24"/>
          <w:szCs w:val="24"/>
          <w:lang w:eastAsia="en-US"/>
        </w:rPr>
        <w:t>á</w:t>
      </w:r>
      <w:r w:rsidR="00471920" w:rsidRPr="00CD625F">
        <w:rPr>
          <w:rFonts w:ascii="Arial" w:eastAsiaTheme="minorHAnsi" w:hAnsi="Arial" w:cs="Arial"/>
          <w:b/>
          <w:sz w:val="24"/>
          <w:szCs w:val="24"/>
          <w:lang w:eastAsia="en-US"/>
        </w:rPr>
        <w:t>lise de Vulnerabilidade e Identifica</w:t>
      </w:r>
      <w:r w:rsidR="00471920" w:rsidRPr="00CD625F">
        <w:rPr>
          <w:rFonts w:ascii="Arial" w:eastAsiaTheme="minorHAnsi" w:hAnsi="Arial" w:cs="Arial" w:hint="eastAsia"/>
          <w:b/>
          <w:sz w:val="24"/>
          <w:szCs w:val="24"/>
          <w:lang w:eastAsia="en-US"/>
        </w:rPr>
        <w:t>çã</w:t>
      </w:r>
      <w:r w:rsidR="00471920" w:rsidRPr="00CD625F">
        <w:rPr>
          <w:rFonts w:ascii="Arial" w:eastAsiaTheme="minorHAnsi" w:hAnsi="Arial" w:cs="Arial"/>
          <w:b/>
          <w:sz w:val="24"/>
          <w:szCs w:val="24"/>
          <w:lang w:eastAsia="en-US"/>
        </w:rPr>
        <w:t>o dos Componentes com Valor Ambiental</w:t>
      </w:r>
    </w:p>
    <w:p w14:paraId="12103D13" w14:textId="77777777" w:rsidR="00CD625F" w:rsidRDefault="00CD625F" w:rsidP="00CD625F">
      <w:pPr>
        <w:autoSpaceDE w:val="0"/>
        <w:autoSpaceDN w:val="0"/>
        <w:adjustRightInd w:val="0"/>
        <w:spacing w:after="0" w:line="240" w:lineRule="auto"/>
        <w:rPr>
          <w:rFonts w:ascii="TimesNewRoman" w:hAnsi="TimesNewRoman" w:cs="TimesNewRoman"/>
          <w:b/>
          <w:i/>
          <w:color w:val="231F20"/>
        </w:rPr>
      </w:pPr>
    </w:p>
    <w:p w14:paraId="5DE2D61F" w14:textId="2A657A44" w:rsidR="00506B86" w:rsidRPr="00CC61C2" w:rsidRDefault="00506B86" w:rsidP="00CC61C2">
      <w:pPr>
        <w:autoSpaceDE w:val="0"/>
        <w:autoSpaceDN w:val="0"/>
        <w:adjustRightInd w:val="0"/>
        <w:spacing w:after="0" w:line="288" w:lineRule="auto"/>
        <w:rPr>
          <w:rFonts w:ascii="Arial" w:hAnsi="Arial" w:cs="Arial"/>
          <w:b/>
          <w:i/>
          <w:color w:val="231F20"/>
        </w:rPr>
      </w:pPr>
      <w:r w:rsidRPr="00CC61C2">
        <w:rPr>
          <w:rFonts w:ascii="Arial" w:hAnsi="Arial" w:cs="Arial"/>
          <w:b/>
          <w:i/>
          <w:color w:val="231F20"/>
        </w:rPr>
        <w:t xml:space="preserve">CVA </w:t>
      </w:r>
      <w:r w:rsidR="002E2097" w:rsidRPr="00CC61C2">
        <w:rPr>
          <w:rFonts w:ascii="Arial" w:hAnsi="Arial" w:cs="Arial"/>
          <w:b/>
          <w:i/>
          <w:color w:val="231F20"/>
        </w:rPr>
        <w:t>–</w:t>
      </w:r>
      <w:r w:rsidRPr="00CC61C2">
        <w:rPr>
          <w:rFonts w:ascii="Arial" w:hAnsi="Arial" w:cs="Arial"/>
          <w:b/>
          <w:i/>
          <w:color w:val="231F20"/>
        </w:rPr>
        <w:t xml:space="preserve"> </w:t>
      </w:r>
      <w:r w:rsidR="002E2097" w:rsidRPr="00CC61C2">
        <w:rPr>
          <w:rFonts w:ascii="Arial" w:hAnsi="Arial" w:cs="Arial"/>
          <w:b/>
          <w:i/>
          <w:color w:val="231F20"/>
        </w:rPr>
        <w:t>Recifes Biogênicos</w:t>
      </w:r>
    </w:p>
    <w:p w14:paraId="79A09840" w14:textId="0C958B13" w:rsidR="00C945DB" w:rsidRPr="00CC61C2" w:rsidRDefault="009E768C" w:rsidP="00CC61C2">
      <w:pPr>
        <w:spacing w:before="100" w:beforeAutospacing="1" w:after="100" w:afterAutospacing="1" w:line="288" w:lineRule="auto"/>
        <w:jc w:val="both"/>
        <w:rPr>
          <w:rFonts w:ascii="Arial" w:hAnsi="Arial" w:cs="Arial"/>
        </w:rPr>
      </w:pPr>
      <w:r w:rsidRPr="00CC61C2">
        <w:rPr>
          <w:rFonts w:ascii="Arial" w:eastAsia="Times New Roman" w:hAnsi="Arial" w:cs="Arial"/>
          <w:b/>
          <w:i/>
        </w:rPr>
        <w:t>QUANTO ÀS PROBABILIDADES MÁXIMAS DE PRESENÇA DE ÓLEO FRENTE ÀS INFORMAÇÕES ENCAMINHADAS PELO GREENPEACE ATRAVÉS DO OFÍCIO N</w:t>
      </w:r>
      <w:r w:rsidRPr="00CC61C2">
        <w:rPr>
          <w:rFonts w:ascii="Arial" w:eastAsia="Times New Roman" w:hAnsi="Arial" w:cs="Arial"/>
          <w:b/>
          <w:i/>
          <w:vertAlign w:val="superscript"/>
        </w:rPr>
        <w:t>O</w:t>
      </w:r>
      <w:r w:rsidRPr="00CC61C2">
        <w:rPr>
          <w:rFonts w:ascii="Arial" w:eastAsia="Times New Roman" w:hAnsi="Arial" w:cs="Arial"/>
          <w:b/>
          <w:i/>
        </w:rPr>
        <w:t xml:space="preserve"> 01/18 (SEI 2174025)</w:t>
      </w:r>
    </w:p>
    <w:p w14:paraId="33982D22" w14:textId="2FFDB253" w:rsidR="00A56A16" w:rsidRPr="00237B91" w:rsidRDefault="005A7205" w:rsidP="00CC61C2">
      <w:pPr>
        <w:autoSpaceDE w:val="0"/>
        <w:autoSpaceDN w:val="0"/>
        <w:adjustRightInd w:val="0"/>
        <w:spacing w:before="240" w:after="0" w:line="288" w:lineRule="auto"/>
        <w:jc w:val="both"/>
        <w:rPr>
          <w:rFonts w:ascii="Times New Roman" w:hAnsi="Times New Roman" w:cs="Times New Roman"/>
        </w:rPr>
      </w:pPr>
      <w:r w:rsidRPr="00237B91">
        <w:rPr>
          <w:rFonts w:ascii="Times New Roman" w:hAnsi="Times New Roman" w:cs="Times New Roman"/>
        </w:rPr>
        <w:t>Co</w:t>
      </w:r>
      <w:r w:rsidR="00267C7A" w:rsidRPr="00237B91">
        <w:rPr>
          <w:rFonts w:ascii="Times New Roman" w:hAnsi="Times New Roman" w:cs="Times New Roman"/>
        </w:rPr>
        <w:t xml:space="preserve">nforme </w:t>
      </w:r>
      <w:r w:rsidR="00892C4C" w:rsidRPr="00237B91">
        <w:rPr>
          <w:rFonts w:ascii="Times New Roman" w:hAnsi="Times New Roman" w:cs="Times New Roman"/>
        </w:rPr>
        <w:t xml:space="preserve">discussão </w:t>
      </w:r>
      <w:r w:rsidR="003C3E5C" w:rsidRPr="00237B91">
        <w:rPr>
          <w:rFonts w:ascii="Times New Roman" w:hAnsi="Times New Roman" w:cs="Times New Roman"/>
        </w:rPr>
        <w:t>proposta</w:t>
      </w:r>
      <w:r w:rsidR="00892C4C" w:rsidRPr="00237B91">
        <w:rPr>
          <w:rFonts w:ascii="Times New Roman" w:hAnsi="Times New Roman" w:cs="Times New Roman"/>
        </w:rPr>
        <w:t xml:space="preserve"> no documento de resposta ao PAR N</w:t>
      </w:r>
      <w:r w:rsidR="00892C4C" w:rsidRPr="00237B91">
        <w:rPr>
          <w:rFonts w:ascii="Times New Roman" w:hAnsi="Times New Roman" w:cs="Times New Roman"/>
          <w:vertAlign w:val="superscript"/>
        </w:rPr>
        <w:t>o</w:t>
      </w:r>
      <w:r w:rsidR="00892C4C" w:rsidRPr="00237B91">
        <w:rPr>
          <w:rFonts w:ascii="Times New Roman" w:hAnsi="Times New Roman" w:cs="Times New Roman"/>
        </w:rPr>
        <w:t xml:space="preserve"> </w:t>
      </w:r>
      <w:bookmarkStart w:id="0" w:name="_Hlk519161894"/>
      <w:r w:rsidR="003C3E5C" w:rsidRPr="00237B91">
        <w:rPr>
          <w:rFonts w:ascii="Times New Roman" w:hAnsi="Times New Roman" w:cs="Times New Roman"/>
        </w:rPr>
        <w:t>72/2018-COEXP/CGMAC/DILIC</w:t>
      </w:r>
      <w:bookmarkEnd w:id="0"/>
      <w:r w:rsidR="003C3E5C" w:rsidRPr="00237B91">
        <w:rPr>
          <w:rFonts w:ascii="Times New Roman" w:hAnsi="Times New Roman" w:cs="Times New Roman"/>
        </w:rPr>
        <w:t xml:space="preserve">, apresentado </w:t>
      </w:r>
      <w:r w:rsidR="00892C4C" w:rsidRPr="00237B91">
        <w:rPr>
          <w:rFonts w:ascii="Times New Roman" w:hAnsi="Times New Roman" w:cs="Times New Roman"/>
        </w:rPr>
        <w:t xml:space="preserve">no âmbito do Estudo Ambiental de Caráter Regional </w:t>
      </w:r>
      <w:r w:rsidR="003C3E5C" w:rsidRPr="00237B91">
        <w:rPr>
          <w:rFonts w:ascii="Times New Roman" w:hAnsi="Times New Roman" w:cs="Times New Roman"/>
        </w:rPr>
        <w:t>(Processo N</w:t>
      </w:r>
      <w:r w:rsidR="003C3E5C" w:rsidRPr="00237B91">
        <w:rPr>
          <w:rFonts w:ascii="Times New Roman" w:hAnsi="Times New Roman" w:cs="Times New Roman"/>
          <w:vertAlign w:val="superscript"/>
        </w:rPr>
        <w:t>o</w:t>
      </w:r>
      <w:r w:rsidR="003C3E5C" w:rsidRPr="00237B91">
        <w:rPr>
          <w:rFonts w:ascii="Times New Roman" w:hAnsi="Times New Roman" w:cs="Times New Roman"/>
        </w:rPr>
        <w:t xml:space="preserve"> 02022.000967/2014-72), as coordenadas onde o Greenpeace, através do Ofício n</w:t>
      </w:r>
      <w:r w:rsidR="003C3E5C" w:rsidRPr="00237B91">
        <w:rPr>
          <w:rFonts w:ascii="Times New Roman" w:hAnsi="Times New Roman" w:cs="Times New Roman"/>
          <w:vertAlign w:val="superscript"/>
        </w:rPr>
        <w:t>o</w:t>
      </w:r>
      <w:r w:rsidR="003C3E5C" w:rsidRPr="00237B91">
        <w:rPr>
          <w:rFonts w:ascii="Times New Roman" w:hAnsi="Times New Roman" w:cs="Times New Roman"/>
        </w:rPr>
        <w:t xml:space="preserve"> 01/18 (SEI 2174025)</w:t>
      </w:r>
      <w:r w:rsidR="00A4552C" w:rsidRPr="00237B91">
        <w:rPr>
          <w:rFonts w:ascii="Times New Roman" w:hAnsi="Times New Roman" w:cs="Times New Roman"/>
        </w:rPr>
        <w:t>,</w:t>
      </w:r>
      <w:r w:rsidR="003C3E5C" w:rsidRPr="00237B91">
        <w:rPr>
          <w:rFonts w:ascii="Times New Roman" w:hAnsi="Times New Roman" w:cs="Times New Roman"/>
        </w:rPr>
        <w:t xml:space="preserve"> afirma ter identificado a ocorrência de bancos de </w:t>
      </w:r>
      <w:proofErr w:type="spellStart"/>
      <w:r w:rsidR="003C3E5C" w:rsidRPr="00237B91">
        <w:rPr>
          <w:rFonts w:ascii="Times New Roman" w:hAnsi="Times New Roman" w:cs="Times New Roman"/>
        </w:rPr>
        <w:t>rodolito</w:t>
      </w:r>
      <w:r w:rsidR="00CD625F" w:rsidRPr="00237B91">
        <w:rPr>
          <w:rFonts w:ascii="Times New Roman" w:hAnsi="Times New Roman" w:cs="Times New Roman"/>
        </w:rPr>
        <w:t>s</w:t>
      </w:r>
      <w:proofErr w:type="spellEnd"/>
      <w:r w:rsidR="003C3E5C" w:rsidRPr="00237B91">
        <w:rPr>
          <w:rFonts w:ascii="Times New Roman" w:hAnsi="Times New Roman" w:cs="Times New Roman"/>
        </w:rPr>
        <w:t xml:space="preserve"> recobertos por esponjas est</w:t>
      </w:r>
      <w:r w:rsidR="00984B5A" w:rsidRPr="00237B91">
        <w:rPr>
          <w:rFonts w:ascii="Times New Roman" w:hAnsi="Times New Roman" w:cs="Times New Roman"/>
        </w:rPr>
        <w:t>ão</w:t>
      </w:r>
      <w:r w:rsidR="003C3E5C" w:rsidRPr="00237B91">
        <w:rPr>
          <w:rFonts w:ascii="Times New Roman" w:hAnsi="Times New Roman" w:cs="Times New Roman"/>
        </w:rPr>
        <w:t xml:space="preserve"> inserida</w:t>
      </w:r>
      <w:r w:rsidR="00984B5A" w:rsidRPr="00237B91">
        <w:rPr>
          <w:rFonts w:ascii="Times New Roman" w:hAnsi="Times New Roman" w:cs="Times New Roman"/>
        </w:rPr>
        <w:t>s</w:t>
      </w:r>
      <w:r w:rsidR="003C3E5C" w:rsidRPr="00237B91">
        <w:rPr>
          <w:rFonts w:ascii="Times New Roman" w:hAnsi="Times New Roman" w:cs="Times New Roman"/>
        </w:rPr>
        <w:t xml:space="preserve"> </w:t>
      </w:r>
      <w:r w:rsidR="00A4552C" w:rsidRPr="00237B91">
        <w:rPr>
          <w:rFonts w:ascii="Times New Roman" w:hAnsi="Times New Roman" w:cs="Times New Roman"/>
        </w:rPr>
        <w:t>na área prioritária Zm094 (Fundos Duros 1), referida no documento de Áreas Prioritárias para a Conservação da Biodiversidade Brasileira, publicado pela Portaria MMA n</w:t>
      </w:r>
      <w:r w:rsidR="00A4552C" w:rsidRPr="00237B91">
        <w:rPr>
          <w:rFonts w:ascii="Times New Roman" w:hAnsi="Times New Roman" w:cs="Times New Roman"/>
          <w:vertAlign w:val="superscript"/>
        </w:rPr>
        <w:t>o</w:t>
      </w:r>
      <w:r w:rsidR="00A4552C" w:rsidRPr="00237B91">
        <w:rPr>
          <w:rFonts w:ascii="Times New Roman" w:hAnsi="Times New Roman" w:cs="Times New Roman"/>
        </w:rPr>
        <w:t xml:space="preserve"> 9/2007</w:t>
      </w:r>
      <w:r w:rsidR="00984B5A" w:rsidRPr="00237B91">
        <w:rPr>
          <w:rFonts w:ascii="Times New Roman" w:hAnsi="Times New Roman" w:cs="Times New Roman"/>
        </w:rPr>
        <w:t xml:space="preserve"> (vide </w:t>
      </w:r>
      <w:r w:rsidR="00984B5A" w:rsidRPr="00237B91">
        <w:rPr>
          <w:rFonts w:ascii="Times New Roman" w:hAnsi="Times New Roman" w:cs="Times New Roman"/>
          <w:b/>
        </w:rPr>
        <w:t>Figura 1</w:t>
      </w:r>
      <w:r w:rsidR="00984B5A" w:rsidRPr="00237B91">
        <w:rPr>
          <w:rFonts w:ascii="Times New Roman" w:hAnsi="Times New Roman" w:cs="Times New Roman"/>
        </w:rPr>
        <w:t>)</w:t>
      </w:r>
      <w:r w:rsidR="00A4552C" w:rsidRPr="00237B91">
        <w:rPr>
          <w:rFonts w:ascii="Times New Roman" w:hAnsi="Times New Roman" w:cs="Times New Roman"/>
        </w:rPr>
        <w:t xml:space="preserve">. Entende-se, portanto, </w:t>
      </w:r>
      <w:r w:rsidR="00A56A16" w:rsidRPr="00237B91">
        <w:rPr>
          <w:rFonts w:ascii="Times New Roman" w:hAnsi="Times New Roman" w:cs="Times New Roman"/>
        </w:rPr>
        <w:t>ser bastante admissível a afirmativa do Greenpeace, embora não haja pelo momento, evidências para a sua comprovação.</w:t>
      </w:r>
    </w:p>
    <w:p w14:paraId="71C9A602" w14:textId="54980114" w:rsidR="003A3650" w:rsidRDefault="00B541F5" w:rsidP="00CC61C2">
      <w:pPr>
        <w:pStyle w:val="BodyText"/>
        <w:spacing w:before="240" w:after="0" w:line="288" w:lineRule="auto"/>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6FDD0939" wp14:editId="297313D2">
            <wp:extent cx="5585800" cy="3952875"/>
            <wp:effectExtent l="0" t="0" r="0" b="0"/>
            <wp:docPr id="45" name="Imagem 45" descr="L:\Obriens-do-Brasil\06_Licenciamento_Temporario\EIA_FOZ_TOTAL\BP_EIA_Resp_PAR_73-18\WOB_ARA_Resp_PT_73-18\Figuras\FIGURA_FZA_Bancos_Biog_FZA_MMAeGP_Resp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briens-do-Brasil\06_Licenciamento_Temporario\EIA_FOZ_TOTAL\BP_EIA_Resp_PAR_73-18\WOB_ARA_Resp_PT_73-18\Figuras\FIGURA_FZA_Bancos_Biog_FZA_MMAeGP_RespPT.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21669" cy="3978258"/>
                    </a:xfrm>
                    <a:prstGeom prst="rect">
                      <a:avLst/>
                    </a:prstGeom>
                    <a:noFill/>
                    <a:ln>
                      <a:noFill/>
                    </a:ln>
                  </pic:spPr>
                </pic:pic>
              </a:graphicData>
            </a:graphic>
          </wp:inline>
        </w:drawing>
      </w:r>
    </w:p>
    <w:p w14:paraId="561A0804" w14:textId="4537ACD7" w:rsidR="00AE3BFE" w:rsidRPr="00CD625F" w:rsidRDefault="008E3D45" w:rsidP="003D4458">
      <w:pPr>
        <w:pStyle w:val="BodyText"/>
        <w:spacing w:after="0" w:line="288" w:lineRule="auto"/>
        <w:jc w:val="both"/>
        <w:rPr>
          <w:rFonts w:ascii="Arial" w:hAnsi="Arial" w:cs="Arial"/>
          <w:b/>
          <w:sz w:val="20"/>
          <w:szCs w:val="20"/>
        </w:rPr>
      </w:pPr>
      <w:r w:rsidRPr="00CD625F">
        <w:rPr>
          <w:rFonts w:ascii="Arial" w:hAnsi="Arial" w:cs="Arial"/>
          <w:b/>
          <w:sz w:val="20"/>
          <w:szCs w:val="20"/>
        </w:rPr>
        <w:t xml:space="preserve">FIGURA </w:t>
      </w:r>
      <w:r w:rsidR="00AE3BFE" w:rsidRPr="00CD625F">
        <w:rPr>
          <w:rFonts w:ascii="Arial" w:hAnsi="Arial" w:cs="Arial"/>
          <w:b/>
          <w:sz w:val="20"/>
          <w:szCs w:val="20"/>
        </w:rPr>
        <w:t xml:space="preserve">1- Sobreposição da Área Prioritária Zm094 (MMA, 2007) e do banco de </w:t>
      </w:r>
      <w:proofErr w:type="spellStart"/>
      <w:r w:rsidR="00AE3BFE" w:rsidRPr="00CD625F">
        <w:rPr>
          <w:rFonts w:ascii="Arial" w:hAnsi="Arial" w:cs="Arial"/>
          <w:b/>
          <w:sz w:val="20"/>
          <w:szCs w:val="20"/>
        </w:rPr>
        <w:t>rodolitos</w:t>
      </w:r>
      <w:proofErr w:type="spellEnd"/>
      <w:r w:rsidR="00AE3BFE" w:rsidRPr="00CD625F">
        <w:rPr>
          <w:rFonts w:ascii="Arial" w:hAnsi="Arial" w:cs="Arial"/>
          <w:b/>
          <w:sz w:val="20"/>
          <w:szCs w:val="20"/>
        </w:rPr>
        <w:t xml:space="preserve"> com ocorrência confirmada pelo Greenpeace através do Ofício nº 01/2018.</w:t>
      </w:r>
    </w:p>
    <w:p w14:paraId="540FD832" w14:textId="78D53593" w:rsidR="00AE3BFE" w:rsidRPr="00237B91" w:rsidRDefault="00BB4971" w:rsidP="00DA42AE">
      <w:pPr>
        <w:pStyle w:val="BodyText"/>
        <w:spacing w:before="240" w:after="0" w:line="288" w:lineRule="auto"/>
        <w:jc w:val="both"/>
        <w:rPr>
          <w:rFonts w:ascii="Times New Roman" w:hAnsi="Times New Roman" w:cs="Times New Roman"/>
          <w:sz w:val="22"/>
          <w:szCs w:val="22"/>
        </w:rPr>
      </w:pPr>
      <w:r w:rsidRPr="00237B91">
        <w:rPr>
          <w:rFonts w:ascii="Times New Roman" w:hAnsi="Times New Roman" w:cs="Times New Roman"/>
          <w:sz w:val="22"/>
          <w:szCs w:val="22"/>
        </w:rPr>
        <w:lastRenderedPageBreak/>
        <w:t xml:space="preserve">Além disso, a comparação das Áreas Prioritárias para a Conservação da Biodiversidade Brasileira com o mapeamento publicado por Moura </w:t>
      </w:r>
      <w:r w:rsidRPr="00237B91">
        <w:rPr>
          <w:rFonts w:ascii="Times New Roman" w:hAnsi="Times New Roman" w:cs="Times New Roman"/>
          <w:i/>
          <w:sz w:val="22"/>
          <w:szCs w:val="22"/>
        </w:rPr>
        <w:t>et al</w:t>
      </w:r>
      <w:r w:rsidRPr="00237B91">
        <w:rPr>
          <w:rFonts w:ascii="Times New Roman" w:hAnsi="Times New Roman" w:cs="Times New Roman"/>
          <w:sz w:val="22"/>
          <w:szCs w:val="22"/>
        </w:rPr>
        <w:t>. (2016), permite observar elevado grau de similaridade entre os polígonos</w:t>
      </w:r>
      <w:r w:rsidR="00A4552C" w:rsidRPr="00237B91">
        <w:rPr>
          <w:rFonts w:ascii="Times New Roman" w:hAnsi="Times New Roman" w:cs="Times New Roman"/>
          <w:sz w:val="22"/>
          <w:szCs w:val="22"/>
        </w:rPr>
        <w:t xml:space="preserve"> das quatro áreas prioritárias identificadas como Fundos Duros </w:t>
      </w:r>
      <w:r w:rsidR="00A56A16" w:rsidRPr="00237B91">
        <w:rPr>
          <w:rFonts w:ascii="Times New Roman" w:hAnsi="Times New Roman" w:cs="Times New Roman"/>
          <w:sz w:val="22"/>
          <w:szCs w:val="22"/>
        </w:rPr>
        <w:t xml:space="preserve">no EACR e </w:t>
      </w:r>
      <w:r w:rsidR="00256AA0" w:rsidRPr="00237B91">
        <w:rPr>
          <w:rFonts w:ascii="Times New Roman" w:hAnsi="Times New Roman" w:cs="Times New Roman"/>
          <w:sz w:val="22"/>
          <w:szCs w:val="22"/>
        </w:rPr>
        <w:t xml:space="preserve">daqueles identificados como frações carbonáticas (&gt;50%) na representação de Moura </w:t>
      </w:r>
      <w:r w:rsidR="00256AA0" w:rsidRPr="00237B91">
        <w:rPr>
          <w:rFonts w:ascii="Times New Roman" w:hAnsi="Times New Roman" w:cs="Times New Roman"/>
          <w:i/>
          <w:sz w:val="22"/>
          <w:szCs w:val="22"/>
        </w:rPr>
        <w:t>et al.</w:t>
      </w:r>
      <w:r w:rsidR="00256AA0" w:rsidRPr="00237B91">
        <w:rPr>
          <w:rFonts w:ascii="Times New Roman" w:hAnsi="Times New Roman" w:cs="Times New Roman"/>
          <w:sz w:val="22"/>
          <w:szCs w:val="22"/>
        </w:rPr>
        <w:t xml:space="preserve"> (2016)</w:t>
      </w:r>
      <w:r w:rsidRPr="00237B91">
        <w:rPr>
          <w:rFonts w:ascii="Times New Roman" w:hAnsi="Times New Roman" w:cs="Times New Roman"/>
          <w:sz w:val="22"/>
          <w:szCs w:val="22"/>
        </w:rPr>
        <w:t xml:space="preserve">, apesar de não </w:t>
      </w:r>
      <w:r w:rsidR="00256AA0" w:rsidRPr="00237B91">
        <w:rPr>
          <w:rFonts w:ascii="Times New Roman" w:hAnsi="Times New Roman" w:cs="Times New Roman"/>
          <w:sz w:val="22"/>
          <w:szCs w:val="22"/>
        </w:rPr>
        <w:t>coincidirem exatamente quanto a sua espacialização</w:t>
      </w:r>
      <w:r w:rsidRPr="00237B91">
        <w:rPr>
          <w:rFonts w:ascii="Times New Roman" w:hAnsi="Times New Roman" w:cs="Times New Roman"/>
          <w:sz w:val="22"/>
          <w:szCs w:val="22"/>
        </w:rPr>
        <w:t xml:space="preserve">. A sobreposição do </w:t>
      </w:r>
      <w:proofErr w:type="spellStart"/>
      <w:r w:rsidRPr="00237B91">
        <w:rPr>
          <w:rFonts w:ascii="Times New Roman" w:hAnsi="Times New Roman" w:cs="Times New Roman"/>
          <w:i/>
          <w:sz w:val="22"/>
          <w:szCs w:val="22"/>
        </w:rPr>
        <w:t>shapefile</w:t>
      </w:r>
      <w:proofErr w:type="spellEnd"/>
      <w:r w:rsidRPr="00237B91">
        <w:rPr>
          <w:rFonts w:ascii="Times New Roman" w:hAnsi="Times New Roman" w:cs="Times New Roman"/>
          <w:sz w:val="22"/>
          <w:szCs w:val="22"/>
        </w:rPr>
        <w:t xml:space="preserve"> do mapeamento de Moura </w:t>
      </w:r>
      <w:r w:rsidRPr="00237B91">
        <w:rPr>
          <w:rFonts w:ascii="Times New Roman" w:hAnsi="Times New Roman" w:cs="Times New Roman"/>
          <w:i/>
          <w:sz w:val="22"/>
          <w:szCs w:val="22"/>
        </w:rPr>
        <w:t>et al.</w:t>
      </w:r>
      <w:r w:rsidRPr="00237B91">
        <w:rPr>
          <w:rFonts w:ascii="Times New Roman" w:hAnsi="Times New Roman" w:cs="Times New Roman"/>
          <w:sz w:val="22"/>
          <w:szCs w:val="22"/>
        </w:rPr>
        <w:t xml:space="preserve"> (2016) com o de áreas prioritárias do MMA (2007) pode ser encontrado na </w:t>
      </w:r>
      <w:r w:rsidRPr="00237B91">
        <w:rPr>
          <w:rFonts w:ascii="Times New Roman" w:hAnsi="Times New Roman" w:cs="Times New Roman"/>
          <w:b/>
          <w:sz w:val="22"/>
          <w:szCs w:val="22"/>
        </w:rPr>
        <w:t>Figura 2</w:t>
      </w:r>
      <w:r w:rsidRPr="00237B91">
        <w:rPr>
          <w:rFonts w:ascii="Times New Roman" w:hAnsi="Times New Roman" w:cs="Times New Roman"/>
          <w:sz w:val="22"/>
          <w:szCs w:val="22"/>
        </w:rPr>
        <w:t>.</w:t>
      </w:r>
    </w:p>
    <w:p w14:paraId="7C97D9C3" w14:textId="77777777" w:rsidR="00BB4971" w:rsidRPr="007200F8" w:rsidRDefault="00BB4971" w:rsidP="00DA42AE">
      <w:pPr>
        <w:pStyle w:val="BodyText"/>
        <w:spacing w:before="240" w:after="0" w:line="288" w:lineRule="auto"/>
        <w:jc w:val="both"/>
        <w:rPr>
          <w:rFonts w:ascii="Times New Roman" w:hAnsi="Times New Roman"/>
          <w:sz w:val="22"/>
          <w:szCs w:val="22"/>
        </w:rPr>
      </w:pPr>
    </w:p>
    <w:p w14:paraId="4AB926BC" w14:textId="77777777" w:rsidR="00A04CAB" w:rsidRDefault="00A04CAB" w:rsidP="00DA42AE">
      <w:pPr>
        <w:pStyle w:val="BodyText"/>
        <w:spacing w:before="240" w:after="0" w:line="288" w:lineRule="auto"/>
        <w:jc w:val="both"/>
        <w:rPr>
          <w:rFonts w:ascii="Times New Roman" w:hAnsi="Times New Roman"/>
        </w:rPr>
        <w:sectPr w:rsidR="00A04CAB" w:rsidSect="00CC61C2">
          <w:headerReference w:type="default" r:id="rId9"/>
          <w:footerReference w:type="default" r:id="rId10"/>
          <w:pgSz w:w="11906" w:h="16838"/>
          <w:pgMar w:top="1985" w:right="1134" w:bottom="1418" w:left="1134" w:header="709" w:footer="709" w:gutter="0"/>
          <w:cols w:space="708"/>
          <w:docGrid w:linePitch="360"/>
        </w:sectPr>
      </w:pPr>
    </w:p>
    <w:p w14:paraId="375F6A6A" w14:textId="6FF0E3CB" w:rsidR="00A04CAB" w:rsidRPr="000C4D05" w:rsidRDefault="00B541F5" w:rsidP="00B541F5">
      <w:pPr>
        <w:pStyle w:val="BodyText"/>
        <w:spacing w:after="0" w:line="288" w:lineRule="auto"/>
        <w:jc w:val="center"/>
        <w:rPr>
          <w:rFonts w:ascii="Arial" w:hAnsi="Arial" w:cs="Arial"/>
          <w:b/>
          <w:sz w:val="22"/>
        </w:rPr>
        <w:sectPr w:rsidR="00A04CAB" w:rsidRPr="000C4D05" w:rsidSect="00CC61C2">
          <w:headerReference w:type="default" r:id="rId11"/>
          <w:footerReference w:type="default" r:id="rId12"/>
          <w:pgSz w:w="16838" w:h="11906" w:orient="landscape"/>
          <w:pgMar w:top="1985" w:right="1134" w:bottom="1418" w:left="1134" w:header="709" w:footer="709" w:gutter="0"/>
          <w:cols w:space="708"/>
          <w:docGrid w:linePitch="360"/>
        </w:sectPr>
      </w:pPr>
      <w:r>
        <w:rPr>
          <w:rFonts w:ascii="Arial" w:hAnsi="Arial" w:cs="Arial"/>
          <w:b/>
          <w:noProof/>
          <w:sz w:val="22"/>
        </w:rPr>
        <w:lastRenderedPageBreak/>
        <w:drawing>
          <wp:inline distT="0" distB="0" distL="0" distR="0" wp14:anchorId="7FFB3F13" wp14:editId="780B244B">
            <wp:extent cx="6870700" cy="4862153"/>
            <wp:effectExtent l="0" t="0" r="6350" b="0"/>
            <wp:docPr id="44" name="Imagem 44" descr="L:\Obriens-do-Brasil\06_Licenciamento_Temporario\EIA_FOZ_TOTAL\BP_EIA_Resp_PAR_73-18\WOB_ARA_Resp_PT_73-18\Figuras\Figura_Bancos_Biog_Moura e MM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briens-do-Brasil\06_Licenciamento_Temporario\EIA_FOZ_TOTAL\BP_EIA_Resp_PAR_73-18\WOB_ARA_Resp_PT_73-18\Figuras\Figura_Bancos_Biog_Moura e MMA_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75686" cy="4865681"/>
                    </a:xfrm>
                    <a:prstGeom prst="rect">
                      <a:avLst/>
                    </a:prstGeom>
                    <a:noFill/>
                    <a:ln>
                      <a:noFill/>
                    </a:ln>
                  </pic:spPr>
                </pic:pic>
              </a:graphicData>
            </a:graphic>
          </wp:inline>
        </w:drawing>
      </w:r>
      <w:r w:rsidR="004B7ED8">
        <w:rPr>
          <w:rFonts w:ascii="Times New Roman" w:hAnsi="Times New Roman"/>
        </w:rPr>
        <w:br w:type="textWrapping" w:clear="all"/>
      </w:r>
      <w:r w:rsidR="008E3D45" w:rsidRPr="00CD625F">
        <w:rPr>
          <w:rFonts w:ascii="Arial" w:hAnsi="Arial" w:cs="Arial"/>
          <w:b/>
          <w:sz w:val="20"/>
          <w:szCs w:val="20"/>
        </w:rPr>
        <w:t xml:space="preserve">FIGURA </w:t>
      </w:r>
      <w:r w:rsidR="002231DC" w:rsidRPr="00CD625F">
        <w:rPr>
          <w:rFonts w:ascii="Arial" w:hAnsi="Arial" w:cs="Arial"/>
          <w:b/>
          <w:sz w:val="20"/>
          <w:szCs w:val="20"/>
        </w:rPr>
        <w:t xml:space="preserve">2- Sobreposição das Áreas </w:t>
      </w:r>
      <w:r w:rsidR="000C4D05" w:rsidRPr="00CD625F">
        <w:rPr>
          <w:rFonts w:ascii="Arial" w:hAnsi="Arial" w:cs="Arial"/>
          <w:b/>
          <w:sz w:val="20"/>
          <w:szCs w:val="20"/>
        </w:rPr>
        <w:t>P</w:t>
      </w:r>
      <w:r w:rsidR="002231DC" w:rsidRPr="00CD625F">
        <w:rPr>
          <w:rFonts w:ascii="Arial" w:hAnsi="Arial" w:cs="Arial"/>
          <w:b/>
          <w:sz w:val="20"/>
          <w:szCs w:val="20"/>
        </w:rPr>
        <w:t xml:space="preserve">rioritárias para a Conservação da Biodiversidade Brasileira com o mapeamento publicado por Moura </w:t>
      </w:r>
      <w:r w:rsidR="002231DC" w:rsidRPr="00CD625F">
        <w:rPr>
          <w:rFonts w:ascii="Arial" w:hAnsi="Arial" w:cs="Arial"/>
          <w:b/>
          <w:i/>
          <w:sz w:val="20"/>
          <w:szCs w:val="20"/>
        </w:rPr>
        <w:t>et al</w:t>
      </w:r>
      <w:r w:rsidR="002231DC" w:rsidRPr="00CD625F">
        <w:rPr>
          <w:rFonts w:ascii="Arial" w:hAnsi="Arial" w:cs="Arial"/>
          <w:b/>
          <w:sz w:val="20"/>
          <w:szCs w:val="20"/>
        </w:rPr>
        <w:t>. (2016)</w:t>
      </w:r>
      <w:r w:rsidR="000C4D05" w:rsidRPr="00CD625F">
        <w:rPr>
          <w:rFonts w:ascii="Arial" w:hAnsi="Arial" w:cs="Arial"/>
          <w:b/>
          <w:sz w:val="20"/>
          <w:szCs w:val="20"/>
        </w:rPr>
        <w:t>.</w:t>
      </w:r>
    </w:p>
    <w:p w14:paraId="14C483F7" w14:textId="00F36F07" w:rsidR="0096069F" w:rsidRDefault="000C4D05" w:rsidP="004B7ED8">
      <w:pPr>
        <w:pStyle w:val="BodyText"/>
        <w:spacing w:after="0" w:line="288" w:lineRule="auto"/>
        <w:jc w:val="both"/>
        <w:rPr>
          <w:rFonts w:ascii="Times New Roman" w:hAnsi="Times New Roman" w:cs="Times New Roman"/>
          <w:sz w:val="22"/>
          <w:szCs w:val="22"/>
        </w:rPr>
      </w:pPr>
      <w:r w:rsidRPr="00237B91">
        <w:rPr>
          <w:rFonts w:ascii="Times New Roman" w:hAnsi="Times New Roman" w:cs="Times New Roman"/>
          <w:sz w:val="22"/>
          <w:szCs w:val="22"/>
        </w:rPr>
        <w:lastRenderedPageBreak/>
        <w:t>Sendo assim, apesar do considerável grau de generalidade associado às áreas prioritárias</w:t>
      </w:r>
      <w:r w:rsidR="00E93FCA" w:rsidRPr="00237B91">
        <w:rPr>
          <w:rFonts w:ascii="Times New Roman" w:hAnsi="Times New Roman" w:cs="Times New Roman"/>
          <w:sz w:val="22"/>
          <w:szCs w:val="22"/>
        </w:rPr>
        <w:t xml:space="preserve"> para conservação</w:t>
      </w:r>
      <w:r w:rsidR="0096069F">
        <w:rPr>
          <w:rFonts w:ascii="Times New Roman" w:hAnsi="Times New Roman" w:cs="Times New Roman"/>
          <w:sz w:val="22"/>
          <w:szCs w:val="22"/>
        </w:rPr>
        <w:t xml:space="preserve"> –</w:t>
      </w:r>
    </w:p>
    <w:p w14:paraId="7EE5D791" w14:textId="7263F380" w:rsidR="00AE3BFE" w:rsidRPr="00237B91" w:rsidRDefault="000C4D05" w:rsidP="004B7ED8">
      <w:pPr>
        <w:pStyle w:val="BodyText"/>
        <w:spacing w:after="0" w:line="288" w:lineRule="auto"/>
        <w:jc w:val="both"/>
        <w:rPr>
          <w:rFonts w:ascii="Times New Roman" w:hAnsi="Times New Roman" w:cs="Times New Roman"/>
          <w:sz w:val="22"/>
          <w:szCs w:val="22"/>
        </w:rPr>
      </w:pPr>
      <w:r w:rsidRPr="00237B91">
        <w:rPr>
          <w:rFonts w:ascii="Times New Roman" w:hAnsi="Times New Roman" w:cs="Times New Roman"/>
          <w:sz w:val="22"/>
          <w:szCs w:val="22"/>
        </w:rPr>
        <w:t xml:space="preserve"> cujo mapeamento </w:t>
      </w:r>
      <w:r w:rsidR="004B7ED8" w:rsidRPr="00237B91">
        <w:rPr>
          <w:rFonts w:ascii="Times New Roman" w:hAnsi="Times New Roman" w:cs="Times New Roman"/>
          <w:sz w:val="22"/>
          <w:szCs w:val="22"/>
        </w:rPr>
        <w:t xml:space="preserve">contempla diferentes aspectos e não somente </w:t>
      </w:r>
      <w:r w:rsidR="0096069F" w:rsidRPr="00237B91">
        <w:rPr>
          <w:rFonts w:ascii="Times New Roman" w:hAnsi="Times New Roman" w:cs="Times New Roman"/>
          <w:sz w:val="22"/>
          <w:szCs w:val="22"/>
        </w:rPr>
        <w:t>as formações biogênicas</w:t>
      </w:r>
      <w:r w:rsidR="0096069F">
        <w:rPr>
          <w:rFonts w:ascii="Times New Roman" w:hAnsi="Times New Roman" w:cs="Times New Roman"/>
          <w:sz w:val="22"/>
          <w:szCs w:val="22"/>
        </w:rPr>
        <w:t xml:space="preserve"> – </w:t>
      </w:r>
      <w:r w:rsidR="0096069F" w:rsidRPr="00237B91">
        <w:rPr>
          <w:rFonts w:ascii="Times New Roman" w:hAnsi="Times New Roman" w:cs="Times New Roman"/>
          <w:sz w:val="22"/>
          <w:szCs w:val="22"/>
        </w:rPr>
        <w:t xml:space="preserve"> no caso específico da região de estudo, acredita-se</w:t>
      </w:r>
      <w:r w:rsidR="00E93FCA" w:rsidRPr="00237B91">
        <w:rPr>
          <w:rFonts w:ascii="Times New Roman" w:hAnsi="Times New Roman" w:cs="Times New Roman"/>
          <w:sz w:val="22"/>
          <w:szCs w:val="22"/>
        </w:rPr>
        <w:t xml:space="preserve"> </w:t>
      </w:r>
      <w:r w:rsidR="004B7ED8" w:rsidRPr="00237B91">
        <w:rPr>
          <w:rFonts w:ascii="Times New Roman" w:hAnsi="Times New Roman" w:cs="Times New Roman"/>
          <w:sz w:val="22"/>
          <w:szCs w:val="22"/>
        </w:rPr>
        <w:t xml:space="preserve">ser </w:t>
      </w:r>
      <w:r w:rsidR="00D34F52" w:rsidRPr="00237B91">
        <w:rPr>
          <w:rFonts w:ascii="Times New Roman" w:hAnsi="Times New Roman" w:cs="Times New Roman"/>
          <w:sz w:val="22"/>
          <w:szCs w:val="22"/>
        </w:rPr>
        <w:t xml:space="preserve">justificável </w:t>
      </w:r>
      <w:r w:rsidR="00E93FCA" w:rsidRPr="00237B91">
        <w:rPr>
          <w:rFonts w:ascii="Times New Roman" w:hAnsi="Times New Roman" w:cs="Times New Roman"/>
          <w:sz w:val="22"/>
          <w:szCs w:val="22"/>
        </w:rPr>
        <w:t>considerá</w:t>
      </w:r>
      <w:r w:rsidR="004B7ED8" w:rsidRPr="00237B91">
        <w:rPr>
          <w:rFonts w:ascii="Times New Roman" w:hAnsi="Times New Roman" w:cs="Times New Roman"/>
          <w:sz w:val="22"/>
          <w:szCs w:val="22"/>
        </w:rPr>
        <w:t xml:space="preserve">-las no mapeamento do CVA Recifes Biogênicos. </w:t>
      </w:r>
      <w:r w:rsidR="00E93FCA" w:rsidRPr="00237B91">
        <w:rPr>
          <w:rFonts w:ascii="Times New Roman" w:hAnsi="Times New Roman" w:cs="Times New Roman"/>
          <w:sz w:val="22"/>
          <w:szCs w:val="22"/>
        </w:rPr>
        <w:t xml:space="preserve">A motivação está justamente na </w:t>
      </w:r>
      <w:r w:rsidR="0039775F" w:rsidRPr="00237B91">
        <w:rPr>
          <w:rFonts w:ascii="Times New Roman" w:hAnsi="Times New Roman" w:cs="Times New Roman"/>
          <w:sz w:val="22"/>
          <w:szCs w:val="22"/>
        </w:rPr>
        <w:t xml:space="preserve">necessidade de </w:t>
      </w:r>
      <w:r w:rsidR="00256AA0" w:rsidRPr="00237B91">
        <w:rPr>
          <w:rFonts w:ascii="Times New Roman" w:hAnsi="Times New Roman" w:cs="Times New Roman"/>
          <w:sz w:val="22"/>
          <w:szCs w:val="22"/>
        </w:rPr>
        <w:t xml:space="preserve">ampliação das </w:t>
      </w:r>
      <w:r w:rsidR="00D2253B" w:rsidRPr="00237B91">
        <w:rPr>
          <w:rFonts w:ascii="Times New Roman" w:hAnsi="Times New Roman" w:cs="Times New Roman"/>
          <w:sz w:val="22"/>
          <w:szCs w:val="22"/>
        </w:rPr>
        <w:t>alternativas</w:t>
      </w:r>
      <w:r w:rsidR="00256AA0" w:rsidRPr="00237B91">
        <w:rPr>
          <w:rFonts w:ascii="Times New Roman" w:hAnsi="Times New Roman" w:cs="Times New Roman"/>
          <w:sz w:val="22"/>
          <w:szCs w:val="22"/>
        </w:rPr>
        <w:t xml:space="preserve"> de espacialização das feições identificadas como Fundos Duros/Frações Carbonáticas (&gt;50%)</w:t>
      </w:r>
      <w:r w:rsidR="00F34272" w:rsidRPr="00237B91">
        <w:rPr>
          <w:rFonts w:ascii="Times New Roman" w:hAnsi="Times New Roman" w:cs="Times New Roman"/>
          <w:sz w:val="22"/>
          <w:szCs w:val="22"/>
        </w:rPr>
        <w:t xml:space="preserve"> (Moura </w:t>
      </w:r>
      <w:r w:rsidR="00F34272" w:rsidRPr="00237B91">
        <w:rPr>
          <w:rFonts w:ascii="Times New Roman" w:hAnsi="Times New Roman" w:cs="Times New Roman"/>
          <w:i/>
          <w:sz w:val="22"/>
          <w:szCs w:val="22"/>
        </w:rPr>
        <w:t>et al</w:t>
      </w:r>
      <w:r w:rsidR="00F34272" w:rsidRPr="00237B91">
        <w:rPr>
          <w:rFonts w:ascii="Times New Roman" w:hAnsi="Times New Roman" w:cs="Times New Roman"/>
          <w:sz w:val="22"/>
          <w:szCs w:val="22"/>
        </w:rPr>
        <w:t>., 2016)</w:t>
      </w:r>
      <w:r w:rsidR="00256AA0" w:rsidRPr="00237B91">
        <w:rPr>
          <w:rFonts w:ascii="Times New Roman" w:hAnsi="Times New Roman" w:cs="Times New Roman"/>
          <w:sz w:val="22"/>
          <w:szCs w:val="22"/>
        </w:rPr>
        <w:t xml:space="preserve">, cuja </w:t>
      </w:r>
      <w:r w:rsidR="00D2253B" w:rsidRPr="00237B91">
        <w:rPr>
          <w:rFonts w:ascii="Times New Roman" w:hAnsi="Times New Roman" w:cs="Times New Roman"/>
          <w:sz w:val="22"/>
          <w:szCs w:val="22"/>
        </w:rPr>
        <w:t xml:space="preserve">pertinência </w:t>
      </w:r>
      <w:r w:rsidR="00C8061E" w:rsidRPr="00237B91">
        <w:rPr>
          <w:rFonts w:ascii="Times New Roman" w:hAnsi="Times New Roman" w:cs="Times New Roman"/>
          <w:sz w:val="22"/>
          <w:szCs w:val="22"/>
        </w:rPr>
        <w:t xml:space="preserve">respalda-se </w:t>
      </w:r>
      <w:r w:rsidR="0039775F" w:rsidRPr="00237B91">
        <w:rPr>
          <w:rFonts w:ascii="Times New Roman" w:hAnsi="Times New Roman" w:cs="Times New Roman"/>
          <w:sz w:val="22"/>
          <w:szCs w:val="22"/>
        </w:rPr>
        <w:t>em um</w:t>
      </w:r>
      <w:r w:rsidR="00C8061E" w:rsidRPr="00237B91">
        <w:rPr>
          <w:rFonts w:ascii="Times New Roman" w:hAnsi="Times New Roman" w:cs="Times New Roman"/>
          <w:sz w:val="22"/>
          <w:szCs w:val="22"/>
        </w:rPr>
        <w:t xml:space="preserve"> cenário</w:t>
      </w:r>
      <w:r w:rsidR="00D2253B" w:rsidRPr="00237B91">
        <w:rPr>
          <w:rFonts w:ascii="Times New Roman" w:hAnsi="Times New Roman" w:cs="Times New Roman"/>
          <w:sz w:val="22"/>
          <w:szCs w:val="22"/>
        </w:rPr>
        <w:t xml:space="preserve"> de </w:t>
      </w:r>
      <w:r w:rsidR="00D34F52" w:rsidRPr="00237B91">
        <w:rPr>
          <w:rFonts w:ascii="Times New Roman" w:hAnsi="Times New Roman" w:cs="Times New Roman"/>
          <w:sz w:val="22"/>
          <w:szCs w:val="22"/>
        </w:rPr>
        <w:t xml:space="preserve">confirmação da representação </w:t>
      </w:r>
      <w:r w:rsidR="0039775F" w:rsidRPr="00237B91">
        <w:rPr>
          <w:rFonts w:ascii="Times New Roman" w:hAnsi="Times New Roman" w:cs="Times New Roman"/>
          <w:sz w:val="22"/>
          <w:szCs w:val="22"/>
        </w:rPr>
        <w:t>espacial d</w:t>
      </w:r>
      <w:r w:rsidR="00D2253B" w:rsidRPr="00237B91">
        <w:rPr>
          <w:rFonts w:ascii="Times New Roman" w:hAnsi="Times New Roman" w:cs="Times New Roman"/>
          <w:sz w:val="22"/>
          <w:szCs w:val="22"/>
        </w:rPr>
        <w:t xml:space="preserve">a Zm094 (Fundos Duros 1), </w:t>
      </w:r>
      <w:r w:rsidR="00C8061E" w:rsidRPr="00237B91">
        <w:rPr>
          <w:rFonts w:ascii="Times New Roman" w:hAnsi="Times New Roman" w:cs="Times New Roman"/>
          <w:sz w:val="22"/>
          <w:szCs w:val="22"/>
        </w:rPr>
        <w:t xml:space="preserve">conforme sugerido pelo </w:t>
      </w:r>
      <w:r w:rsidR="001C06CF" w:rsidRPr="00237B91">
        <w:rPr>
          <w:rFonts w:ascii="Times New Roman" w:hAnsi="Times New Roman" w:cs="Times New Roman"/>
          <w:sz w:val="22"/>
          <w:szCs w:val="22"/>
        </w:rPr>
        <w:t>Ofício nº 01/2018 do Greenpeace</w:t>
      </w:r>
      <w:r w:rsidR="00E93FCA" w:rsidRPr="00237B91">
        <w:rPr>
          <w:rFonts w:ascii="Times New Roman" w:hAnsi="Times New Roman" w:cs="Times New Roman"/>
          <w:sz w:val="22"/>
          <w:szCs w:val="22"/>
        </w:rPr>
        <w:t>.</w:t>
      </w:r>
    </w:p>
    <w:p w14:paraId="65AF1CF5" w14:textId="1CC833C7" w:rsidR="00537B62" w:rsidRPr="00237B91" w:rsidRDefault="00BF701E" w:rsidP="00C2354D">
      <w:pPr>
        <w:spacing w:before="240" w:after="240" w:line="288" w:lineRule="auto"/>
        <w:jc w:val="both"/>
        <w:rPr>
          <w:rFonts w:ascii="Times New Roman" w:hAnsi="Times New Roman" w:cs="Times New Roman"/>
        </w:rPr>
      </w:pPr>
      <w:r w:rsidRPr="00237B91">
        <w:rPr>
          <w:rFonts w:ascii="Times New Roman" w:hAnsi="Times New Roman" w:cs="Times New Roman"/>
        </w:rPr>
        <w:t xml:space="preserve">Quanto aos </w:t>
      </w:r>
      <w:r w:rsidR="00027336" w:rsidRPr="00237B91">
        <w:rPr>
          <w:rFonts w:ascii="Times New Roman" w:hAnsi="Times New Roman" w:cs="Times New Roman"/>
        </w:rPr>
        <w:t>resultados referentes ao CVA – Recifes Biogênicos</w:t>
      </w:r>
      <w:r w:rsidR="00C2354D" w:rsidRPr="00237B91">
        <w:rPr>
          <w:rFonts w:ascii="Times New Roman" w:hAnsi="Times New Roman" w:cs="Times New Roman"/>
        </w:rPr>
        <w:t>,</w:t>
      </w:r>
      <w:r w:rsidR="00027336" w:rsidRPr="00237B91">
        <w:rPr>
          <w:rFonts w:ascii="Times New Roman" w:hAnsi="Times New Roman" w:cs="Times New Roman"/>
        </w:rPr>
        <w:t xml:space="preserve"> considerando o novo mapeamento</w:t>
      </w:r>
      <w:r w:rsidR="003076A9" w:rsidRPr="00237B91">
        <w:rPr>
          <w:rFonts w:ascii="Times New Roman" w:hAnsi="Times New Roman" w:cs="Times New Roman"/>
        </w:rPr>
        <w:t xml:space="preserve"> com a incorporação do </w:t>
      </w:r>
      <w:proofErr w:type="spellStart"/>
      <w:r w:rsidR="003076A9" w:rsidRPr="00237B91">
        <w:rPr>
          <w:rFonts w:ascii="Times New Roman" w:hAnsi="Times New Roman" w:cs="Times New Roman"/>
          <w:i/>
        </w:rPr>
        <w:t>shapefile</w:t>
      </w:r>
      <w:proofErr w:type="spellEnd"/>
      <w:r w:rsidR="003076A9" w:rsidRPr="00237B91">
        <w:rPr>
          <w:rFonts w:ascii="Times New Roman" w:hAnsi="Times New Roman" w:cs="Times New Roman"/>
        </w:rPr>
        <w:t xml:space="preserve"> das áreas prioritárias de Fundos Duros do MMA (2007), eles </w:t>
      </w:r>
      <w:r w:rsidR="00027336" w:rsidRPr="00237B91">
        <w:rPr>
          <w:rFonts w:ascii="Times New Roman" w:hAnsi="Times New Roman" w:cs="Times New Roman"/>
        </w:rPr>
        <w:t>são reapresentados</w:t>
      </w:r>
      <w:r w:rsidR="00537B62" w:rsidRPr="00237B91">
        <w:rPr>
          <w:rFonts w:ascii="Times New Roman" w:hAnsi="Times New Roman" w:cs="Times New Roman"/>
        </w:rPr>
        <w:t xml:space="preserve"> </w:t>
      </w:r>
      <w:r w:rsidR="00BB54FF" w:rsidRPr="00237B91">
        <w:rPr>
          <w:rFonts w:ascii="Times New Roman" w:hAnsi="Times New Roman" w:cs="Times New Roman"/>
        </w:rPr>
        <w:t xml:space="preserve">para os cenários em que houve probabilidade de presença de óleo, </w:t>
      </w:r>
      <w:r w:rsidR="00537B62" w:rsidRPr="00237B91">
        <w:rPr>
          <w:rFonts w:ascii="Times New Roman" w:hAnsi="Times New Roman" w:cs="Times New Roman"/>
        </w:rPr>
        <w:t xml:space="preserve">nas </w:t>
      </w:r>
      <w:r w:rsidR="00027336" w:rsidRPr="00237B91">
        <w:rPr>
          <w:rFonts w:ascii="Times New Roman" w:hAnsi="Times New Roman" w:cs="Times New Roman"/>
        </w:rPr>
        <w:t>Figura</w:t>
      </w:r>
      <w:r w:rsidR="00537B62" w:rsidRPr="00237B91">
        <w:rPr>
          <w:rFonts w:ascii="Times New Roman" w:hAnsi="Times New Roman" w:cs="Times New Roman"/>
        </w:rPr>
        <w:t>s</w:t>
      </w:r>
      <w:r w:rsidR="00027336" w:rsidRPr="00237B91">
        <w:rPr>
          <w:rFonts w:ascii="Times New Roman" w:hAnsi="Times New Roman" w:cs="Times New Roman"/>
        </w:rPr>
        <w:t xml:space="preserve"> </w:t>
      </w:r>
      <w:r w:rsidR="00AD54A3" w:rsidRPr="00237B91">
        <w:rPr>
          <w:rFonts w:ascii="Times New Roman" w:hAnsi="Times New Roman" w:cs="Times New Roman"/>
        </w:rPr>
        <w:t xml:space="preserve">3 </w:t>
      </w:r>
      <w:r w:rsidR="00537B62" w:rsidRPr="00237B91">
        <w:rPr>
          <w:rFonts w:ascii="Times New Roman" w:hAnsi="Times New Roman" w:cs="Times New Roman"/>
        </w:rPr>
        <w:t xml:space="preserve">e </w:t>
      </w:r>
      <w:r w:rsidR="00AD54A3" w:rsidRPr="00237B91">
        <w:rPr>
          <w:rFonts w:ascii="Times New Roman" w:hAnsi="Times New Roman" w:cs="Times New Roman"/>
        </w:rPr>
        <w:t xml:space="preserve">4 </w:t>
      </w:r>
      <w:r w:rsidR="00537B62" w:rsidRPr="00237B91">
        <w:rPr>
          <w:rFonts w:ascii="Times New Roman" w:hAnsi="Times New Roman" w:cs="Times New Roman"/>
        </w:rPr>
        <w:t xml:space="preserve">e na Tabela </w:t>
      </w:r>
      <w:r w:rsidR="003076A9" w:rsidRPr="00237B91">
        <w:rPr>
          <w:rFonts w:ascii="Times New Roman" w:hAnsi="Times New Roman" w:cs="Times New Roman"/>
        </w:rPr>
        <w:t>1</w:t>
      </w:r>
      <w:r w:rsidR="00027336" w:rsidRPr="00237B91">
        <w:rPr>
          <w:rFonts w:ascii="Times New Roman" w:hAnsi="Times New Roman" w:cs="Times New Roman"/>
        </w:rPr>
        <w:t>. Ressalta-se, no entanto, que mesmo com o novo mapeamento, os resultados de probabilidade no CVA permaneceram os mesmos, já que não há probabilidade de toque de óleo no fundo para as novas áreas mapeadas.</w:t>
      </w:r>
      <w:r w:rsidR="00537B62" w:rsidRPr="00237B91">
        <w:rPr>
          <w:rFonts w:ascii="Times New Roman" w:hAnsi="Times New Roman" w:cs="Times New Roman"/>
        </w:rPr>
        <w:t xml:space="preserve"> </w:t>
      </w:r>
    </w:p>
    <w:p w14:paraId="077F6DB3" w14:textId="0D8A52CA" w:rsidR="00027336" w:rsidRPr="00027336" w:rsidRDefault="00027336" w:rsidP="00027336">
      <w:pPr>
        <w:pStyle w:val="BodyText"/>
        <w:spacing w:after="0" w:line="360" w:lineRule="auto"/>
        <w:jc w:val="center"/>
        <w:rPr>
          <w:sz w:val="22"/>
          <w:szCs w:val="22"/>
        </w:rPr>
      </w:pPr>
      <w:r w:rsidRPr="005F2947">
        <w:rPr>
          <w:noProof/>
        </w:rPr>
        <w:drawing>
          <wp:inline distT="0" distB="0" distL="0" distR="0" wp14:anchorId="4CAD899D" wp14:editId="52CAE2DF">
            <wp:extent cx="5395932" cy="4556098"/>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3711" cy="4562666"/>
                    </a:xfrm>
                    <a:prstGeom prst="rect">
                      <a:avLst/>
                    </a:prstGeom>
                    <a:noFill/>
                    <a:ln>
                      <a:noFill/>
                    </a:ln>
                  </pic:spPr>
                </pic:pic>
              </a:graphicData>
            </a:graphic>
          </wp:inline>
        </w:drawing>
      </w:r>
    </w:p>
    <w:p w14:paraId="1E8C790E" w14:textId="2BD20C95" w:rsidR="00027336" w:rsidRPr="00CD625F" w:rsidRDefault="00027336" w:rsidP="00EB249B">
      <w:pPr>
        <w:pStyle w:val="Caption"/>
        <w:spacing w:line="288" w:lineRule="auto"/>
        <w:jc w:val="center"/>
        <w:rPr>
          <w:rFonts w:cs="Arial"/>
          <w:sz w:val="20"/>
        </w:rPr>
      </w:pPr>
      <w:r w:rsidRPr="00CD625F">
        <w:rPr>
          <w:rFonts w:cs="Arial"/>
          <w:sz w:val="20"/>
        </w:rPr>
        <w:t xml:space="preserve">FIGURA </w:t>
      </w:r>
      <w:r w:rsidR="00AD54A3" w:rsidRPr="00CD625F">
        <w:rPr>
          <w:rFonts w:cs="Arial"/>
          <w:sz w:val="20"/>
        </w:rPr>
        <w:t xml:space="preserve">3 </w:t>
      </w:r>
      <w:r w:rsidRPr="00CD625F">
        <w:rPr>
          <w:rFonts w:cs="Arial"/>
          <w:sz w:val="20"/>
        </w:rPr>
        <w:t>- Probabilidade de alcance de óleo no CVA – Recifes Biogênicos</w:t>
      </w:r>
      <w:r w:rsidR="00577C65" w:rsidRPr="00CD625F">
        <w:rPr>
          <w:rFonts w:cs="Arial"/>
          <w:sz w:val="20"/>
        </w:rPr>
        <w:t>, em território nacional,</w:t>
      </w:r>
      <w:r w:rsidRPr="00CD625F">
        <w:rPr>
          <w:rFonts w:cs="Arial"/>
          <w:sz w:val="20"/>
        </w:rPr>
        <w:t xml:space="preserve"> no cenário 6 (46.742 m</w:t>
      </w:r>
      <w:r w:rsidRPr="00CD625F">
        <w:rPr>
          <w:rFonts w:cs="Arial"/>
          <w:sz w:val="20"/>
          <w:vertAlign w:val="superscript"/>
        </w:rPr>
        <w:t>3</w:t>
      </w:r>
      <w:r w:rsidRPr="00CD625F">
        <w:rPr>
          <w:rFonts w:cs="Arial"/>
          <w:sz w:val="20"/>
        </w:rPr>
        <w:t>, inverno).</w:t>
      </w:r>
    </w:p>
    <w:p w14:paraId="0E0CE348" w14:textId="77777777" w:rsidR="00027336" w:rsidRPr="00027336" w:rsidRDefault="00027336" w:rsidP="00027336">
      <w:pPr>
        <w:spacing w:line="360" w:lineRule="auto"/>
        <w:rPr>
          <w:b/>
          <w:noProof/>
        </w:rPr>
        <w:sectPr w:rsidR="00027336" w:rsidRPr="00027336" w:rsidSect="00CC61C2">
          <w:headerReference w:type="default" r:id="rId15"/>
          <w:footerReference w:type="default" r:id="rId16"/>
          <w:pgSz w:w="11906" w:h="16838" w:code="9"/>
          <w:pgMar w:top="1985" w:right="1134" w:bottom="1418" w:left="1134" w:header="709" w:footer="709" w:gutter="0"/>
          <w:cols w:space="720"/>
        </w:sectPr>
      </w:pPr>
    </w:p>
    <w:p w14:paraId="297A7EA9" w14:textId="14B9A67B" w:rsidR="00027336" w:rsidRPr="00027336" w:rsidRDefault="00027336" w:rsidP="00027336">
      <w:pPr>
        <w:jc w:val="center"/>
        <w:rPr>
          <w:b/>
        </w:rPr>
      </w:pPr>
      <w:r w:rsidRPr="005F2947">
        <w:rPr>
          <w:b/>
          <w:noProof/>
        </w:rPr>
        <w:lastRenderedPageBreak/>
        <w:drawing>
          <wp:inline distT="0" distB="0" distL="0" distR="0" wp14:anchorId="3885395B" wp14:editId="51D93456">
            <wp:extent cx="8286750" cy="392430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286750" cy="3924300"/>
                    </a:xfrm>
                    <a:prstGeom prst="rect">
                      <a:avLst/>
                    </a:prstGeom>
                    <a:noFill/>
                    <a:ln>
                      <a:noFill/>
                    </a:ln>
                  </pic:spPr>
                </pic:pic>
              </a:graphicData>
            </a:graphic>
          </wp:inline>
        </w:drawing>
      </w:r>
    </w:p>
    <w:p w14:paraId="5B59D94F" w14:textId="2D99BDEC" w:rsidR="00027336" w:rsidRPr="00CD625F" w:rsidRDefault="00027336" w:rsidP="00027336">
      <w:pPr>
        <w:pStyle w:val="Caption"/>
        <w:spacing w:line="288" w:lineRule="auto"/>
        <w:jc w:val="center"/>
        <w:rPr>
          <w:rFonts w:cs="Arial"/>
          <w:sz w:val="20"/>
        </w:rPr>
      </w:pPr>
      <w:r w:rsidRPr="00CD625F">
        <w:rPr>
          <w:rFonts w:cs="Arial"/>
          <w:sz w:val="20"/>
        </w:rPr>
        <w:t xml:space="preserve">FIGURA </w:t>
      </w:r>
      <w:r w:rsidR="00AD54A3" w:rsidRPr="00CD625F">
        <w:rPr>
          <w:rFonts w:cs="Arial"/>
          <w:sz w:val="20"/>
        </w:rPr>
        <w:t xml:space="preserve">4 </w:t>
      </w:r>
      <w:r w:rsidRPr="00CD625F">
        <w:rPr>
          <w:rFonts w:cs="Arial"/>
          <w:sz w:val="20"/>
        </w:rPr>
        <w:t xml:space="preserve">- Probabilidade de alcance de óleo no CVA –Recifes </w:t>
      </w:r>
      <w:r w:rsidR="00577C65" w:rsidRPr="00CD625F">
        <w:rPr>
          <w:rFonts w:cs="Arial"/>
          <w:sz w:val="20"/>
        </w:rPr>
        <w:t>B</w:t>
      </w:r>
      <w:r w:rsidRPr="00CD625F">
        <w:rPr>
          <w:rFonts w:cs="Arial"/>
          <w:sz w:val="20"/>
        </w:rPr>
        <w:t>iogênicos, em território nacional, para os CENÁRIOS 7 (900 m</w:t>
      </w:r>
      <w:r w:rsidRPr="00CD625F">
        <w:rPr>
          <w:rFonts w:cs="Arial"/>
          <w:sz w:val="20"/>
          <w:vertAlign w:val="superscript"/>
        </w:rPr>
        <w:t>3</w:t>
      </w:r>
      <w:r w:rsidRPr="00CD625F">
        <w:rPr>
          <w:rFonts w:cs="Arial"/>
          <w:sz w:val="20"/>
        </w:rPr>
        <w:t>, verão) e 8 (900 m</w:t>
      </w:r>
      <w:r w:rsidRPr="00CD625F">
        <w:rPr>
          <w:rFonts w:cs="Arial"/>
          <w:sz w:val="20"/>
          <w:vertAlign w:val="superscript"/>
        </w:rPr>
        <w:t>3</w:t>
      </w:r>
      <w:r w:rsidRPr="00CD625F">
        <w:rPr>
          <w:rFonts w:cs="Arial"/>
          <w:sz w:val="20"/>
        </w:rPr>
        <w:t>, inverno).</w:t>
      </w:r>
    </w:p>
    <w:p w14:paraId="20F28338" w14:textId="77777777" w:rsidR="00027336" w:rsidRDefault="00027336" w:rsidP="00027336">
      <w:pPr>
        <w:pStyle w:val="Caption"/>
        <w:spacing w:line="288" w:lineRule="auto"/>
        <w:jc w:val="center"/>
        <w:rPr>
          <w:rFonts w:cs="Arial"/>
        </w:rPr>
      </w:pPr>
    </w:p>
    <w:p w14:paraId="15BDF103" w14:textId="77777777" w:rsidR="00027336" w:rsidRDefault="00027336" w:rsidP="00EB249B">
      <w:pPr>
        <w:pStyle w:val="BodyText"/>
        <w:spacing w:after="0" w:line="360" w:lineRule="auto"/>
        <w:rPr>
          <w:b/>
          <w:noProof/>
          <w:sz w:val="22"/>
          <w:szCs w:val="22"/>
        </w:rPr>
      </w:pPr>
    </w:p>
    <w:p w14:paraId="32D3C5ED" w14:textId="77777777" w:rsidR="00027336" w:rsidRDefault="00027336" w:rsidP="00027336">
      <w:pPr>
        <w:spacing w:line="288" w:lineRule="auto"/>
        <w:rPr>
          <w:b/>
        </w:rPr>
        <w:sectPr w:rsidR="00027336" w:rsidSect="00CC61C2">
          <w:headerReference w:type="default" r:id="rId18"/>
          <w:footerReference w:type="default" r:id="rId19"/>
          <w:pgSz w:w="16838" w:h="11906" w:orient="landscape"/>
          <w:pgMar w:top="1985" w:right="1134" w:bottom="1418" w:left="1134" w:header="709" w:footer="709" w:gutter="0"/>
          <w:cols w:space="720"/>
        </w:sectPr>
      </w:pPr>
    </w:p>
    <w:p w14:paraId="76F767F1" w14:textId="3CFE7C39" w:rsidR="00027336" w:rsidRPr="00CD625F" w:rsidRDefault="00027336">
      <w:pPr>
        <w:pStyle w:val="Caption"/>
        <w:spacing w:after="120" w:line="288" w:lineRule="auto"/>
        <w:jc w:val="both"/>
        <w:rPr>
          <w:sz w:val="20"/>
        </w:rPr>
      </w:pPr>
      <w:r w:rsidRPr="00CD625F">
        <w:rPr>
          <w:sz w:val="20"/>
        </w:rPr>
        <w:lastRenderedPageBreak/>
        <w:t xml:space="preserve">TABELA </w:t>
      </w:r>
      <w:r w:rsidR="003076A9" w:rsidRPr="00CD625F">
        <w:rPr>
          <w:sz w:val="20"/>
        </w:rPr>
        <w:t>1</w:t>
      </w:r>
      <w:r w:rsidRPr="00CD625F">
        <w:rPr>
          <w:sz w:val="20"/>
        </w:rPr>
        <w:t xml:space="preserve"> - Probabilidade máxima de presença e tempo mínimo de chegada de óleo no CVA – Recifes Biogênicos.</w:t>
      </w:r>
    </w:p>
    <w:tbl>
      <w:tblPr>
        <w:tblW w:w="7185" w:type="dxa"/>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left w:w="70" w:type="dxa"/>
          <w:right w:w="70" w:type="dxa"/>
        </w:tblCellMar>
        <w:tblLook w:val="04A0" w:firstRow="1" w:lastRow="0" w:firstColumn="1" w:lastColumn="0" w:noHBand="0" w:noVBand="1"/>
      </w:tblPr>
      <w:tblGrid>
        <w:gridCol w:w="960"/>
        <w:gridCol w:w="960"/>
        <w:gridCol w:w="1392"/>
        <w:gridCol w:w="2268"/>
        <w:gridCol w:w="1605"/>
      </w:tblGrid>
      <w:tr w:rsidR="00027336" w:rsidRPr="00237B91" w14:paraId="7C2FDE3C" w14:textId="55A45DC3" w:rsidTr="00027336">
        <w:trPr>
          <w:trHeight w:val="283"/>
          <w:jc w:val="center"/>
        </w:trPr>
        <w:tc>
          <w:tcPr>
            <w:tcW w:w="960" w:type="dxa"/>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000000"/>
            <w:vAlign w:val="center"/>
            <w:hideMark/>
          </w:tcPr>
          <w:p w14:paraId="49B050A3" w14:textId="4DB08F3B" w:rsidR="00027336" w:rsidRPr="00CC61C2" w:rsidRDefault="00027336" w:rsidP="00027336">
            <w:pPr>
              <w:spacing w:after="0"/>
              <w:jc w:val="center"/>
              <w:rPr>
                <w:rFonts w:ascii="Arial" w:eastAsia="Times New Roman" w:hAnsi="Arial" w:cs="Arial"/>
                <w:b/>
                <w:bCs/>
                <w:color w:val="FFFFFF"/>
                <w:sz w:val="20"/>
                <w:szCs w:val="20"/>
                <w:lang w:eastAsia="en-US"/>
              </w:rPr>
            </w:pPr>
            <w:r w:rsidRPr="00CC61C2">
              <w:rPr>
                <w:rFonts w:ascii="Arial" w:eastAsia="Times New Roman" w:hAnsi="Arial" w:cs="Arial"/>
                <w:b/>
                <w:bCs/>
                <w:color w:val="FFFFFF"/>
                <w:sz w:val="20"/>
                <w:szCs w:val="20"/>
                <w:lang w:eastAsia="en-US"/>
              </w:rPr>
              <w:t>Cenário</w:t>
            </w:r>
          </w:p>
        </w:tc>
        <w:tc>
          <w:tcPr>
            <w:tcW w:w="960" w:type="dxa"/>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000000"/>
            <w:vAlign w:val="center"/>
            <w:hideMark/>
          </w:tcPr>
          <w:p w14:paraId="0C1250FD" w14:textId="0973A985" w:rsidR="00027336" w:rsidRPr="00CC61C2" w:rsidRDefault="00027336" w:rsidP="00027336">
            <w:pPr>
              <w:spacing w:after="0"/>
              <w:jc w:val="center"/>
              <w:rPr>
                <w:rFonts w:ascii="Arial" w:eastAsia="Times New Roman" w:hAnsi="Arial" w:cs="Arial"/>
                <w:b/>
                <w:bCs/>
                <w:color w:val="FFFFFF"/>
                <w:sz w:val="20"/>
                <w:szCs w:val="20"/>
                <w:lang w:eastAsia="en-US"/>
              </w:rPr>
            </w:pPr>
            <w:r w:rsidRPr="00CC61C2">
              <w:rPr>
                <w:rFonts w:ascii="Arial" w:eastAsia="Times New Roman" w:hAnsi="Arial" w:cs="Arial"/>
                <w:b/>
                <w:bCs/>
                <w:color w:val="FFFFFF"/>
                <w:sz w:val="20"/>
                <w:szCs w:val="20"/>
                <w:lang w:eastAsia="en-US"/>
              </w:rPr>
              <w:t>Cenário Sazonal</w:t>
            </w:r>
          </w:p>
        </w:tc>
        <w:tc>
          <w:tcPr>
            <w:tcW w:w="1392" w:type="dxa"/>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000000"/>
            <w:vAlign w:val="center"/>
            <w:hideMark/>
          </w:tcPr>
          <w:p w14:paraId="35B9B03C" w14:textId="72560F29" w:rsidR="00027336" w:rsidRPr="00CC61C2" w:rsidRDefault="00027336" w:rsidP="00027336">
            <w:pPr>
              <w:spacing w:after="0"/>
              <w:jc w:val="center"/>
              <w:rPr>
                <w:rFonts w:ascii="Arial" w:eastAsia="Times New Roman" w:hAnsi="Arial" w:cs="Arial"/>
                <w:b/>
                <w:bCs/>
                <w:color w:val="FFFFFF"/>
                <w:sz w:val="20"/>
                <w:szCs w:val="20"/>
                <w:lang w:eastAsia="en-US"/>
              </w:rPr>
            </w:pPr>
            <w:r w:rsidRPr="00CC61C2">
              <w:rPr>
                <w:rFonts w:ascii="Arial" w:eastAsia="Times New Roman" w:hAnsi="Arial" w:cs="Arial"/>
                <w:b/>
                <w:bCs/>
                <w:color w:val="FFFFFF"/>
                <w:sz w:val="20"/>
                <w:szCs w:val="20"/>
                <w:lang w:eastAsia="en-US"/>
              </w:rPr>
              <w:t>Volume Vazado (m</w:t>
            </w:r>
            <w:r w:rsidRPr="00CC61C2">
              <w:rPr>
                <w:rFonts w:ascii="Arial" w:eastAsia="Times New Roman" w:hAnsi="Arial" w:cs="Arial"/>
                <w:b/>
                <w:bCs/>
                <w:color w:val="FFFFFF"/>
                <w:sz w:val="20"/>
                <w:szCs w:val="20"/>
                <w:vertAlign w:val="superscript"/>
                <w:lang w:eastAsia="en-US"/>
              </w:rPr>
              <w:t>3</w:t>
            </w:r>
            <w:r w:rsidRPr="00CC61C2">
              <w:rPr>
                <w:rFonts w:ascii="Arial" w:eastAsia="Times New Roman" w:hAnsi="Arial" w:cs="Arial"/>
                <w:b/>
                <w:bCs/>
                <w:color w:val="FFFFFF"/>
                <w:sz w:val="20"/>
                <w:szCs w:val="20"/>
                <w:lang w:eastAsia="en-US"/>
              </w:rPr>
              <w:t>)</w:t>
            </w:r>
          </w:p>
        </w:tc>
        <w:tc>
          <w:tcPr>
            <w:tcW w:w="2268" w:type="dxa"/>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000000"/>
            <w:vAlign w:val="center"/>
            <w:hideMark/>
          </w:tcPr>
          <w:p w14:paraId="2FAABBB9" w14:textId="6A9079AC" w:rsidR="00027336" w:rsidRPr="00CC61C2" w:rsidRDefault="00027336" w:rsidP="00027336">
            <w:pPr>
              <w:spacing w:after="0"/>
              <w:jc w:val="center"/>
              <w:rPr>
                <w:rFonts w:ascii="Arial" w:eastAsia="Times New Roman" w:hAnsi="Arial" w:cs="Arial"/>
                <w:b/>
                <w:bCs/>
                <w:color w:val="FFFFFF"/>
                <w:sz w:val="20"/>
                <w:szCs w:val="20"/>
                <w:lang w:eastAsia="en-US"/>
              </w:rPr>
            </w:pPr>
            <w:r w:rsidRPr="00CC61C2">
              <w:rPr>
                <w:rFonts w:ascii="Arial" w:eastAsia="Times New Roman" w:hAnsi="Arial" w:cs="Arial"/>
                <w:b/>
                <w:bCs/>
                <w:color w:val="FFFFFF"/>
                <w:sz w:val="20"/>
                <w:szCs w:val="20"/>
                <w:lang w:eastAsia="en-US"/>
              </w:rPr>
              <w:t>Probabilidade Máxima de Presença de Óleo (%)</w:t>
            </w:r>
          </w:p>
        </w:tc>
        <w:tc>
          <w:tcPr>
            <w:tcW w:w="1605" w:type="dxa"/>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000000"/>
            <w:vAlign w:val="center"/>
            <w:hideMark/>
          </w:tcPr>
          <w:p w14:paraId="43F07E73" w14:textId="4398BD56" w:rsidR="00027336" w:rsidRPr="00CC61C2" w:rsidRDefault="00027336" w:rsidP="00027336">
            <w:pPr>
              <w:spacing w:after="0"/>
              <w:jc w:val="center"/>
              <w:rPr>
                <w:rFonts w:ascii="Arial" w:eastAsia="Times New Roman" w:hAnsi="Arial" w:cs="Arial"/>
                <w:b/>
                <w:bCs/>
                <w:color w:val="FFFFFF"/>
                <w:sz w:val="20"/>
                <w:szCs w:val="20"/>
                <w:lang w:eastAsia="en-US"/>
              </w:rPr>
            </w:pPr>
            <w:r w:rsidRPr="00CC61C2">
              <w:rPr>
                <w:rFonts w:ascii="Arial" w:eastAsia="Times New Roman" w:hAnsi="Arial" w:cs="Arial"/>
                <w:b/>
                <w:bCs/>
                <w:color w:val="FFFFFF"/>
                <w:sz w:val="20"/>
                <w:szCs w:val="20"/>
                <w:lang w:eastAsia="en-US"/>
              </w:rPr>
              <w:t>Tempo Mínimo de Chegada de Óleo (h)</w:t>
            </w:r>
          </w:p>
        </w:tc>
      </w:tr>
      <w:tr w:rsidR="00027336" w:rsidRPr="00237B91" w14:paraId="0A7CF774" w14:textId="02BBBF28" w:rsidTr="00027336">
        <w:trPr>
          <w:trHeight w:val="509"/>
          <w:jc w:val="center"/>
        </w:trPr>
        <w:tc>
          <w:tcPr>
            <w:tcW w:w="0" w:type="auto"/>
            <w:vMerge/>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center"/>
            <w:hideMark/>
          </w:tcPr>
          <w:p w14:paraId="536DA98B" w14:textId="1DADF3A9" w:rsidR="00027336" w:rsidRPr="00CC61C2" w:rsidRDefault="00027336" w:rsidP="00027336">
            <w:pPr>
              <w:spacing w:after="0"/>
              <w:rPr>
                <w:rFonts w:ascii="Arial" w:eastAsia="Times New Roman" w:hAnsi="Arial" w:cs="Arial"/>
                <w:b/>
                <w:bCs/>
                <w:color w:val="FFFFFF"/>
                <w:sz w:val="20"/>
                <w:szCs w:val="20"/>
                <w:lang w:eastAsia="en-US"/>
              </w:rPr>
            </w:pPr>
          </w:p>
        </w:tc>
        <w:tc>
          <w:tcPr>
            <w:tcW w:w="0" w:type="auto"/>
            <w:vMerge/>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center"/>
            <w:hideMark/>
          </w:tcPr>
          <w:p w14:paraId="310E1C2E" w14:textId="35694A80" w:rsidR="00027336" w:rsidRPr="00CC61C2" w:rsidRDefault="00027336" w:rsidP="00027336">
            <w:pPr>
              <w:spacing w:after="0"/>
              <w:rPr>
                <w:rFonts w:ascii="Arial" w:eastAsia="Times New Roman" w:hAnsi="Arial" w:cs="Arial"/>
                <w:b/>
                <w:bCs/>
                <w:color w:val="FFFFFF"/>
                <w:sz w:val="20"/>
                <w:szCs w:val="20"/>
                <w:lang w:eastAsia="en-US"/>
              </w:rPr>
            </w:pPr>
          </w:p>
        </w:tc>
        <w:tc>
          <w:tcPr>
            <w:tcW w:w="0" w:type="auto"/>
            <w:vMerge/>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center"/>
            <w:hideMark/>
          </w:tcPr>
          <w:p w14:paraId="055BCCA8" w14:textId="235BDB81" w:rsidR="00027336" w:rsidRPr="00CC61C2" w:rsidRDefault="00027336" w:rsidP="00027336">
            <w:pPr>
              <w:spacing w:after="0"/>
              <w:rPr>
                <w:rFonts w:ascii="Arial" w:eastAsia="Times New Roman" w:hAnsi="Arial" w:cs="Arial"/>
                <w:b/>
                <w:bCs/>
                <w:color w:val="FFFFFF"/>
                <w:sz w:val="20"/>
                <w:szCs w:val="20"/>
                <w:lang w:eastAsia="en-US"/>
              </w:rPr>
            </w:pPr>
          </w:p>
        </w:tc>
        <w:tc>
          <w:tcPr>
            <w:tcW w:w="0" w:type="auto"/>
            <w:vMerge/>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center"/>
            <w:hideMark/>
          </w:tcPr>
          <w:p w14:paraId="2DC7087F" w14:textId="1600B6E3" w:rsidR="00027336" w:rsidRPr="00CC61C2" w:rsidRDefault="00027336" w:rsidP="00027336">
            <w:pPr>
              <w:spacing w:after="0"/>
              <w:rPr>
                <w:rFonts w:ascii="Arial" w:eastAsia="Times New Roman" w:hAnsi="Arial" w:cs="Arial"/>
                <w:b/>
                <w:bCs/>
                <w:color w:val="FFFFFF"/>
                <w:sz w:val="20"/>
                <w:szCs w:val="20"/>
                <w:lang w:eastAsia="en-US"/>
              </w:rPr>
            </w:pPr>
          </w:p>
        </w:tc>
        <w:tc>
          <w:tcPr>
            <w:tcW w:w="0" w:type="auto"/>
            <w:vMerge/>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center"/>
            <w:hideMark/>
          </w:tcPr>
          <w:p w14:paraId="479DC435" w14:textId="3474DFD5" w:rsidR="00027336" w:rsidRPr="00CC61C2" w:rsidRDefault="00027336" w:rsidP="00027336">
            <w:pPr>
              <w:spacing w:after="0"/>
              <w:rPr>
                <w:rFonts w:ascii="Arial" w:eastAsia="Times New Roman" w:hAnsi="Arial" w:cs="Arial"/>
                <w:b/>
                <w:bCs/>
                <w:color w:val="FFFFFF"/>
                <w:sz w:val="20"/>
                <w:szCs w:val="20"/>
                <w:lang w:eastAsia="en-US"/>
              </w:rPr>
            </w:pPr>
          </w:p>
        </w:tc>
      </w:tr>
      <w:tr w:rsidR="00027336" w:rsidRPr="00237B91" w14:paraId="61CB3209" w14:textId="61372B5E" w:rsidTr="00027336">
        <w:trPr>
          <w:trHeight w:val="283"/>
          <w:jc w:val="center"/>
        </w:trPr>
        <w:tc>
          <w:tcPr>
            <w:tcW w:w="9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noWrap/>
            <w:vAlign w:val="center"/>
            <w:hideMark/>
          </w:tcPr>
          <w:p w14:paraId="772DDA94" w14:textId="77A10DA9"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1</w:t>
            </w:r>
          </w:p>
        </w:tc>
        <w:tc>
          <w:tcPr>
            <w:tcW w:w="9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noWrap/>
            <w:vAlign w:val="center"/>
            <w:hideMark/>
          </w:tcPr>
          <w:p w14:paraId="35275DDF" w14:textId="78960C12"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Verão</w:t>
            </w:r>
          </w:p>
        </w:tc>
        <w:tc>
          <w:tcPr>
            <w:tcW w:w="13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center"/>
            <w:hideMark/>
          </w:tcPr>
          <w:p w14:paraId="42490276" w14:textId="2F5A133D"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8</w:t>
            </w:r>
          </w:p>
        </w:tc>
        <w:tc>
          <w:tcPr>
            <w:tcW w:w="226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noWrap/>
            <w:vAlign w:val="center"/>
            <w:hideMark/>
          </w:tcPr>
          <w:p w14:paraId="05F04987" w14:textId="2DA0D903"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w:t>
            </w:r>
          </w:p>
        </w:tc>
        <w:tc>
          <w:tcPr>
            <w:tcW w:w="160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noWrap/>
            <w:vAlign w:val="center"/>
            <w:hideMark/>
          </w:tcPr>
          <w:p w14:paraId="6E417FA8" w14:textId="0EB2175E"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w:t>
            </w:r>
          </w:p>
        </w:tc>
      </w:tr>
      <w:tr w:rsidR="00027336" w:rsidRPr="00237B91" w14:paraId="27601FDC" w14:textId="446329C6" w:rsidTr="00027336">
        <w:trPr>
          <w:trHeight w:val="283"/>
          <w:jc w:val="center"/>
        </w:trPr>
        <w:tc>
          <w:tcPr>
            <w:tcW w:w="9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noWrap/>
            <w:vAlign w:val="center"/>
            <w:hideMark/>
          </w:tcPr>
          <w:p w14:paraId="4B4B7396" w14:textId="1C879429"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2</w:t>
            </w:r>
          </w:p>
        </w:tc>
        <w:tc>
          <w:tcPr>
            <w:tcW w:w="9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noWrap/>
            <w:vAlign w:val="center"/>
            <w:hideMark/>
          </w:tcPr>
          <w:p w14:paraId="289E260C" w14:textId="184BA8A9"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Inverno</w:t>
            </w:r>
          </w:p>
        </w:tc>
        <w:tc>
          <w:tcPr>
            <w:tcW w:w="13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6266B0E" w14:textId="299224FA"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8</w:t>
            </w:r>
          </w:p>
        </w:tc>
        <w:tc>
          <w:tcPr>
            <w:tcW w:w="226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noWrap/>
            <w:vAlign w:val="center"/>
            <w:hideMark/>
          </w:tcPr>
          <w:p w14:paraId="1AE5E9FB" w14:textId="66A14C88"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w:t>
            </w:r>
          </w:p>
        </w:tc>
        <w:tc>
          <w:tcPr>
            <w:tcW w:w="160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noWrap/>
            <w:vAlign w:val="center"/>
            <w:hideMark/>
          </w:tcPr>
          <w:p w14:paraId="014DF943" w14:textId="5501E2B5"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w:t>
            </w:r>
          </w:p>
        </w:tc>
      </w:tr>
      <w:tr w:rsidR="00027336" w:rsidRPr="00237B91" w14:paraId="2D293FAA" w14:textId="77619FF5" w:rsidTr="00027336">
        <w:trPr>
          <w:trHeight w:val="283"/>
          <w:jc w:val="center"/>
        </w:trPr>
        <w:tc>
          <w:tcPr>
            <w:tcW w:w="9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noWrap/>
            <w:vAlign w:val="center"/>
            <w:hideMark/>
          </w:tcPr>
          <w:p w14:paraId="2DB30E52" w14:textId="2B46599D"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3</w:t>
            </w:r>
          </w:p>
        </w:tc>
        <w:tc>
          <w:tcPr>
            <w:tcW w:w="9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noWrap/>
            <w:vAlign w:val="center"/>
            <w:hideMark/>
          </w:tcPr>
          <w:p w14:paraId="49392523" w14:textId="44E896DB"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Verão</w:t>
            </w:r>
          </w:p>
        </w:tc>
        <w:tc>
          <w:tcPr>
            <w:tcW w:w="13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center"/>
            <w:hideMark/>
          </w:tcPr>
          <w:p w14:paraId="30527A88" w14:textId="29F01997"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200</w:t>
            </w:r>
          </w:p>
        </w:tc>
        <w:tc>
          <w:tcPr>
            <w:tcW w:w="226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noWrap/>
            <w:vAlign w:val="center"/>
            <w:hideMark/>
          </w:tcPr>
          <w:p w14:paraId="67338839" w14:textId="7B127B03"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w:t>
            </w:r>
          </w:p>
        </w:tc>
        <w:tc>
          <w:tcPr>
            <w:tcW w:w="160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noWrap/>
            <w:vAlign w:val="center"/>
            <w:hideMark/>
          </w:tcPr>
          <w:p w14:paraId="3EFDE439" w14:textId="0F061508"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w:t>
            </w:r>
          </w:p>
        </w:tc>
      </w:tr>
      <w:tr w:rsidR="00027336" w:rsidRPr="00237B91" w14:paraId="303A9C98" w14:textId="4367127E" w:rsidTr="00027336">
        <w:trPr>
          <w:trHeight w:val="283"/>
          <w:jc w:val="center"/>
        </w:trPr>
        <w:tc>
          <w:tcPr>
            <w:tcW w:w="9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noWrap/>
            <w:vAlign w:val="center"/>
            <w:hideMark/>
          </w:tcPr>
          <w:p w14:paraId="227C383F" w14:textId="774261DA"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4</w:t>
            </w:r>
          </w:p>
        </w:tc>
        <w:tc>
          <w:tcPr>
            <w:tcW w:w="9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noWrap/>
            <w:vAlign w:val="center"/>
            <w:hideMark/>
          </w:tcPr>
          <w:p w14:paraId="12869A69" w14:textId="48B0DF1B"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Inverno</w:t>
            </w:r>
          </w:p>
        </w:tc>
        <w:tc>
          <w:tcPr>
            <w:tcW w:w="13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0DE7999" w14:textId="446BF2D7"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200</w:t>
            </w:r>
          </w:p>
        </w:tc>
        <w:tc>
          <w:tcPr>
            <w:tcW w:w="226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noWrap/>
            <w:vAlign w:val="center"/>
            <w:hideMark/>
          </w:tcPr>
          <w:p w14:paraId="01EBB90E" w14:textId="7C4FE863"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w:t>
            </w:r>
          </w:p>
        </w:tc>
        <w:tc>
          <w:tcPr>
            <w:tcW w:w="160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noWrap/>
            <w:vAlign w:val="center"/>
            <w:hideMark/>
          </w:tcPr>
          <w:p w14:paraId="4B26F2BA" w14:textId="20930658"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w:t>
            </w:r>
          </w:p>
        </w:tc>
      </w:tr>
      <w:tr w:rsidR="00027336" w:rsidRPr="00237B91" w14:paraId="2A213BB9" w14:textId="226CDE8B" w:rsidTr="00027336">
        <w:trPr>
          <w:trHeight w:val="283"/>
          <w:jc w:val="center"/>
        </w:trPr>
        <w:tc>
          <w:tcPr>
            <w:tcW w:w="9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noWrap/>
            <w:vAlign w:val="center"/>
            <w:hideMark/>
          </w:tcPr>
          <w:p w14:paraId="53964796" w14:textId="643D5246"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5</w:t>
            </w:r>
          </w:p>
        </w:tc>
        <w:tc>
          <w:tcPr>
            <w:tcW w:w="9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noWrap/>
            <w:vAlign w:val="center"/>
            <w:hideMark/>
          </w:tcPr>
          <w:p w14:paraId="47453390" w14:textId="1F8A33DA"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Verão</w:t>
            </w:r>
          </w:p>
        </w:tc>
        <w:tc>
          <w:tcPr>
            <w:tcW w:w="13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center"/>
            <w:hideMark/>
          </w:tcPr>
          <w:p w14:paraId="44D7EEA2" w14:textId="13F405AB"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46.742</w:t>
            </w:r>
          </w:p>
        </w:tc>
        <w:tc>
          <w:tcPr>
            <w:tcW w:w="226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noWrap/>
            <w:vAlign w:val="center"/>
            <w:hideMark/>
          </w:tcPr>
          <w:p w14:paraId="2AEA9618" w14:textId="138A31F0"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w:t>
            </w:r>
          </w:p>
        </w:tc>
        <w:tc>
          <w:tcPr>
            <w:tcW w:w="160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noWrap/>
            <w:vAlign w:val="center"/>
            <w:hideMark/>
          </w:tcPr>
          <w:p w14:paraId="048CD703" w14:textId="37AA7C3C"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w:t>
            </w:r>
          </w:p>
        </w:tc>
      </w:tr>
      <w:tr w:rsidR="00027336" w:rsidRPr="00237B91" w14:paraId="6A5D934D" w14:textId="31BAA1E6" w:rsidTr="00027336">
        <w:trPr>
          <w:trHeight w:val="283"/>
          <w:jc w:val="center"/>
        </w:trPr>
        <w:tc>
          <w:tcPr>
            <w:tcW w:w="9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noWrap/>
            <w:vAlign w:val="center"/>
            <w:hideMark/>
          </w:tcPr>
          <w:p w14:paraId="57FCF36F" w14:textId="45A23EAE"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6</w:t>
            </w:r>
          </w:p>
        </w:tc>
        <w:tc>
          <w:tcPr>
            <w:tcW w:w="9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noWrap/>
            <w:vAlign w:val="center"/>
            <w:hideMark/>
          </w:tcPr>
          <w:p w14:paraId="1E13D141" w14:textId="7C4B7E49"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Inverno</w:t>
            </w:r>
          </w:p>
        </w:tc>
        <w:tc>
          <w:tcPr>
            <w:tcW w:w="13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794F5B9D" w14:textId="55F786AE"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46.742</w:t>
            </w:r>
          </w:p>
        </w:tc>
        <w:tc>
          <w:tcPr>
            <w:tcW w:w="226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noWrap/>
            <w:vAlign w:val="center"/>
            <w:hideMark/>
          </w:tcPr>
          <w:p w14:paraId="747A8E4B" w14:textId="13F6A159"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8,33</w:t>
            </w:r>
          </w:p>
        </w:tc>
        <w:tc>
          <w:tcPr>
            <w:tcW w:w="160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noWrap/>
            <w:vAlign w:val="center"/>
            <w:hideMark/>
          </w:tcPr>
          <w:p w14:paraId="1CB1C19E" w14:textId="77988887"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65,0</w:t>
            </w:r>
          </w:p>
        </w:tc>
      </w:tr>
      <w:tr w:rsidR="00027336" w:rsidRPr="00237B91" w14:paraId="6BC8FF4B" w14:textId="7466EA50" w:rsidTr="00027336">
        <w:trPr>
          <w:trHeight w:val="283"/>
          <w:jc w:val="center"/>
        </w:trPr>
        <w:tc>
          <w:tcPr>
            <w:tcW w:w="9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noWrap/>
            <w:vAlign w:val="center"/>
            <w:hideMark/>
          </w:tcPr>
          <w:p w14:paraId="22E8E710" w14:textId="71F4AA2D"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7</w:t>
            </w:r>
          </w:p>
        </w:tc>
        <w:tc>
          <w:tcPr>
            <w:tcW w:w="9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noWrap/>
            <w:vAlign w:val="center"/>
            <w:hideMark/>
          </w:tcPr>
          <w:p w14:paraId="5BF50E7A" w14:textId="52316A12"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Verão</w:t>
            </w:r>
          </w:p>
        </w:tc>
        <w:tc>
          <w:tcPr>
            <w:tcW w:w="13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center"/>
            <w:hideMark/>
          </w:tcPr>
          <w:p w14:paraId="63394AF7" w14:textId="4CBF19C4"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900</w:t>
            </w:r>
          </w:p>
        </w:tc>
        <w:tc>
          <w:tcPr>
            <w:tcW w:w="226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noWrap/>
            <w:vAlign w:val="center"/>
            <w:hideMark/>
          </w:tcPr>
          <w:p w14:paraId="27FDCE1B" w14:textId="5A4C5D40"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1,34</w:t>
            </w:r>
          </w:p>
        </w:tc>
        <w:tc>
          <w:tcPr>
            <w:tcW w:w="160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noWrap/>
            <w:vAlign w:val="center"/>
            <w:hideMark/>
          </w:tcPr>
          <w:p w14:paraId="4ED8BC9F" w14:textId="3EA2536A"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6,0</w:t>
            </w:r>
          </w:p>
        </w:tc>
      </w:tr>
      <w:tr w:rsidR="00027336" w:rsidRPr="00237B91" w14:paraId="79AD42C2" w14:textId="21215F77" w:rsidTr="00027336">
        <w:trPr>
          <w:trHeight w:val="283"/>
          <w:jc w:val="center"/>
        </w:trPr>
        <w:tc>
          <w:tcPr>
            <w:tcW w:w="9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noWrap/>
            <w:vAlign w:val="center"/>
            <w:hideMark/>
          </w:tcPr>
          <w:p w14:paraId="18F6D0CB" w14:textId="1C713AA9"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8</w:t>
            </w:r>
          </w:p>
        </w:tc>
        <w:tc>
          <w:tcPr>
            <w:tcW w:w="96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noWrap/>
            <w:vAlign w:val="center"/>
            <w:hideMark/>
          </w:tcPr>
          <w:p w14:paraId="4FB4A8A1" w14:textId="3EE43711"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Inverno</w:t>
            </w:r>
          </w:p>
        </w:tc>
        <w:tc>
          <w:tcPr>
            <w:tcW w:w="13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0B5FAC2" w14:textId="54216090"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900</w:t>
            </w:r>
          </w:p>
        </w:tc>
        <w:tc>
          <w:tcPr>
            <w:tcW w:w="226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noWrap/>
            <w:vAlign w:val="center"/>
            <w:hideMark/>
          </w:tcPr>
          <w:p w14:paraId="4061CF40" w14:textId="1F8268E7"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1,33</w:t>
            </w:r>
          </w:p>
        </w:tc>
        <w:tc>
          <w:tcPr>
            <w:tcW w:w="160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noWrap/>
            <w:vAlign w:val="center"/>
            <w:hideMark/>
          </w:tcPr>
          <w:p w14:paraId="03589DE0" w14:textId="68FF31AB" w:rsidR="00027336" w:rsidRPr="00CC61C2" w:rsidRDefault="00027336" w:rsidP="00027336">
            <w:pPr>
              <w:spacing w:after="0"/>
              <w:jc w:val="center"/>
              <w:rPr>
                <w:rFonts w:ascii="Arial" w:eastAsia="Times New Roman" w:hAnsi="Arial" w:cs="Arial"/>
                <w:sz w:val="20"/>
                <w:szCs w:val="20"/>
                <w:lang w:eastAsia="en-US"/>
              </w:rPr>
            </w:pPr>
            <w:r w:rsidRPr="00CC61C2">
              <w:rPr>
                <w:rFonts w:ascii="Arial" w:eastAsia="Times New Roman" w:hAnsi="Arial" w:cs="Arial"/>
                <w:sz w:val="20"/>
                <w:szCs w:val="20"/>
                <w:lang w:eastAsia="en-US"/>
              </w:rPr>
              <w:t>3,0</w:t>
            </w:r>
          </w:p>
        </w:tc>
      </w:tr>
    </w:tbl>
    <w:p w14:paraId="4362FFFF" w14:textId="185812C1" w:rsidR="00027336" w:rsidRPr="00237B91" w:rsidRDefault="00027336">
      <w:pPr>
        <w:pStyle w:val="BodyText"/>
        <w:spacing w:after="0" w:line="288" w:lineRule="auto"/>
        <w:jc w:val="both"/>
        <w:rPr>
          <w:rFonts w:ascii="Times New Roman" w:eastAsia="Times New Roman" w:hAnsi="Times New Roman" w:cs="Times New Roman"/>
          <w:sz w:val="22"/>
          <w:szCs w:val="22"/>
        </w:rPr>
      </w:pPr>
    </w:p>
    <w:p w14:paraId="4803B174" w14:textId="0EDAB9BE" w:rsidR="00027336" w:rsidRPr="00237B91" w:rsidRDefault="00D87417" w:rsidP="00E13F1F">
      <w:pPr>
        <w:spacing w:after="0" w:line="288" w:lineRule="auto"/>
        <w:jc w:val="both"/>
        <w:rPr>
          <w:rFonts w:ascii="Times New Roman" w:hAnsi="Times New Roman" w:cs="Times New Roman"/>
        </w:rPr>
      </w:pPr>
      <w:r w:rsidRPr="00237B91">
        <w:rPr>
          <w:rFonts w:ascii="Times New Roman" w:hAnsi="Times New Roman" w:cs="Times New Roman"/>
        </w:rPr>
        <w:t>Como não houve alteração nos resultados com o novo mapeamento, o</w:t>
      </w:r>
      <w:r w:rsidR="00027336" w:rsidRPr="00237B91">
        <w:rPr>
          <w:rFonts w:ascii="Times New Roman" w:hAnsi="Times New Roman" w:cs="Times New Roman"/>
        </w:rPr>
        <w:t xml:space="preserve"> CVA </w:t>
      </w:r>
      <w:r w:rsidRPr="00237B91">
        <w:rPr>
          <w:rFonts w:ascii="Times New Roman" w:hAnsi="Times New Roman" w:cs="Times New Roman"/>
        </w:rPr>
        <w:t xml:space="preserve">permanece com </w:t>
      </w:r>
      <w:r w:rsidR="00FF00A0" w:rsidRPr="00237B91">
        <w:rPr>
          <w:rFonts w:ascii="Times New Roman" w:hAnsi="Times New Roman" w:cs="Times New Roman"/>
        </w:rPr>
        <w:t xml:space="preserve">as mesmas </w:t>
      </w:r>
      <w:r w:rsidR="00027336" w:rsidRPr="00237B91">
        <w:rPr>
          <w:rFonts w:ascii="Times New Roman" w:hAnsi="Times New Roman" w:cs="Times New Roman"/>
        </w:rPr>
        <w:t>probabilidade</w:t>
      </w:r>
      <w:r w:rsidR="00FF00A0" w:rsidRPr="00237B91">
        <w:rPr>
          <w:rFonts w:ascii="Times New Roman" w:hAnsi="Times New Roman" w:cs="Times New Roman"/>
        </w:rPr>
        <w:t xml:space="preserve">s </w:t>
      </w:r>
      <w:r w:rsidR="00027336" w:rsidRPr="00237B91">
        <w:rPr>
          <w:rFonts w:ascii="Times New Roman" w:hAnsi="Times New Roman" w:cs="Times New Roman"/>
        </w:rPr>
        <w:t xml:space="preserve">de presença </w:t>
      </w:r>
      <w:r w:rsidR="00FF00A0" w:rsidRPr="00237B91">
        <w:rPr>
          <w:rFonts w:ascii="Times New Roman" w:hAnsi="Times New Roman" w:cs="Times New Roman"/>
        </w:rPr>
        <w:t xml:space="preserve">e de tempo de chagada </w:t>
      </w:r>
      <w:r w:rsidR="00027336" w:rsidRPr="00237B91">
        <w:rPr>
          <w:rFonts w:ascii="Times New Roman" w:hAnsi="Times New Roman" w:cs="Times New Roman"/>
        </w:rPr>
        <w:t>de óleo nos cenários de 6 a 8</w:t>
      </w:r>
      <w:r w:rsidR="00FF00A0" w:rsidRPr="00237B91">
        <w:rPr>
          <w:rFonts w:ascii="Times New Roman" w:hAnsi="Times New Roman" w:cs="Times New Roman"/>
        </w:rPr>
        <w:t xml:space="preserve"> com que já aparecia na Revisão 02 da ARA submetida em resposta aos comentários do PAR N</w:t>
      </w:r>
      <w:r w:rsidR="00FF00A0" w:rsidRPr="00237B91">
        <w:rPr>
          <w:rFonts w:ascii="Times New Roman" w:hAnsi="Times New Roman" w:cs="Times New Roman"/>
          <w:vertAlign w:val="superscript"/>
        </w:rPr>
        <w:t>o</w:t>
      </w:r>
      <w:r w:rsidR="00FF00A0" w:rsidRPr="00237B91">
        <w:rPr>
          <w:rFonts w:ascii="Times New Roman" w:hAnsi="Times New Roman" w:cs="Times New Roman"/>
        </w:rPr>
        <w:t xml:space="preserve"> 106/2017-C</w:t>
      </w:r>
      <w:r w:rsidR="00FD2B01" w:rsidRPr="00237B91">
        <w:rPr>
          <w:rFonts w:ascii="Times New Roman" w:hAnsi="Times New Roman" w:cs="Times New Roman"/>
        </w:rPr>
        <w:t>O</w:t>
      </w:r>
      <w:r w:rsidR="00FF00A0" w:rsidRPr="00237B91">
        <w:rPr>
          <w:rFonts w:ascii="Times New Roman" w:hAnsi="Times New Roman" w:cs="Times New Roman"/>
        </w:rPr>
        <w:t>EXP/CGMAC/DILIC</w:t>
      </w:r>
      <w:r w:rsidR="00027336" w:rsidRPr="00237B91">
        <w:rPr>
          <w:rFonts w:ascii="Times New Roman" w:hAnsi="Times New Roman" w:cs="Times New Roman"/>
        </w:rPr>
        <w:t>.</w:t>
      </w:r>
    </w:p>
    <w:p w14:paraId="0AB4E7B3" w14:textId="06D6EA7C" w:rsidR="002E2097" w:rsidRPr="00CC61C2" w:rsidRDefault="002E2097" w:rsidP="007B745B">
      <w:pPr>
        <w:spacing w:before="240" w:after="0" w:line="288" w:lineRule="auto"/>
        <w:jc w:val="both"/>
        <w:rPr>
          <w:rFonts w:ascii="Arial" w:hAnsi="Arial" w:cs="Arial"/>
          <w:b/>
          <w:sz w:val="24"/>
          <w:szCs w:val="24"/>
        </w:rPr>
      </w:pPr>
      <w:r w:rsidRPr="00CC61C2">
        <w:rPr>
          <w:rFonts w:ascii="Arial" w:hAnsi="Arial" w:cs="Arial"/>
          <w:b/>
          <w:sz w:val="24"/>
          <w:szCs w:val="24"/>
        </w:rPr>
        <w:t>II.12.6</w:t>
      </w:r>
      <w:r w:rsidR="00DA584C" w:rsidRPr="00CC61C2">
        <w:rPr>
          <w:rFonts w:ascii="Arial" w:hAnsi="Arial" w:cs="Arial"/>
          <w:b/>
          <w:sz w:val="24"/>
          <w:szCs w:val="24"/>
        </w:rPr>
        <w:t xml:space="preserve">. </w:t>
      </w:r>
      <w:r w:rsidRPr="00CC61C2">
        <w:rPr>
          <w:rFonts w:ascii="Arial" w:hAnsi="Arial" w:cs="Arial"/>
          <w:b/>
          <w:sz w:val="24"/>
          <w:szCs w:val="24"/>
        </w:rPr>
        <w:t>RELAÇÃO TEMPO DE RECUPERAÇÃO/TEMPO DE OCORRÊNCIA</w:t>
      </w:r>
    </w:p>
    <w:p w14:paraId="5F7900C5" w14:textId="77777777" w:rsidR="00CC61C2" w:rsidRDefault="00CC61C2" w:rsidP="00067787">
      <w:pPr>
        <w:autoSpaceDE w:val="0"/>
        <w:autoSpaceDN w:val="0"/>
        <w:adjustRightInd w:val="0"/>
        <w:spacing w:after="0" w:line="288" w:lineRule="auto"/>
        <w:jc w:val="both"/>
        <w:rPr>
          <w:rFonts w:ascii="Times New Roman" w:eastAsia="Times New Roman" w:hAnsi="Times New Roman" w:cs="Times New Roman"/>
          <w:b/>
          <w:i/>
        </w:rPr>
      </w:pPr>
    </w:p>
    <w:p w14:paraId="7D7F4578" w14:textId="33072DEB" w:rsidR="00016875" w:rsidRPr="00CC61C2" w:rsidRDefault="000C15AA" w:rsidP="00067787">
      <w:pPr>
        <w:autoSpaceDE w:val="0"/>
        <w:autoSpaceDN w:val="0"/>
        <w:adjustRightInd w:val="0"/>
        <w:spacing w:after="0" w:line="288" w:lineRule="auto"/>
        <w:jc w:val="both"/>
        <w:rPr>
          <w:rFonts w:ascii="Arial" w:hAnsi="Arial" w:cs="Arial"/>
          <w:b/>
        </w:rPr>
      </w:pPr>
      <w:r w:rsidRPr="00CC61C2">
        <w:rPr>
          <w:rFonts w:ascii="Arial" w:eastAsia="Times New Roman" w:hAnsi="Arial" w:cs="Arial"/>
          <w:b/>
          <w:i/>
        </w:rPr>
        <w:t>QUANTO AO CRITÉRIO DE ACEITABILIDADE OU TOLERABILIDADE DE RISCOS</w:t>
      </w:r>
    </w:p>
    <w:p w14:paraId="0972B584" w14:textId="77777777" w:rsidR="00016875" w:rsidRDefault="00016875" w:rsidP="00067787">
      <w:pPr>
        <w:autoSpaceDE w:val="0"/>
        <w:autoSpaceDN w:val="0"/>
        <w:adjustRightInd w:val="0"/>
        <w:spacing w:after="0" w:line="288" w:lineRule="auto"/>
        <w:jc w:val="both"/>
        <w:rPr>
          <w:rFonts w:ascii="Times New Roman" w:hAnsi="Times New Roman" w:cs="Times New Roman"/>
        </w:rPr>
      </w:pPr>
    </w:p>
    <w:p w14:paraId="3F0EC0CA" w14:textId="68328B18" w:rsidR="008C2A92" w:rsidRPr="00237B91" w:rsidRDefault="00BC021C" w:rsidP="00067787">
      <w:pPr>
        <w:autoSpaceDE w:val="0"/>
        <w:autoSpaceDN w:val="0"/>
        <w:adjustRightInd w:val="0"/>
        <w:spacing w:after="0" w:line="288" w:lineRule="auto"/>
        <w:jc w:val="both"/>
        <w:rPr>
          <w:rFonts w:ascii="Times New Roman" w:hAnsi="Times New Roman" w:cs="Times New Roman"/>
        </w:rPr>
      </w:pPr>
      <w:r w:rsidRPr="00237B91">
        <w:rPr>
          <w:rFonts w:ascii="Times New Roman" w:hAnsi="Times New Roman" w:cs="Times New Roman"/>
        </w:rPr>
        <w:t xml:space="preserve">Objetivando </w:t>
      </w:r>
      <w:r w:rsidR="008C2A92" w:rsidRPr="00237B91">
        <w:rPr>
          <w:rFonts w:ascii="Times New Roman" w:hAnsi="Times New Roman" w:cs="Times New Roman"/>
        </w:rPr>
        <w:t xml:space="preserve">fornecer elementos adicionais para melhor compreensão do </w:t>
      </w:r>
      <w:r w:rsidR="00A66055" w:rsidRPr="00237B91">
        <w:rPr>
          <w:rFonts w:ascii="Times New Roman" w:hAnsi="Times New Roman" w:cs="Times New Roman"/>
        </w:rPr>
        <w:t xml:space="preserve">critério de aceitabilidade ou tolerabilidade de riscos considerado na metodologia de Análise de Riscos Ambientais (ARA) empregada no estudo, por vezes questionado por esta COEXP/IBAMA, </w:t>
      </w:r>
      <w:r w:rsidR="008C2A92" w:rsidRPr="00237B91">
        <w:rPr>
          <w:rFonts w:ascii="Times New Roman" w:hAnsi="Times New Roman" w:cs="Times New Roman"/>
        </w:rPr>
        <w:t>propõe-se, a seguir, um aprofundamento do tema.</w:t>
      </w:r>
    </w:p>
    <w:p w14:paraId="066C425B" w14:textId="77777777" w:rsidR="008C2A92" w:rsidRPr="00237B91" w:rsidRDefault="008C2A92" w:rsidP="00067787">
      <w:pPr>
        <w:autoSpaceDE w:val="0"/>
        <w:autoSpaceDN w:val="0"/>
        <w:adjustRightInd w:val="0"/>
        <w:spacing w:after="0" w:line="288" w:lineRule="auto"/>
        <w:jc w:val="both"/>
        <w:rPr>
          <w:rFonts w:ascii="Times New Roman" w:hAnsi="Times New Roman" w:cs="Times New Roman"/>
        </w:rPr>
      </w:pPr>
    </w:p>
    <w:p w14:paraId="3B0F23A4" w14:textId="760EF35B" w:rsidR="00067787" w:rsidRPr="00237B91" w:rsidRDefault="008C2A92" w:rsidP="00067787">
      <w:pPr>
        <w:autoSpaceDE w:val="0"/>
        <w:autoSpaceDN w:val="0"/>
        <w:adjustRightInd w:val="0"/>
        <w:spacing w:after="0" w:line="288" w:lineRule="auto"/>
        <w:jc w:val="both"/>
        <w:rPr>
          <w:rFonts w:ascii="Times New Roman" w:hAnsi="Times New Roman" w:cs="Times New Roman"/>
        </w:rPr>
      </w:pPr>
      <w:r w:rsidRPr="00237B91">
        <w:rPr>
          <w:rFonts w:ascii="Times New Roman" w:hAnsi="Times New Roman" w:cs="Times New Roman"/>
        </w:rPr>
        <w:t xml:space="preserve">Entende-se, primeiramente, </w:t>
      </w:r>
      <w:r w:rsidR="00A66055" w:rsidRPr="00237B91">
        <w:rPr>
          <w:rFonts w:ascii="Times New Roman" w:hAnsi="Times New Roman" w:cs="Times New Roman"/>
        </w:rPr>
        <w:t xml:space="preserve">que o </w:t>
      </w:r>
      <w:r w:rsidRPr="00237B91">
        <w:rPr>
          <w:rFonts w:ascii="Times New Roman" w:hAnsi="Times New Roman" w:cs="Times New Roman"/>
        </w:rPr>
        <w:t>critério em questão</w:t>
      </w:r>
      <w:r w:rsidR="00A66055" w:rsidRPr="00237B91">
        <w:rPr>
          <w:rFonts w:ascii="Times New Roman" w:hAnsi="Times New Roman" w:cs="Times New Roman"/>
        </w:rPr>
        <w:t xml:space="preserve"> dev</w:t>
      </w:r>
      <w:r w:rsidRPr="00237B91">
        <w:rPr>
          <w:rFonts w:ascii="Times New Roman" w:hAnsi="Times New Roman" w:cs="Times New Roman"/>
        </w:rPr>
        <w:t>a</w:t>
      </w:r>
      <w:r w:rsidR="00A66055" w:rsidRPr="00237B91">
        <w:rPr>
          <w:rFonts w:ascii="Times New Roman" w:hAnsi="Times New Roman" w:cs="Times New Roman"/>
        </w:rPr>
        <w:t xml:space="preserve"> ser baseado em uma análise </w:t>
      </w:r>
      <w:proofErr w:type="spellStart"/>
      <w:r w:rsidR="00A66055" w:rsidRPr="00237B91">
        <w:rPr>
          <w:rFonts w:ascii="Times New Roman" w:hAnsi="Times New Roman" w:cs="Times New Roman"/>
        </w:rPr>
        <w:t>quali</w:t>
      </w:r>
      <w:proofErr w:type="spellEnd"/>
      <w:r w:rsidR="00A66055" w:rsidRPr="00237B91">
        <w:rPr>
          <w:rFonts w:ascii="Times New Roman" w:hAnsi="Times New Roman" w:cs="Times New Roman"/>
        </w:rPr>
        <w:t>-quantitativa.</w:t>
      </w:r>
      <w:r w:rsidR="00016875" w:rsidRPr="00237B91">
        <w:rPr>
          <w:rFonts w:ascii="Times New Roman" w:hAnsi="Times New Roman" w:cs="Times New Roman"/>
        </w:rPr>
        <w:t xml:space="preserve"> </w:t>
      </w:r>
      <w:r w:rsidR="00067787" w:rsidRPr="00237B91">
        <w:rPr>
          <w:rFonts w:ascii="Times New Roman" w:hAnsi="Times New Roman" w:cs="Times New Roman"/>
        </w:rPr>
        <w:t xml:space="preserve">Do ponto de vista meramente qualitativo, o princípio norteador de aceitabilidade de risco ambiental do método utilizado neste estudo considera que a frequência de recorrência do dano deve ser “insignificante” quando comparado com a consequência do dano, medida em termos do tempo de recuperação do Componente de Valor Ambiental (CVA). Em outras palavras, o tempo de recuperação do CVA deve ser muito menor do que o tempo de recorrência do dano ambiental. </w:t>
      </w:r>
    </w:p>
    <w:p w14:paraId="4ED71881" w14:textId="77777777" w:rsidR="00067787" w:rsidRPr="00237B91" w:rsidRDefault="00067787" w:rsidP="00067787">
      <w:pPr>
        <w:autoSpaceDE w:val="0"/>
        <w:autoSpaceDN w:val="0"/>
        <w:adjustRightInd w:val="0"/>
        <w:spacing w:after="0" w:line="288" w:lineRule="auto"/>
        <w:jc w:val="both"/>
        <w:rPr>
          <w:rFonts w:ascii="Times New Roman" w:hAnsi="Times New Roman" w:cs="Times New Roman"/>
        </w:rPr>
      </w:pPr>
    </w:p>
    <w:p w14:paraId="169B44ED" w14:textId="77777777" w:rsidR="007023CB" w:rsidRPr="00237B91" w:rsidRDefault="007023CB" w:rsidP="007023CB">
      <w:pPr>
        <w:autoSpaceDE w:val="0"/>
        <w:autoSpaceDN w:val="0"/>
        <w:adjustRightInd w:val="0"/>
        <w:spacing w:after="0" w:line="288" w:lineRule="auto"/>
        <w:jc w:val="both"/>
        <w:rPr>
          <w:rFonts w:ascii="Times New Roman" w:hAnsi="Times New Roman" w:cs="Times New Roman"/>
        </w:rPr>
      </w:pPr>
      <w:r w:rsidRPr="00237B91">
        <w:rPr>
          <w:rFonts w:ascii="Times New Roman" w:hAnsi="Times New Roman" w:cs="Times New Roman"/>
        </w:rPr>
        <w:t xml:space="preserve">Este mesmo princípio qualitativo é utilizado pela indústria </w:t>
      </w:r>
      <w:r w:rsidRPr="00237B91">
        <w:rPr>
          <w:rFonts w:ascii="Times New Roman" w:hAnsi="Times New Roman" w:cs="Times New Roman"/>
          <w:i/>
        </w:rPr>
        <w:t>offshore</w:t>
      </w:r>
      <w:r w:rsidRPr="00237B91">
        <w:rPr>
          <w:rFonts w:ascii="Times New Roman" w:hAnsi="Times New Roman" w:cs="Times New Roman"/>
        </w:rPr>
        <w:t xml:space="preserve"> da Noruega no método para Análise de Riscos Ambiental denominado MIRA</w:t>
      </w:r>
      <w:r w:rsidRPr="00237B91">
        <w:rPr>
          <w:rStyle w:val="FootnoteReference"/>
          <w:rFonts w:ascii="Times New Roman" w:hAnsi="Times New Roman" w:cs="Times New Roman"/>
        </w:rPr>
        <w:footnoteReference w:id="1"/>
      </w:r>
      <w:r w:rsidRPr="00237B91">
        <w:rPr>
          <w:rFonts w:ascii="Times New Roman" w:hAnsi="Times New Roman" w:cs="Times New Roman"/>
        </w:rPr>
        <w:t xml:space="preserve"> que segue a norma NORSOK Z-013 que estabelece os requisitos para preparação de ARA na Noruega. Os princípios do método MIRA e uma discussão sobre o critério de aceitabilidade de riscos ambientais é apresentado em </w:t>
      </w:r>
      <w:proofErr w:type="spellStart"/>
      <w:r w:rsidRPr="00237B91">
        <w:rPr>
          <w:rFonts w:ascii="Times New Roman" w:hAnsi="Times New Roman" w:cs="Times New Roman"/>
        </w:rPr>
        <w:t>Hauge</w:t>
      </w:r>
      <w:proofErr w:type="spellEnd"/>
      <w:r w:rsidRPr="00237B91">
        <w:rPr>
          <w:rFonts w:ascii="Times New Roman" w:hAnsi="Times New Roman" w:cs="Times New Roman"/>
        </w:rPr>
        <w:t xml:space="preserve"> </w:t>
      </w:r>
      <w:r w:rsidRPr="00237B91">
        <w:rPr>
          <w:rFonts w:ascii="Times New Roman" w:hAnsi="Times New Roman" w:cs="Times New Roman"/>
          <w:i/>
        </w:rPr>
        <w:t>et al</w:t>
      </w:r>
      <w:r w:rsidRPr="00237B91">
        <w:rPr>
          <w:rFonts w:ascii="Times New Roman" w:hAnsi="Times New Roman" w:cs="Times New Roman"/>
        </w:rPr>
        <w:t xml:space="preserve"> (2011). Esses autores também questionam a arbitrariedade da adoção de um valor limiar como critério único de aceitabilidade de riscos ambientais, entendendo que o estabelecimento deste limiar é tema complexo e com alta carga de subjetividade.</w:t>
      </w:r>
    </w:p>
    <w:p w14:paraId="5DB00533" w14:textId="487CCD56" w:rsidR="007023CB" w:rsidRDefault="007023CB" w:rsidP="007023CB">
      <w:pPr>
        <w:autoSpaceDE w:val="0"/>
        <w:autoSpaceDN w:val="0"/>
        <w:adjustRightInd w:val="0"/>
        <w:spacing w:after="0" w:line="288" w:lineRule="auto"/>
        <w:jc w:val="both"/>
        <w:rPr>
          <w:rFonts w:ascii="Times New Roman" w:hAnsi="Times New Roman" w:cs="Times New Roman"/>
        </w:rPr>
      </w:pPr>
    </w:p>
    <w:p w14:paraId="76DE2778" w14:textId="77777777" w:rsidR="00292D09" w:rsidRPr="00237B91" w:rsidRDefault="00292D09" w:rsidP="007023CB">
      <w:pPr>
        <w:autoSpaceDE w:val="0"/>
        <w:autoSpaceDN w:val="0"/>
        <w:adjustRightInd w:val="0"/>
        <w:spacing w:after="0" w:line="288" w:lineRule="auto"/>
        <w:jc w:val="both"/>
        <w:rPr>
          <w:rFonts w:ascii="Times New Roman" w:hAnsi="Times New Roman" w:cs="Times New Roman"/>
        </w:rPr>
      </w:pPr>
    </w:p>
    <w:p w14:paraId="44C44BD8" w14:textId="095007B4" w:rsidR="007023CB" w:rsidRPr="00237B91" w:rsidRDefault="007023CB" w:rsidP="007023CB">
      <w:pPr>
        <w:autoSpaceDE w:val="0"/>
        <w:autoSpaceDN w:val="0"/>
        <w:adjustRightInd w:val="0"/>
        <w:spacing w:after="0" w:line="288" w:lineRule="auto"/>
        <w:jc w:val="both"/>
        <w:rPr>
          <w:rFonts w:ascii="Times New Roman" w:hAnsi="Times New Roman" w:cs="Times New Roman"/>
        </w:rPr>
      </w:pPr>
      <w:r w:rsidRPr="00237B91">
        <w:rPr>
          <w:rFonts w:ascii="Times New Roman" w:hAnsi="Times New Roman" w:cs="Times New Roman"/>
        </w:rPr>
        <w:lastRenderedPageBreak/>
        <w:t xml:space="preserve">Conforme apresentado em </w:t>
      </w:r>
      <w:proofErr w:type="spellStart"/>
      <w:r w:rsidRPr="00237B91">
        <w:rPr>
          <w:rFonts w:ascii="Times New Roman" w:hAnsi="Times New Roman" w:cs="Times New Roman"/>
        </w:rPr>
        <w:t>Hauge</w:t>
      </w:r>
      <w:proofErr w:type="spellEnd"/>
      <w:r w:rsidRPr="00237B91">
        <w:rPr>
          <w:rFonts w:ascii="Times New Roman" w:hAnsi="Times New Roman" w:cs="Times New Roman"/>
        </w:rPr>
        <w:t xml:space="preserve"> </w:t>
      </w:r>
      <w:r w:rsidRPr="00237B91">
        <w:rPr>
          <w:rFonts w:ascii="Times New Roman" w:hAnsi="Times New Roman" w:cs="Times New Roman"/>
          <w:i/>
        </w:rPr>
        <w:t>et al</w:t>
      </w:r>
      <w:r w:rsidRPr="00237B91">
        <w:rPr>
          <w:rFonts w:ascii="Times New Roman" w:hAnsi="Times New Roman" w:cs="Times New Roman"/>
        </w:rPr>
        <w:t xml:space="preserve"> (2011), na Noruega, a responsabilidade da definição desse critério é das operadoras e, de maneira geral, é utilizado o valor de 5% para a razão entre o tempo de recuperação e tempo de recorrência. Para além da subjetividade inerente à definição de um valor limiar como critério de aceitação de riscos ambientais, por conta de grandes diferenças entre a metodologia norueguesa e a metodologia adotada neste estudo, sobretudo no que se refere a quantificação dos danos ambientais aos </w:t>
      </w:r>
      <w:proofErr w:type="spellStart"/>
      <w:r w:rsidRPr="00237B91">
        <w:rPr>
          <w:rFonts w:ascii="Times New Roman" w:hAnsi="Times New Roman" w:cs="Times New Roman"/>
        </w:rPr>
        <w:t>CVAs</w:t>
      </w:r>
      <w:proofErr w:type="spellEnd"/>
      <w:r w:rsidRPr="00237B91">
        <w:rPr>
          <w:rFonts w:ascii="Times New Roman" w:hAnsi="Times New Roman" w:cs="Times New Roman"/>
        </w:rPr>
        <w:t xml:space="preserve"> e no consequente estabelecimento dos tempos de recuperação, entendemos que a utilização do valor limiar de 5% não deve ser utilizada aqui como referência absoluta. Além disso, como mostraremos adiante, os preceitos bastante conservadores utilizados no estudo também devem ser considerados na avaliação final da tolerabilidade dos riscos ambientais.</w:t>
      </w:r>
    </w:p>
    <w:p w14:paraId="11D9CCBC" w14:textId="3BE1AA3F" w:rsidR="0081166E" w:rsidRPr="00237B91" w:rsidRDefault="0081166E" w:rsidP="00292D09">
      <w:pPr>
        <w:autoSpaceDE w:val="0"/>
        <w:autoSpaceDN w:val="0"/>
        <w:adjustRightInd w:val="0"/>
        <w:spacing w:before="240" w:after="0" w:line="288" w:lineRule="auto"/>
        <w:jc w:val="both"/>
        <w:rPr>
          <w:rFonts w:ascii="Times New Roman" w:hAnsi="Times New Roman" w:cs="Times New Roman"/>
        </w:rPr>
      </w:pPr>
      <w:r w:rsidRPr="00237B91">
        <w:rPr>
          <w:rFonts w:ascii="Times New Roman" w:hAnsi="Times New Roman" w:cs="Times New Roman"/>
        </w:rPr>
        <w:t>A Análise de Risco Ambiental</w:t>
      </w:r>
      <w:r w:rsidR="00E2117A" w:rsidRPr="00237B91">
        <w:rPr>
          <w:rFonts w:ascii="Times New Roman" w:hAnsi="Times New Roman" w:cs="Times New Roman"/>
        </w:rPr>
        <w:t xml:space="preserve"> (ARA)</w:t>
      </w:r>
      <w:r w:rsidR="00F45084" w:rsidRPr="00237B91">
        <w:rPr>
          <w:rFonts w:ascii="Times New Roman" w:hAnsi="Times New Roman" w:cs="Times New Roman"/>
        </w:rPr>
        <w:t>,</w:t>
      </w:r>
      <w:r w:rsidRPr="00237B91">
        <w:rPr>
          <w:rFonts w:ascii="Times New Roman" w:hAnsi="Times New Roman" w:cs="Times New Roman"/>
        </w:rPr>
        <w:t xml:space="preserve"> elaborada </w:t>
      </w:r>
      <w:r w:rsidR="004479DB" w:rsidRPr="00237B91">
        <w:rPr>
          <w:rFonts w:ascii="Times New Roman" w:hAnsi="Times New Roman" w:cs="Times New Roman"/>
        </w:rPr>
        <w:t>de acordo com</w:t>
      </w:r>
      <w:r w:rsidRPr="00237B91">
        <w:rPr>
          <w:rFonts w:ascii="Times New Roman" w:hAnsi="Times New Roman" w:cs="Times New Roman"/>
        </w:rPr>
        <w:t xml:space="preserve"> as orientações presentes no Termo de Referência </w:t>
      </w:r>
      <w:r w:rsidR="004479DB" w:rsidRPr="00237B91">
        <w:rPr>
          <w:rFonts w:ascii="Times New Roman" w:hAnsi="Times New Roman" w:cs="Times New Roman"/>
        </w:rPr>
        <w:t>CGPEG/DILIC/IBAMA N</w:t>
      </w:r>
      <w:r w:rsidRPr="00237B91">
        <w:rPr>
          <w:rFonts w:ascii="Times New Roman" w:hAnsi="Times New Roman" w:cs="Times New Roman"/>
        </w:rPr>
        <w:t xml:space="preserve">º 23/2014 e </w:t>
      </w:r>
      <w:r w:rsidR="00E57B5A" w:rsidRPr="00237B91">
        <w:rPr>
          <w:rFonts w:ascii="Times New Roman" w:hAnsi="Times New Roman" w:cs="Times New Roman"/>
        </w:rPr>
        <w:t xml:space="preserve">com </w:t>
      </w:r>
      <w:r w:rsidRPr="00237B91">
        <w:rPr>
          <w:rFonts w:ascii="Times New Roman" w:hAnsi="Times New Roman" w:cs="Times New Roman"/>
        </w:rPr>
        <w:t>as posteriores recomendações do Parecer</w:t>
      </w:r>
      <w:r w:rsidR="00E57B5A" w:rsidRPr="00237B91">
        <w:rPr>
          <w:rFonts w:ascii="Times New Roman" w:hAnsi="Times New Roman" w:cs="Times New Roman"/>
        </w:rPr>
        <w:t xml:space="preserve"> </w:t>
      </w:r>
      <w:r w:rsidRPr="00237B91">
        <w:rPr>
          <w:rFonts w:ascii="Times New Roman" w:hAnsi="Times New Roman" w:cs="Times New Roman"/>
        </w:rPr>
        <w:t>Técnico</w:t>
      </w:r>
      <w:r w:rsidR="004479DB" w:rsidRPr="00237B91">
        <w:rPr>
          <w:rFonts w:ascii="Times New Roman" w:hAnsi="Times New Roman" w:cs="Times New Roman"/>
        </w:rPr>
        <w:t xml:space="preserve"> COEXP/CGMAC/DILIC</w:t>
      </w:r>
      <w:r w:rsidRPr="00237B91">
        <w:rPr>
          <w:rFonts w:ascii="Times New Roman" w:hAnsi="Times New Roman" w:cs="Times New Roman"/>
        </w:rPr>
        <w:t xml:space="preserve"> </w:t>
      </w:r>
      <w:r w:rsidR="004479DB" w:rsidRPr="00237B91">
        <w:rPr>
          <w:rFonts w:ascii="Times New Roman" w:hAnsi="Times New Roman" w:cs="Times New Roman"/>
        </w:rPr>
        <w:t>Nº 106/2017, base</w:t>
      </w:r>
      <w:r w:rsidR="00F603D1" w:rsidRPr="00237B91">
        <w:rPr>
          <w:rFonts w:ascii="Times New Roman" w:hAnsi="Times New Roman" w:cs="Times New Roman"/>
        </w:rPr>
        <w:t>ou-se</w:t>
      </w:r>
      <w:r w:rsidR="004479DB" w:rsidRPr="00237B91">
        <w:rPr>
          <w:rFonts w:ascii="Times New Roman" w:hAnsi="Times New Roman" w:cs="Times New Roman"/>
        </w:rPr>
        <w:t>, de fato, em preceitos bastante conservadores</w:t>
      </w:r>
      <w:r w:rsidR="00F45084" w:rsidRPr="00237B91">
        <w:rPr>
          <w:rFonts w:ascii="Times New Roman" w:hAnsi="Times New Roman" w:cs="Times New Roman"/>
        </w:rPr>
        <w:t xml:space="preserve">. A seguir é possível encontrar os principais pontos de conservadorismo e uma explicação sobre </w:t>
      </w:r>
      <w:r w:rsidR="0047016A" w:rsidRPr="00237B91">
        <w:rPr>
          <w:rFonts w:ascii="Times New Roman" w:hAnsi="Times New Roman" w:cs="Times New Roman"/>
        </w:rPr>
        <w:t xml:space="preserve">o que motiva </w:t>
      </w:r>
      <w:r w:rsidR="00F45084" w:rsidRPr="00237B91">
        <w:rPr>
          <w:rFonts w:ascii="Times New Roman" w:hAnsi="Times New Roman" w:cs="Times New Roman"/>
        </w:rPr>
        <w:t>esta interpretação:</w:t>
      </w:r>
    </w:p>
    <w:p w14:paraId="5CF81807" w14:textId="55608058" w:rsidR="0047016A" w:rsidRPr="00237B91" w:rsidRDefault="0047016A" w:rsidP="0081166E">
      <w:pPr>
        <w:spacing w:after="0" w:line="288" w:lineRule="auto"/>
        <w:jc w:val="both"/>
        <w:rPr>
          <w:rFonts w:ascii="Times New Roman" w:hAnsi="Times New Roman" w:cs="Times New Roman"/>
          <w:sz w:val="16"/>
          <w:szCs w:val="16"/>
        </w:rPr>
      </w:pPr>
      <w:bookmarkStart w:id="1" w:name="_Hlk518038707"/>
    </w:p>
    <w:p w14:paraId="0237E618" w14:textId="79DC2F33" w:rsidR="003C588C" w:rsidRPr="00237B91" w:rsidRDefault="002C038C" w:rsidP="003C588C">
      <w:pPr>
        <w:pStyle w:val="ListParagraph"/>
        <w:numPr>
          <w:ilvl w:val="0"/>
          <w:numId w:val="12"/>
        </w:numPr>
        <w:spacing w:after="0" w:line="288" w:lineRule="auto"/>
        <w:jc w:val="both"/>
        <w:rPr>
          <w:rFonts w:ascii="Times New Roman" w:hAnsi="Times New Roman" w:cs="Times New Roman"/>
        </w:rPr>
      </w:pPr>
      <w:r w:rsidRPr="00237B91">
        <w:rPr>
          <w:rFonts w:ascii="Times New Roman" w:hAnsi="Times New Roman" w:cs="Times New Roman"/>
        </w:rPr>
        <w:t xml:space="preserve">Frequências </w:t>
      </w:r>
      <w:r w:rsidR="00A022F9" w:rsidRPr="00237B91">
        <w:rPr>
          <w:rFonts w:ascii="Times New Roman" w:hAnsi="Times New Roman" w:cs="Times New Roman"/>
        </w:rPr>
        <w:t xml:space="preserve">de falhas dos sistemas: Calculadas </w:t>
      </w:r>
      <w:r w:rsidR="00344EC1" w:rsidRPr="00237B91">
        <w:rPr>
          <w:rFonts w:ascii="Times New Roman" w:hAnsi="Times New Roman" w:cs="Times New Roman"/>
        </w:rPr>
        <w:t xml:space="preserve">através do </w:t>
      </w:r>
      <w:r w:rsidR="003C588C" w:rsidRPr="00237B91">
        <w:rPr>
          <w:rFonts w:ascii="Times New Roman" w:hAnsi="Times New Roman" w:cs="Times New Roman"/>
        </w:rPr>
        <w:t>somatório da</w:t>
      </w:r>
      <w:r w:rsidR="00A022F9" w:rsidRPr="00237B91">
        <w:rPr>
          <w:rFonts w:ascii="Times New Roman" w:hAnsi="Times New Roman" w:cs="Times New Roman"/>
        </w:rPr>
        <w:t>s</w:t>
      </w:r>
      <w:r w:rsidR="003C588C" w:rsidRPr="00237B91">
        <w:rPr>
          <w:rFonts w:ascii="Times New Roman" w:hAnsi="Times New Roman" w:cs="Times New Roman"/>
        </w:rPr>
        <w:t xml:space="preserve"> </w:t>
      </w:r>
      <w:r w:rsidRPr="00237B91">
        <w:rPr>
          <w:rFonts w:ascii="Times New Roman" w:hAnsi="Times New Roman" w:cs="Times New Roman"/>
        </w:rPr>
        <w:t xml:space="preserve">frequências </w:t>
      </w:r>
      <w:r w:rsidR="003C588C" w:rsidRPr="00237B91">
        <w:rPr>
          <w:rFonts w:ascii="Times New Roman" w:hAnsi="Times New Roman" w:cs="Times New Roman"/>
        </w:rPr>
        <w:t>de falha</w:t>
      </w:r>
      <w:r w:rsidRPr="00237B91">
        <w:rPr>
          <w:rFonts w:ascii="Times New Roman" w:hAnsi="Times New Roman" w:cs="Times New Roman"/>
        </w:rPr>
        <w:t>s</w:t>
      </w:r>
      <w:r w:rsidR="003C588C" w:rsidRPr="00237B91">
        <w:rPr>
          <w:rFonts w:ascii="Times New Roman" w:hAnsi="Times New Roman" w:cs="Times New Roman"/>
        </w:rPr>
        <w:t xml:space="preserve"> de todos os equipamentos</w:t>
      </w:r>
      <w:r w:rsidRPr="00237B91">
        <w:rPr>
          <w:rFonts w:ascii="Times New Roman" w:hAnsi="Times New Roman" w:cs="Times New Roman"/>
        </w:rPr>
        <w:t xml:space="preserve"> pertencentes ao sistema em questão</w:t>
      </w:r>
      <w:r w:rsidR="00A022F9" w:rsidRPr="00237B91">
        <w:rPr>
          <w:rFonts w:ascii="Times New Roman" w:hAnsi="Times New Roman" w:cs="Times New Roman"/>
        </w:rPr>
        <w:t>, independentemente se funcionam em série ou se são redundantes</w:t>
      </w:r>
      <w:r w:rsidR="003C588C" w:rsidRPr="00237B91">
        <w:rPr>
          <w:rFonts w:ascii="Times New Roman" w:hAnsi="Times New Roman" w:cs="Times New Roman"/>
        </w:rPr>
        <w:t>. Sendo assim, quanto maior o volume de informações e de equipamentos empregados, ainda que seja para melhorar e tornar o processo mais seguro, maior será o resultado final do somatório das taxas de falha;</w:t>
      </w:r>
    </w:p>
    <w:p w14:paraId="0F0BA78C" w14:textId="77777777" w:rsidR="00F55006" w:rsidRPr="00292D09" w:rsidRDefault="00F55006" w:rsidP="00F55006">
      <w:pPr>
        <w:pStyle w:val="ListParagraph"/>
        <w:spacing w:after="0" w:line="288" w:lineRule="auto"/>
        <w:jc w:val="both"/>
        <w:rPr>
          <w:rFonts w:ascii="Times New Roman" w:hAnsi="Times New Roman" w:cs="Times New Roman"/>
          <w:sz w:val="10"/>
          <w:szCs w:val="10"/>
        </w:rPr>
      </w:pPr>
    </w:p>
    <w:p w14:paraId="750583D9" w14:textId="76988B59" w:rsidR="003C588C" w:rsidRPr="00237B91" w:rsidRDefault="003C588C" w:rsidP="00F55006">
      <w:pPr>
        <w:pStyle w:val="ListParagraph"/>
        <w:numPr>
          <w:ilvl w:val="0"/>
          <w:numId w:val="12"/>
        </w:numPr>
        <w:spacing w:after="0" w:line="288" w:lineRule="auto"/>
        <w:ind w:left="714" w:hanging="357"/>
        <w:jc w:val="both"/>
        <w:rPr>
          <w:rFonts w:ascii="Times New Roman" w:hAnsi="Times New Roman" w:cs="Times New Roman"/>
        </w:rPr>
      </w:pPr>
      <w:r w:rsidRPr="00237B91">
        <w:rPr>
          <w:rFonts w:ascii="Times New Roman" w:hAnsi="Times New Roman" w:cs="Times New Roman"/>
        </w:rPr>
        <w:t>Frequências</w:t>
      </w:r>
      <w:r w:rsidR="002C038C" w:rsidRPr="00237B91">
        <w:rPr>
          <w:rFonts w:ascii="Times New Roman" w:hAnsi="Times New Roman" w:cs="Times New Roman"/>
        </w:rPr>
        <w:t xml:space="preserve"> de ocorrência dos cenários acidentais</w:t>
      </w:r>
      <w:r w:rsidR="00853C0F" w:rsidRPr="00237B91">
        <w:rPr>
          <w:rFonts w:ascii="Times New Roman" w:hAnsi="Times New Roman" w:cs="Times New Roman"/>
        </w:rPr>
        <w:t xml:space="preserve"> por faixa de volume</w:t>
      </w:r>
      <w:r w:rsidRPr="00237B91">
        <w:rPr>
          <w:rFonts w:ascii="Times New Roman" w:hAnsi="Times New Roman" w:cs="Times New Roman"/>
        </w:rPr>
        <w:t xml:space="preserve">: </w:t>
      </w:r>
      <w:r w:rsidR="008650AD" w:rsidRPr="00237B91">
        <w:rPr>
          <w:rFonts w:ascii="Times New Roman" w:hAnsi="Times New Roman" w:cs="Times New Roman"/>
        </w:rPr>
        <w:t>Para o cálculo d</w:t>
      </w:r>
      <w:r w:rsidR="007C0196" w:rsidRPr="00237B91">
        <w:rPr>
          <w:rFonts w:ascii="Times New Roman" w:hAnsi="Times New Roman" w:cs="Times New Roman"/>
        </w:rPr>
        <w:t xml:space="preserve">os riscos </w:t>
      </w:r>
      <w:r w:rsidR="008650AD" w:rsidRPr="00237B91">
        <w:rPr>
          <w:rFonts w:ascii="Times New Roman" w:hAnsi="Times New Roman" w:cs="Times New Roman"/>
        </w:rPr>
        <w:t>a</w:t>
      </w:r>
      <w:r w:rsidR="007C0196" w:rsidRPr="00237B91">
        <w:rPr>
          <w:rFonts w:ascii="Times New Roman" w:hAnsi="Times New Roman" w:cs="Times New Roman"/>
        </w:rPr>
        <w:t>ssociados</w:t>
      </w:r>
      <w:r w:rsidR="008650AD" w:rsidRPr="00237B91">
        <w:rPr>
          <w:rFonts w:ascii="Times New Roman" w:hAnsi="Times New Roman" w:cs="Times New Roman"/>
        </w:rPr>
        <w:t xml:space="preserve"> </w:t>
      </w:r>
      <w:r w:rsidR="007C0196" w:rsidRPr="00237B91">
        <w:rPr>
          <w:rFonts w:ascii="Times New Roman" w:hAnsi="Times New Roman" w:cs="Times New Roman"/>
        </w:rPr>
        <w:t>aos</w:t>
      </w:r>
      <w:r w:rsidR="008650AD" w:rsidRPr="00237B91">
        <w:rPr>
          <w:rFonts w:ascii="Times New Roman" w:hAnsi="Times New Roman" w:cs="Times New Roman"/>
        </w:rPr>
        <w:t xml:space="preserve"> cenários acidentais de pior caso (volume de </w:t>
      </w:r>
      <w:proofErr w:type="spellStart"/>
      <w:r w:rsidR="008650AD" w:rsidRPr="00237B91">
        <w:rPr>
          <w:rFonts w:ascii="Times New Roman" w:hAnsi="Times New Roman" w:cs="Times New Roman"/>
          <w:i/>
        </w:rPr>
        <w:t>blowout</w:t>
      </w:r>
      <w:proofErr w:type="spellEnd"/>
      <w:r w:rsidR="008650AD" w:rsidRPr="00237B91">
        <w:rPr>
          <w:rFonts w:ascii="Times New Roman" w:hAnsi="Times New Roman" w:cs="Times New Roman"/>
        </w:rPr>
        <w:t>, equivalente a 46.742 m</w:t>
      </w:r>
      <w:r w:rsidR="008650AD" w:rsidRPr="00237B91">
        <w:rPr>
          <w:rFonts w:ascii="Times New Roman" w:hAnsi="Times New Roman" w:cs="Times New Roman"/>
          <w:vertAlign w:val="superscript"/>
        </w:rPr>
        <w:t>3</w:t>
      </w:r>
      <w:r w:rsidR="008650AD" w:rsidRPr="00237B91">
        <w:rPr>
          <w:rFonts w:ascii="Times New Roman" w:hAnsi="Times New Roman" w:cs="Times New Roman"/>
        </w:rPr>
        <w:t xml:space="preserve">), considerou-se não apenas a probabilidade de ocorrência do evento de </w:t>
      </w:r>
      <w:proofErr w:type="spellStart"/>
      <w:r w:rsidR="008650AD" w:rsidRPr="00237B91">
        <w:rPr>
          <w:rFonts w:ascii="Times New Roman" w:hAnsi="Times New Roman" w:cs="Times New Roman"/>
          <w:i/>
        </w:rPr>
        <w:t>blowout</w:t>
      </w:r>
      <w:proofErr w:type="spellEnd"/>
      <w:r w:rsidR="008650AD" w:rsidRPr="00237B91">
        <w:rPr>
          <w:rFonts w:ascii="Times New Roman" w:hAnsi="Times New Roman" w:cs="Times New Roman"/>
        </w:rPr>
        <w:t xml:space="preserve">, mas </w:t>
      </w:r>
      <w:r w:rsidR="007D0BC4" w:rsidRPr="00237B91">
        <w:rPr>
          <w:rFonts w:ascii="Times New Roman" w:hAnsi="Times New Roman" w:cs="Times New Roman"/>
        </w:rPr>
        <w:t>o somatório</w:t>
      </w:r>
      <w:r w:rsidR="00646A5A" w:rsidRPr="00237B91">
        <w:rPr>
          <w:rFonts w:ascii="Times New Roman" w:hAnsi="Times New Roman" w:cs="Times New Roman"/>
        </w:rPr>
        <w:t xml:space="preserve"> desta</w:t>
      </w:r>
      <w:r w:rsidR="00EB5C42" w:rsidRPr="00237B91">
        <w:rPr>
          <w:rFonts w:ascii="Times New Roman" w:hAnsi="Times New Roman" w:cs="Times New Roman"/>
        </w:rPr>
        <w:t xml:space="preserve"> às </w:t>
      </w:r>
      <w:r w:rsidRPr="00237B91">
        <w:rPr>
          <w:rFonts w:ascii="Times New Roman" w:hAnsi="Times New Roman" w:cs="Times New Roman"/>
        </w:rPr>
        <w:t>frequências de o</w:t>
      </w:r>
      <w:r w:rsidR="00EB5C42" w:rsidRPr="00237B91">
        <w:rPr>
          <w:rFonts w:ascii="Times New Roman" w:hAnsi="Times New Roman" w:cs="Times New Roman"/>
        </w:rPr>
        <w:t>utros cinco</w:t>
      </w:r>
      <w:r w:rsidRPr="00237B91">
        <w:rPr>
          <w:rFonts w:ascii="Times New Roman" w:hAnsi="Times New Roman" w:cs="Times New Roman"/>
        </w:rPr>
        <w:t xml:space="preserve"> </w:t>
      </w:r>
      <w:r w:rsidR="00EB5C42" w:rsidRPr="00237B91">
        <w:rPr>
          <w:rFonts w:ascii="Times New Roman" w:hAnsi="Times New Roman" w:cs="Times New Roman"/>
        </w:rPr>
        <w:t xml:space="preserve">cenários com </w:t>
      </w:r>
      <w:r w:rsidRPr="00237B91">
        <w:rPr>
          <w:rFonts w:ascii="Times New Roman" w:hAnsi="Times New Roman" w:cs="Times New Roman"/>
        </w:rPr>
        <w:t>volumes de vazamentos maiores do que 200 m³</w:t>
      </w:r>
      <w:r w:rsidR="00EB5C42" w:rsidRPr="00237B91">
        <w:rPr>
          <w:rFonts w:ascii="Times New Roman" w:hAnsi="Times New Roman" w:cs="Times New Roman"/>
        </w:rPr>
        <w:t>, porém bastante inferiores a 46.742m</w:t>
      </w:r>
      <w:r w:rsidR="00EB5C42" w:rsidRPr="00237B91">
        <w:rPr>
          <w:rFonts w:ascii="Times New Roman" w:hAnsi="Times New Roman" w:cs="Times New Roman"/>
          <w:vertAlign w:val="superscript"/>
        </w:rPr>
        <w:t>3</w:t>
      </w:r>
      <w:r w:rsidR="00D54EF3" w:rsidRPr="00237B91">
        <w:rPr>
          <w:rFonts w:ascii="Times New Roman" w:hAnsi="Times New Roman" w:cs="Times New Roman"/>
        </w:rPr>
        <w:t>.</w:t>
      </w:r>
    </w:p>
    <w:p w14:paraId="4D761EF8" w14:textId="7CFAA7E4" w:rsidR="007023CB" w:rsidRPr="00292D09" w:rsidRDefault="007023CB" w:rsidP="007023CB">
      <w:pPr>
        <w:pStyle w:val="ListParagraph"/>
        <w:rPr>
          <w:rFonts w:ascii="Times New Roman" w:hAnsi="Times New Roman" w:cs="Times New Roman"/>
          <w:sz w:val="10"/>
          <w:szCs w:val="10"/>
        </w:rPr>
      </w:pPr>
    </w:p>
    <w:p w14:paraId="4F7BDC49" w14:textId="5A9146C0" w:rsidR="003C588C" w:rsidRPr="00237B91" w:rsidRDefault="00081E87" w:rsidP="00292D09">
      <w:pPr>
        <w:pStyle w:val="ListParagraph"/>
        <w:numPr>
          <w:ilvl w:val="0"/>
          <w:numId w:val="12"/>
        </w:numPr>
        <w:spacing w:after="0" w:line="288" w:lineRule="auto"/>
        <w:ind w:left="714" w:hanging="357"/>
        <w:jc w:val="both"/>
        <w:rPr>
          <w:rFonts w:ascii="Times New Roman" w:hAnsi="Times New Roman" w:cs="Times New Roman"/>
        </w:rPr>
      </w:pPr>
      <w:r w:rsidRPr="00237B91">
        <w:rPr>
          <w:rFonts w:ascii="Times New Roman" w:hAnsi="Times New Roman" w:cs="Times New Roman"/>
        </w:rPr>
        <w:t xml:space="preserve">Probabilidade de ocorrência de um evento de </w:t>
      </w:r>
      <w:proofErr w:type="spellStart"/>
      <w:r w:rsidRPr="00237B91">
        <w:rPr>
          <w:rFonts w:ascii="Times New Roman" w:hAnsi="Times New Roman" w:cs="Times New Roman"/>
          <w:i/>
          <w:iCs/>
        </w:rPr>
        <w:t>blowout</w:t>
      </w:r>
      <w:proofErr w:type="spellEnd"/>
      <w:r w:rsidRPr="00237B91">
        <w:rPr>
          <w:rFonts w:ascii="Times New Roman" w:hAnsi="Times New Roman" w:cs="Times New Roman"/>
        </w:rPr>
        <w:t xml:space="preserve">:  Corresponde a </w:t>
      </w:r>
      <w:r w:rsidRPr="00237B91">
        <w:rPr>
          <w:rFonts w:ascii="Times New Roman" w:hAnsi="Times New Roman" w:cs="Times New Roman"/>
          <w:b/>
        </w:rPr>
        <w:t>1,31 x 10</w:t>
      </w:r>
      <w:r w:rsidRPr="00237B91">
        <w:rPr>
          <w:rFonts w:ascii="Times New Roman" w:hAnsi="Times New Roman" w:cs="Times New Roman"/>
          <w:b/>
          <w:vertAlign w:val="superscript"/>
        </w:rPr>
        <w:t>-4</w:t>
      </w:r>
      <w:r w:rsidRPr="00237B91">
        <w:rPr>
          <w:rFonts w:ascii="Times New Roman" w:hAnsi="Times New Roman" w:cs="Times New Roman"/>
        </w:rPr>
        <w:t xml:space="preserve">, segundo SINTEF (2015). Contudo, para fins de cálculo da frequência de </w:t>
      </w:r>
      <w:proofErr w:type="spellStart"/>
      <w:r w:rsidRPr="00237B91">
        <w:rPr>
          <w:rFonts w:ascii="Times New Roman" w:hAnsi="Times New Roman" w:cs="Times New Roman"/>
          <w:i/>
          <w:iCs/>
        </w:rPr>
        <w:t>blowout</w:t>
      </w:r>
      <w:proofErr w:type="spellEnd"/>
      <w:r w:rsidRPr="00237B91">
        <w:rPr>
          <w:rFonts w:ascii="Times New Roman" w:hAnsi="Times New Roman" w:cs="Times New Roman"/>
        </w:rPr>
        <w:t xml:space="preserve"> na ARA, utilizou-se o banco de dados históricos </w:t>
      </w:r>
      <w:r w:rsidRPr="00237B91">
        <w:rPr>
          <w:rFonts w:ascii="Times New Roman" w:hAnsi="Times New Roman" w:cs="Times New Roman"/>
          <w:i/>
          <w:iCs/>
        </w:rPr>
        <w:t xml:space="preserve">SINTEF Offshore </w:t>
      </w:r>
      <w:proofErr w:type="spellStart"/>
      <w:r w:rsidRPr="00237B91">
        <w:rPr>
          <w:rFonts w:ascii="Times New Roman" w:hAnsi="Times New Roman" w:cs="Times New Roman"/>
          <w:i/>
          <w:iCs/>
        </w:rPr>
        <w:t>Blowout</w:t>
      </w:r>
      <w:proofErr w:type="spellEnd"/>
      <w:r w:rsidRPr="00237B91">
        <w:rPr>
          <w:rFonts w:ascii="Times New Roman" w:hAnsi="Times New Roman" w:cs="Times New Roman"/>
          <w:i/>
          <w:iCs/>
        </w:rPr>
        <w:t xml:space="preserve"> </w:t>
      </w:r>
      <w:proofErr w:type="spellStart"/>
      <w:r w:rsidRPr="00237B91">
        <w:rPr>
          <w:rFonts w:ascii="Times New Roman" w:hAnsi="Times New Roman" w:cs="Times New Roman"/>
          <w:i/>
          <w:iCs/>
        </w:rPr>
        <w:t>Database</w:t>
      </w:r>
      <w:proofErr w:type="spellEnd"/>
      <w:r w:rsidRPr="00237B91">
        <w:rPr>
          <w:rStyle w:val="FootnoteReference"/>
          <w:rFonts w:ascii="Times New Roman" w:hAnsi="Times New Roman" w:cs="Times New Roman"/>
          <w:b/>
          <w:bCs/>
          <w:i/>
          <w:iCs/>
        </w:rPr>
        <w:footnoteReference w:customMarkFollows="1" w:id="2"/>
        <w:t>[1]</w:t>
      </w:r>
      <w:r w:rsidRPr="00237B91">
        <w:rPr>
          <w:rFonts w:ascii="Times New Roman" w:hAnsi="Times New Roman" w:cs="Times New Roman"/>
        </w:rPr>
        <w:t xml:space="preserve">, publicado em junho de 2006, com dados mais conservadores. Segundo o SINTEF (2006), para perfurações em poços exploratórios profundos (poços normais) a frequência é de </w:t>
      </w:r>
      <w:r w:rsidRPr="00237B91">
        <w:rPr>
          <w:rFonts w:ascii="Times New Roman" w:hAnsi="Times New Roman" w:cs="Times New Roman"/>
          <w:b/>
        </w:rPr>
        <w:t>3,1 x 10</w:t>
      </w:r>
      <w:r w:rsidRPr="00237B91">
        <w:rPr>
          <w:rFonts w:ascii="Times New Roman" w:hAnsi="Times New Roman" w:cs="Times New Roman"/>
          <w:b/>
          <w:vertAlign w:val="superscript"/>
        </w:rPr>
        <w:t>-4</w:t>
      </w:r>
      <w:r w:rsidRPr="00237B91">
        <w:rPr>
          <w:rFonts w:ascii="Times New Roman" w:hAnsi="Times New Roman" w:cs="Times New Roman"/>
        </w:rPr>
        <w:t xml:space="preserve"> por poço perfurado. De acordo com a base de dados do SINTEF (2015), a frequência de </w:t>
      </w:r>
      <w:proofErr w:type="spellStart"/>
      <w:r w:rsidRPr="00237B91">
        <w:rPr>
          <w:rFonts w:ascii="Times New Roman" w:hAnsi="Times New Roman" w:cs="Times New Roman"/>
          <w:i/>
        </w:rPr>
        <w:t>blowouts</w:t>
      </w:r>
      <w:proofErr w:type="spellEnd"/>
      <w:r w:rsidRPr="00237B91">
        <w:rPr>
          <w:rFonts w:ascii="Times New Roman" w:hAnsi="Times New Roman" w:cs="Times New Roman"/>
        </w:rPr>
        <w:t xml:space="preserve"> em poços similares aos que se pretende perfurar na Bacia da Foz do Amazonas é cerca de 1 </w:t>
      </w:r>
      <w:proofErr w:type="spellStart"/>
      <w:r w:rsidRPr="00237B91">
        <w:rPr>
          <w:rFonts w:ascii="Times New Roman" w:hAnsi="Times New Roman" w:cs="Times New Roman"/>
          <w:i/>
        </w:rPr>
        <w:t>blowout</w:t>
      </w:r>
      <w:proofErr w:type="spellEnd"/>
      <w:r w:rsidRPr="00237B91">
        <w:rPr>
          <w:rFonts w:ascii="Times New Roman" w:hAnsi="Times New Roman" w:cs="Times New Roman"/>
        </w:rPr>
        <w:t xml:space="preserve"> para cada 7.633 poços, enquanto para SINTEF (2006) é de 1 </w:t>
      </w:r>
      <w:proofErr w:type="spellStart"/>
      <w:r w:rsidRPr="00237B91">
        <w:rPr>
          <w:rFonts w:ascii="Times New Roman" w:hAnsi="Times New Roman" w:cs="Times New Roman"/>
          <w:i/>
        </w:rPr>
        <w:t>blowout</w:t>
      </w:r>
      <w:proofErr w:type="spellEnd"/>
      <w:r w:rsidRPr="00237B91">
        <w:rPr>
          <w:rFonts w:ascii="Times New Roman" w:hAnsi="Times New Roman" w:cs="Times New Roman"/>
        </w:rPr>
        <w:t xml:space="preserve"> para cada 3.225 poços perfurados</w:t>
      </w:r>
      <w:r w:rsidR="003C588C" w:rsidRPr="00237B91">
        <w:rPr>
          <w:rFonts w:ascii="Times New Roman" w:hAnsi="Times New Roman" w:cs="Times New Roman"/>
        </w:rPr>
        <w:t>.</w:t>
      </w:r>
    </w:p>
    <w:bookmarkEnd w:id="1"/>
    <w:p w14:paraId="5FE195D8" w14:textId="77777777" w:rsidR="003C588C" w:rsidRPr="00237B91" w:rsidRDefault="003C588C" w:rsidP="00292D09">
      <w:pPr>
        <w:pStyle w:val="BodyText"/>
        <w:numPr>
          <w:ilvl w:val="0"/>
          <w:numId w:val="12"/>
        </w:numPr>
        <w:spacing w:before="120" w:after="0" w:line="288" w:lineRule="auto"/>
        <w:ind w:left="709" w:hanging="357"/>
        <w:jc w:val="both"/>
        <w:rPr>
          <w:rFonts w:ascii="Times New Roman" w:hAnsi="Times New Roman" w:cs="Times New Roman"/>
          <w:iCs/>
          <w:sz w:val="22"/>
          <w:szCs w:val="22"/>
        </w:rPr>
      </w:pPr>
      <w:r w:rsidRPr="00237B91">
        <w:rPr>
          <w:rFonts w:ascii="Times New Roman" w:hAnsi="Times New Roman" w:cs="Times New Roman"/>
          <w:iCs/>
          <w:sz w:val="22"/>
          <w:szCs w:val="22"/>
        </w:rPr>
        <w:t>Capacidade de contenção do sistema de drenagem: Foi considerado que, caso a capacidade de contenção do sistema de drenagem fosse inferior ao volume de óleo liberado em cada sistema analisado, o sistema seria considerado como sendo 100% não contido, ou seja, que todo o volume de óleo liberado atingiria o mar, resultando, portanto, em contaminação ambiental. Esta premissa também foi aplicada ao caso de furo e ruptura do casco duplo do navio-sonda ENSCO DS-9. Desta forma, considerou-se que os danos no sistema de contenção ocorreriam sempre na sua parte inferior, não sendo possível a contenção de qualquer percentual do volume derramado.</w:t>
      </w:r>
    </w:p>
    <w:p w14:paraId="0B345901" w14:textId="4B1D6BDB" w:rsidR="00250A9A" w:rsidRPr="00237B91" w:rsidRDefault="00250A9A" w:rsidP="00F55006">
      <w:pPr>
        <w:pStyle w:val="BodyText"/>
        <w:numPr>
          <w:ilvl w:val="0"/>
          <w:numId w:val="12"/>
        </w:numPr>
        <w:spacing w:before="180" w:after="0" w:line="288" w:lineRule="auto"/>
        <w:ind w:hanging="357"/>
        <w:jc w:val="both"/>
        <w:rPr>
          <w:rFonts w:ascii="Times New Roman" w:hAnsi="Times New Roman" w:cs="Times New Roman"/>
          <w:iCs/>
          <w:sz w:val="22"/>
          <w:szCs w:val="22"/>
        </w:rPr>
      </w:pPr>
      <w:r w:rsidRPr="00237B91">
        <w:rPr>
          <w:rFonts w:ascii="Times New Roman" w:hAnsi="Times New Roman" w:cs="Times New Roman"/>
          <w:iCs/>
          <w:sz w:val="22"/>
          <w:szCs w:val="22"/>
        </w:rPr>
        <w:lastRenderedPageBreak/>
        <w:t xml:space="preserve">Casco duplo: Como mencionado, a UMP dispõe de um casco duplo, o qual funciona como um sistema de contenção secundária para vazamentos ocorridos na área de armazenamento e sistemas de circulação de fluidos de perfuração, óleo diesel/combustível, óleo lubrificante, efluente oleoso. Vazamentos ocorridos nessas áreas ficam contidos no casco duplo, não atingindo o mar. Sendo assim, apenas há contaminação ambiental, ou seja, o óleo vazado atinge o mar, no caso de áreas não cobertas pela proteção do casco duplo. </w:t>
      </w:r>
      <w:r w:rsidR="00A53211" w:rsidRPr="00237B91">
        <w:rPr>
          <w:rFonts w:ascii="Times New Roman" w:hAnsi="Times New Roman" w:cs="Times New Roman"/>
          <w:iCs/>
          <w:sz w:val="22"/>
          <w:szCs w:val="22"/>
        </w:rPr>
        <w:t>O</w:t>
      </w:r>
      <w:r w:rsidRPr="00237B91">
        <w:rPr>
          <w:rFonts w:ascii="Times New Roman" w:hAnsi="Times New Roman" w:cs="Times New Roman"/>
          <w:iCs/>
          <w:sz w:val="22"/>
          <w:szCs w:val="22"/>
        </w:rPr>
        <w:t xml:space="preserve"> </w:t>
      </w:r>
      <w:r w:rsidRPr="00237B91">
        <w:rPr>
          <w:rFonts w:ascii="Times New Roman" w:hAnsi="Times New Roman" w:cs="Times New Roman"/>
          <w:bCs/>
          <w:sz w:val="22"/>
          <w:szCs w:val="22"/>
        </w:rPr>
        <w:t>“</w:t>
      </w:r>
      <w:proofErr w:type="spellStart"/>
      <w:r w:rsidRPr="00237B91">
        <w:rPr>
          <w:rFonts w:ascii="Times New Roman" w:hAnsi="Times New Roman" w:cs="Times New Roman"/>
          <w:bCs/>
          <w:sz w:val="22"/>
          <w:szCs w:val="22"/>
        </w:rPr>
        <w:t>Reference</w:t>
      </w:r>
      <w:proofErr w:type="spellEnd"/>
      <w:r w:rsidRPr="00237B91">
        <w:rPr>
          <w:rFonts w:ascii="Times New Roman" w:hAnsi="Times New Roman" w:cs="Times New Roman"/>
          <w:bCs/>
          <w:sz w:val="22"/>
          <w:szCs w:val="22"/>
        </w:rPr>
        <w:t xml:space="preserve"> Manual </w:t>
      </w:r>
      <w:proofErr w:type="spellStart"/>
      <w:r w:rsidRPr="00237B91">
        <w:rPr>
          <w:rFonts w:ascii="Times New Roman" w:hAnsi="Times New Roman" w:cs="Times New Roman"/>
          <w:bCs/>
          <w:sz w:val="22"/>
          <w:szCs w:val="22"/>
        </w:rPr>
        <w:t>Bevi</w:t>
      </w:r>
      <w:proofErr w:type="spellEnd"/>
      <w:r w:rsidRPr="00237B91">
        <w:rPr>
          <w:rFonts w:ascii="Times New Roman" w:hAnsi="Times New Roman" w:cs="Times New Roman"/>
          <w:bCs/>
          <w:sz w:val="22"/>
          <w:szCs w:val="22"/>
        </w:rPr>
        <w:t xml:space="preserve"> Risk Assessment” (2009) publicado pelo </w:t>
      </w:r>
      <w:proofErr w:type="spellStart"/>
      <w:r w:rsidRPr="00237B91">
        <w:rPr>
          <w:rFonts w:ascii="Times New Roman" w:hAnsi="Times New Roman" w:cs="Times New Roman"/>
          <w:bCs/>
          <w:sz w:val="22"/>
          <w:szCs w:val="22"/>
        </w:rPr>
        <w:t>Rijksinstituut</w:t>
      </w:r>
      <w:proofErr w:type="spellEnd"/>
      <w:r w:rsidRPr="00237B91">
        <w:rPr>
          <w:rFonts w:ascii="Times New Roman" w:hAnsi="Times New Roman" w:cs="Times New Roman"/>
          <w:bCs/>
          <w:sz w:val="22"/>
          <w:szCs w:val="22"/>
        </w:rPr>
        <w:t xml:space="preserve"> </w:t>
      </w:r>
      <w:proofErr w:type="spellStart"/>
      <w:r w:rsidRPr="00237B91">
        <w:rPr>
          <w:rFonts w:ascii="Times New Roman" w:hAnsi="Times New Roman" w:cs="Times New Roman"/>
          <w:bCs/>
          <w:sz w:val="22"/>
          <w:szCs w:val="22"/>
        </w:rPr>
        <w:t>voor</w:t>
      </w:r>
      <w:proofErr w:type="spellEnd"/>
      <w:r w:rsidRPr="00237B91">
        <w:rPr>
          <w:rFonts w:ascii="Times New Roman" w:hAnsi="Times New Roman" w:cs="Times New Roman"/>
          <w:bCs/>
          <w:sz w:val="22"/>
          <w:szCs w:val="22"/>
        </w:rPr>
        <w:t xml:space="preserve"> </w:t>
      </w:r>
      <w:proofErr w:type="spellStart"/>
      <w:r w:rsidRPr="00237B91">
        <w:rPr>
          <w:rFonts w:ascii="Times New Roman" w:hAnsi="Times New Roman" w:cs="Times New Roman"/>
          <w:bCs/>
          <w:sz w:val="22"/>
          <w:szCs w:val="22"/>
        </w:rPr>
        <w:t>Volksgezondheid</w:t>
      </w:r>
      <w:proofErr w:type="spellEnd"/>
      <w:r w:rsidRPr="00237B91">
        <w:rPr>
          <w:rFonts w:ascii="Times New Roman" w:hAnsi="Times New Roman" w:cs="Times New Roman"/>
          <w:bCs/>
          <w:sz w:val="22"/>
          <w:szCs w:val="22"/>
        </w:rPr>
        <w:t xml:space="preserve"> </w:t>
      </w:r>
      <w:proofErr w:type="spellStart"/>
      <w:r w:rsidRPr="00237B91">
        <w:rPr>
          <w:rFonts w:ascii="Times New Roman" w:hAnsi="Times New Roman" w:cs="Times New Roman"/>
          <w:bCs/>
          <w:sz w:val="22"/>
          <w:szCs w:val="22"/>
        </w:rPr>
        <w:t>en</w:t>
      </w:r>
      <w:proofErr w:type="spellEnd"/>
      <w:r w:rsidRPr="00237B91">
        <w:rPr>
          <w:rFonts w:ascii="Times New Roman" w:hAnsi="Times New Roman" w:cs="Times New Roman"/>
          <w:bCs/>
          <w:sz w:val="22"/>
          <w:szCs w:val="22"/>
        </w:rPr>
        <w:t xml:space="preserve"> </w:t>
      </w:r>
      <w:proofErr w:type="spellStart"/>
      <w:r w:rsidRPr="00237B91">
        <w:rPr>
          <w:rFonts w:ascii="Times New Roman" w:hAnsi="Times New Roman" w:cs="Times New Roman"/>
          <w:bCs/>
          <w:sz w:val="22"/>
          <w:szCs w:val="22"/>
        </w:rPr>
        <w:t>Milieu</w:t>
      </w:r>
      <w:proofErr w:type="spellEnd"/>
      <w:r w:rsidRPr="00237B91">
        <w:rPr>
          <w:rFonts w:ascii="Times New Roman" w:hAnsi="Times New Roman" w:cs="Times New Roman"/>
          <w:bCs/>
          <w:sz w:val="22"/>
          <w:szCs w:val="22"/>
        </w:rPr>
        <w:t xml:space="preserve"> (RIVM), que é uma instituição reconhecida internacionalmente como referência para estudos de análises de riscos indica que </w:t>
      </w:r>
      <w:r w:rsidRPr="00237B91">
        <w:rPr>
          <w:rFonts w:ascii="Times New Roman" w:hAnsi="Times New Roman" w:cs="Times New Roman"/>
          <w:iCs/>
          <w:sz w:val="22"/>
          <w:szCs w:val="22"/>
        </w:rPr>
        <w:t xml:space="preserve">98,5% dos vazamentos passíveis de ocorrer nas áreas mencionadas são contidos no casco duplo. </w:t>
      </w:r>
      <w:r w:rsidR="00A53211" w:rsidRPr="00237B91">
        <w:rPr>
          <w:rFonts w:ascii="Times New Roman" w:hAnsi="Times New Roman" w:cs="Times New Roman"/>
          <w:iCs/>
          <w:sz w:val="22"/>
          <w:szCs w:val="22"/>
        </w:rPr>
        <w:t>No entanto, o</w:t>
      </w:r>
      <w:r w:rsidRPr="00237B91">
        <w:rPr>
          <w:rFonts w:ascii="Times New Roman" w:hAnsi="Times New Roman" w:cs="Times New Roman"/>
          <w:iCs/>
          <w:sz w:val="22"/>
          <w:szCs w:val="22"/>
        </w:rPr>
        <w:t xml:space="preserve"> </w:t>
      </w:r>
      <w:r w:rsidRPr="00237B91">
        <w:rPr>
          <w:rFonts w:ascii="Times New Roman" w:hAnsi="Times New Roman" w:cs="Times New Roman"/>
          <w:sz w:val="22"/>
          <w:szCs w:val="22"/>
        </w:rPr>
        <w:t>P</w:t>
      </w:r>
      <w:r w:rsidR="00E2117A" w:rsidRPr="00237B91">
        <w:rPr>
          <w:rFonts w:ascii="Times New Roman" w:hAnsi="Times New Roman" w:cs="Times New Roman"/>
          <w:sz w:val="22"/>
          <w:szCs w:val="22"/>
        </w:rPr>
        <w:t>AR</w:t>
      </w:r>
      <w:r w:rsidRPr="00237B91">
        <w:rPr>
          <w:rFonts w:ascii="Times New Roman" w:hAnsi="Times New Roman" w:cs="Times New Roman"/>
          <w:sz w:val="22"/>
          <w:szCs w:val="22"/>
        </w:rPr>
        <w:t xml:space="preserve"> Nº 20/2017-COEXP/CGMAC/DILIC</w:t>
      </w:r>
      <w:r w:rsidR="00A53211" w:rsidRPr="00237B91">
        <w:rPr>
          <w:rFonts w:ascii="Times New Roman" w:hAnsi="Times New Roman" w:cs="Times New Roman"/>
          <w:sz w:val="22"/>
          <w:szCs w:val="22"/>
        </w:rPr>
        <w:t xml:space="preserve">, </w:t>
      </w:r>
      <w:r w:rsidR="006F7F6E" w:rsidRPr="00237B91">
        <w:rPr>
          <w:rFonts w:ascii="Times New Roman" w:hAnsi="Times New Roman" w:cs="Times New Roman"/>
          <w:sz w:val="22"/>
          <w:szCs w:val="22"/>
        </w:rPr>
        <w:t xml:space="preserve">referente ao processo 02022.00936/2016-83 - Cadastro de Unidades Marítimas de Perfuração (CADUMP) </w:t>
      </w:r>
      <w:r w:rsidR="00A53211" w:rsidRPr="00237B91">
        <w:rPr>
          <w:rFonts w:ascii="Times New Roman" w:hAnsi="Times New Roman" w:cs="Times New Roman"/>
          <w:sz w:val="22"/>
          <w:szCs w:val="22"/>
        </w:rPr>
        <w:t>da unidade</w:t>
      </w:r>
      <w:r w:rsidR="006F7F6E" w:rsidRPr="00237B91">
        <w:rPr>
          <w:rFonts w:ascii="Times New Roman" w:hAnsi="Times New Roman" w:cs="Times New Roman"/>
          <w:sz w:val="22"/>
          <w:szCs w:val="22"/>
        </w:rPr>
        <w:t xml:space="preserve">, </w:t>
      </w:r>
      <w:r w:rsidRPr="00237B91">
        <w:rPr>
          <w:rFonts w:ascii="Times New Roman" w:hAnsi="Times New Roman" w:cs="Times New Roman"/>
          <w:sz w:val="22"/>
          <w:szCs w:val="22"/>
        </w:rPr>
        <w:t xml:space="preserve">solicitou justificava para adoção </w:t>
      </w:r>
      <w:r w:rsidR="006F7F6E" w:rsidRPr="00237B91">
        <w:rPr>
          <w:rFonts w:ascii="Times New Roman" w:hAnsi="Times New Roman" w:cs="Times New Roman"/>
          <w:sz w:val="22"/>
          <w:szCs w:val="22"/>
        </w:rPr>
        <w:t>desta referência</w:t>
      </w:r>
      <w:r w:rsidRPr="00237B91">
        <w:rPr>
          <w:rFonts w:ascii="Times New Roman" w:hAnsi="Times New Roman" w:cs="Times New Roman"/>
          <w:bCs/>
          <w:sz w:val="22"/>
          <w:szCs w:val="22"/>
        </w:rPr>
        <w:t xml:space="preserve">, uma vez que </w:t>
      </w:r>
      <w:r w:rsidR="00A53211" w:rsidRPr="00237B91">
        <w:rPr>
          <w:rFonts w:ascii="Times New Roman" w:hAnsi="Times New Roman" w:cs="Times New Roman"/>
          <w:bCs/>
          <w:sz w:val="22"/>
          <w:szCs w:val="22"/>
        </w:rPr>
        <w:t>na</w:t>
      </w:r>
      <w:r w:rsidR="006F7F6E" w:rsidRPr="00237B91">
        <w:rPr>
          <w:rFonts w:ascii="Times New Roman" w:hAnsi="Times New Roman" w:cs="Times New Roman"/>
          <w:bCs/>
          <w:sz w:val="22"/>
          <w:szCs w:val="22"/>
        </w:rPr>
        <w:t>s</w:t>
      </w:r>
      <w:r w:rsidR="00A53211" w:rsidRPr="00237B91">
        <w:rPr>
          <w:rFonts w:ascii="Times New Roman" w:hAnsi="Times New Roman" w:cs="Times New Roman"/>
          <w:bCs/>
          <w:sz w:val="22"/>
          <w:szCs w:val="22"/>
        </w:rPr>
        <w:t xml:space="preserve"> primeiras versões</w:t>
      </w:r>
      <w:r w:rsidRPr="00237B91">
        <w:rPr>
          <w:rFonts w:ascii="Times New Roman" w:hAnsi="Times New Roman" w:cs="Times New Roman"/>
          <w:bCs/>
          <w:sz w:val="22"/>
          <w:szCs w:val="22"/>
        </w:rPr>
        <w:t xml:space="preserve"> </w:t>
      </w:r>
      <w:r w:rsidR="00A53211" w:rsidRPr="00237B91">
        <w:rPr>
          <w:rFonts w:ascii="Times New Roman" w:hAnsi="Times New Roman" w:cs="Times New Roman"/>
          <w:bCs/>
          <w:sz w:val="22"/>
          <w:szCs w:val="22"/>
        </w:rPr>
        <w:t xml:space="preserve">da ARA </w:t>
      </w:r>
      <w:r w:rsidRPr="00237B91">
        <w:rPr>
          <w:rFonts w:ascii="Times New Roman" w:hAnsi="Times New Roman" w:cs="Times New Roman"/>
          <w:bCs/>
          <w:sz w:val="22"/>
          <w:szCs w:val="22"/>
        </w:rPr>
        <w:t>(</w:t>
      </w:r>
      <w:r w:rsidR="00A53211" w:rsidRPr="00237B91">
        <w:rPr>
          <w:rFonts w:ascii="Times New Roman" w:hAnsi="Times New Roman" w:cs="Times New Roman"/>
          <w:bCs/>
          <w:sz w:val="22"/>
          <w:szCs w:val="22"/>
        </w:rPr>
        <w:t>para a</w:t>
      </w:r>
      <w:r w:rsidRPr="00237B91">
        <w:rPr>
          <w:rFonts w:ascii="Times New Roman" w:hAnsi="Times New Roman" w:cs="Times New Roman"/>
          <w:bCs/>
          <w:sz w:val="22"/>
          <w:szCs w:val="22"/>
        </w:rPr>
        <w:t xml:space="preserve"> UMP ENSCO DS-4) havia sido considerado um valor mais conservativo (95%). De forma a atender ao parecer técnico, a </w:t>
      </w:r>
      <w:r w:rsidR="00A53211" w:rsidRPr="00237B91">
        <w:rPr>
          <w:rFonts w:ascii="Times New Roman" w:hAnsi="Times New Roman" w:cs="Times New Roman"/>
          <w:bCs/>
          <w:sz w:val="22"/>
          <w:szCs w:val="22"/>
        </w:rPr>
        <w:t>ARA</w:t>
      </w:r>
      <w:r w:rsidRPr="00237B91">
        <w:rPr>
          <w:rFonts w:ascii="Times New Roman" w:hAnsi="Times New Roman" w:cs="Times New Roman"/>
          <w:bCs/>
          <w:sz w:val="22"/>
          <w:szCs w:val="22"/>
        </w:rPr>
        <w:t xml:space="preserve"> </w:t>
      </w:r>
      <w:r w:rsidR="008650AD" w:rsidRPr="00237B91">
        <w:rPr>
          <w:rFonts w:ascii="Times New Roman" w:hAnsi="Times New Roman" w:cs="Times New Roman"/>
          <w:bCs/>
          <w:sz w:val="22"/>
          <w:szCs w:val="22"/>
        </w:rPr>
        <w:t xml:space="preserve">passou a considerar </w:t>
      </w:r>
      <w:r w:rsidRPr="00237B91">
        <w:rPr>
          <w:rFonts w:ascii="Times New Roman" w:hAnsi="Times New Roman" w:cs="Times New Roman"/>
          <w:bCs/>
          <w:sz w:val="22"/>
          <w:szCs w:val="22"/>
        </w:rPr>
        <w:t>o percentual mais conservativo.</w:t>
      </w:r>
    </w:p>
    <w:p w14:paraId="724737D4" w14:textId="77777777" w:rsidR="00250A9A" w:rsidRPr="00237B91" w:rsidRDefault="00250A9A" w:rsidP="00F55006">
      <w:pPr>
        <w:pStyle w:val="BodyText"/>
        <w:numPr>
          <w:ilvl w:val="0"/>
          <w:numId w:val="12"/>
        </w:numPr>
        <w:spacing w:before="180" w:after="0" w:line="288" w:lineRule="auto"/>
        <w:ind w:hanging="357"/>
        <w:jc w:val="both"/>
        <w:rPr>
          <w:rFonts w:ascii="Times New Roman" w:hAnsi="Times New Roman" w:cs="Times New Roman"/>
          <w:iCs/>
          <w:sz w:val="22"/>
          <w:szCs w:val="22"/>
        </w:rPr>
      </w:pPr>
      <w:r w:rsidRPr="00237B91">
        <w:rPr>
          <w:rFonts w:ascii="Times New Roman" w:hAnsi="Times New Roman" w:cs="Times New Roman"/>
          <w:iCs/>
          <w:sz w:val="22"/>
          <w:szCs w:val="22"/>
        </w:rPr>
        <w:t xml:space="preserve">Vazamentos de fluidos de base sintética: Para os cenários envolvendo vazamentos de fluido de </w:t>
      </w:r>
      <w:r w:rsidRPr="00237B91">
        <w:rPr>
          <w:rFonts w:ascii="Times New Roman" w:hAnsi="Times New Roman" w:cs="Times New Roman"/>
          <w:sz w:val="22"/>
          <w:szCs w:val="22"/>
        </w:rPr>
        <w:t>perfuração</w:t>
      </w:r>
      <w:r w:rsidRPr="00237B91">
        <w:rPr>
          <w:rFonts w:ascii="Times New Roman" w:hAnsi="Times New Roman" w:cs="Times New Roman"/>
          <w:iCs/>
          <w:sz w:val="22"/>
          <w:szCs w:val="22"/>
        </w:rPr>
        <w:t xml:space="preserve"> de base sintética, considerou-se a ocorrência de vazamentos de óleo base. Tal consideração deve-se ao fato de o óleo base ser composto por 100% de óleo enquanto fluidos de base sintética apresentam em média cerca de 60% de óleo em suas composições. Desta forma, um vazamento de óleo base apresenta uma maior severidade para o meio ambiente que o vazamento do fluido de base sintética, o qual será circulado no poço.</w:t>
      </w:r>
    </w:p>
    <w:p w14:paraId="3135B042" w14:textId="4FBE834B" w:rsidR="00250A9A" w:rsidRPr="00237B91" w:rsidRDefault="00250A9A" w:rsidP="00F55006">
      <w:pPr>
        <w:pStyle w:val="BodyText"/>
        <w:numPr>
          <w:ilvl w:val="0"/>
          <w:numId w:val="12"/>
        </w:numPr>
        <w:spacing w:before="180" w:after="0" w:line="288" w:lineRule="auto"/>
        <w:ind w:hanging="357"/>
        <w:jc w:val="both"/>
        <w:rPr>
          <w:rFonts w:ascii="Times New Roman" w:hAnsi="Times New Roman" w:cs="Times New Roman"/>
          <w:iCs/>
          <w:sz w:val="22"/>
          <w:szCs w:val="22"/>
        </w:rPr>
      </w:pPr>
      <w:r w:rsidRPr="00237B91">
        <w:rPr>
          <w:rFonts w:ascii="Times New Roman" w:hAnsi="Times New Roman" w:cs="Times New Roman"/>
          <w:iCs/>
          <w:sz w:val="22"/>
          <w:szCs w:val="22"/>
        </w:rPr>
        <w:t xml:space="preserve">Vazamentos de água oleosa/efluente oleoso: De forma similar a descrita no item </w:t>
      </w:r>
      <w:r w:rsidR="006F7F6E" w:rsidRPr="00237B91">
        <w:rPr>
          <w:rFonts w:ascii="Times New Roman" w:hAnsi="Times New Roman" w:cs="Times New Roman"/>
          <w:iCs/>
          <w:sz w:val="22"/>
          <w:szCs w:val="22"/>
        </w:rPr>
        <w:t>anterior</w:t>
      </w:r>
      <w:r w:rsidRPr="00237B91">
        <w:rPr>
          <w:rFonts w:ascii="Times New Roman" w:hAnsi="Times New Roman" w:cs="Times New Roman"/>
          <w:iCs/>
          <w:sz w:val="22"/>
          <w:szCs w:val="22"/>
        </w:rPr>
        <w:t>, nas liberações de água oleosa/efluente oleoso, considerou-se que o inventário do tanque de drenagem oleosa (utilizado para determinar o volume máximo deste sistema) seria composto 100% por óleo. Entretanto, esse tanque é composto por efluente com concentração variável de óleo e água.</w:t>
      </w:r>
    </w:p>
    <w:p w14:paraId="73B7B1B6" w14:textId="240A36D6" w:rsidR="00250A9A" w:rsidRPr="00237B91" w:rsidRDefault="00250A9A" w:rsidP="00250A9A">
      <w:pPr>
        <w:pStyle w:val="BodyText"/>
        <w:numPr>
          <w:ilvl w:val="0"/>
          <w:numId w:val="12"/>
        </w:numPr>
        <w:spacing w:before="240" w:after="0" w:line="288" w:lineRule="auto"/>
        <w:jc w:val="both"/>
        <w:rPr>
          <w:rFonts w:ascii="Times New Roman" w:hAnsi="Times New Roman" w:cs="Times New Roman"/>
          <w:sz w:val="22"/>
          <w:szCs w:val="22"/>
        </w:rPr>
      </w:pPr>
      <w:r w:rsidRPr="00237B91">
        <w:rPr>
          <w:rFonts w:ascii="Times New Roman" w:hAnsi="Times New Roman" w:cs="Times New Roman"/>
          <w:iCs/>
          <w:sz w:val="22"/>
          <w:szCs w:val="22"/>
        </w:rPr>
        <w:t xml:space="preserve">Banco de dados utilizado: O WOAD, 1999 foi o banco de dados considerado para o cálculo das frequências </w:t>
      </w:r>
      <w:r w:rsidRPr="00237B91">
        <w:rPr>
          <w:rFonts w:ascii="Times New Roman" w:hAnsi="Times New Roman" w:cs="Times New Roman"/>
          <w:sz w:val="22"/>
          <w:szCs w:val="22"/>
        </w:rPr>
        <w:t>das Hipóteses Acidentais (</w:t>
      </w:r>
      <w:proofErr w:type="spellStart"/>
      <w:r w:rsidRPr="00237B91">
        <w:rPr>
          <w:rFonts w:ascii="Times New Roman" w:hAnsi="Times New Roman" w:cs="Times New Roman"/>
          <w:sz w:val="22"/>
          <w:szCs w:val="22"/>
        </w:rPr>
        <w:t>HAs</w:t>
      </w:r>
      <w:proofErr w:type="spellEnd"/>
      <w:r w:rsidRPr="00237B91">
        <w:rPr>
          <w:rFonts w:ascii="Times New Roman" w:hAnsi="Times New Roman" w:cs="Times New Roman"/>
          <w:color w:val="000000" w:themeColor="text1"/>
          <w:sz w:val="22"/>
          <w:szCs w:val="22"/>
        </w:rPr>
        <w:t>) 2</w:t>
      </w:r>
      <w:r w:rsidR="006F7F6E" w:rsidRPr="00237B91">
        <w:rPr>
          <w:rFonts w:ascii="Times New Roman" w:hAnsi="Times New Roman" w:cs="Times New Roman"/>
          <w:color w:val="000000" w:themeColor="text1"/>
          <w:sz w:val="22"/>
          <w:szCs w:val="22"/>
        </w:rPr>
        <w:t>5</w:t>
      </w:r>
      <w:r w:rsidRPr="00237B91">
        <w:rPr>
          <w:rFonts w:ascii="Times New Roman" w:hAnsi="Times New Roman" w:cs="Times New Roman"/>
          <w:color w:val="000000" w:themeColor="text1"/>
          <w:sz w:val="22"/>
          <w:szCs w:val="22"/>
        </w:rPr>
        <w:t xml:space="preserve"> e 2</w:t>
      </w:r>
      <w:r w:rsidR="006F7F6E" w:rsidRPr="00237B91">
        <w:rPr>
          <w:rFonts w:ascii="Times New Roman" w:hAnsi="Times New Roman" w:cs="Times New Roman"/>
          <w:color w:val="000000" w:themeColor="text1"/>
          <w:sz w:val="22"/>
          <w:szCs w:val="22"/>
        </w:rPr>
        <w:t xml:space="preserve">6 </w:t>
      </w:r>
      <w:r w:rsidRPr="00237B91">
        <w:rPr>
          <w:rFonts w:ascii="Times New Roman" w:hAnsi="Times New Roman" w:cs="Times New Roman"/>
          <w:color w:val="000000" w:themeColor="text1"/>
          <w:sz w:val="22"/>
          <w:szCs w:val="22"/>
        </w:rPr>
        <w:t>que se referem a grandes vazamentos de óleo e/ou produtos químicos devido à perda de estabilidade da unidade de perfuração e da embarcação de apoio, respectivamente, resultando em seu afundamento. As frequências consideradas foram 5,00E-03 para a HA 2</w:t>
      </w:r>
      <w:r w:rsidR="003C588C" w:rsidRPr="00237B91">
        <w:rPr>
          <w:rFonts w:ascii="Times New Roman" w:hAnsi="Times New Roman" w:cs="Times New Roman"/>
          <w:color w:val="000000" w:themeColor="text1"/>
          <w:sz w:val="22"/>
          <w:szCs w:val="22"/>
        </w:rPr>
        <w:t>5</w:t>
      </w:r>
      <w:r w:rsidRPr="00237B91">
        <w:rPr>
          <w:rFonts w:ascii="Times New Roman" w:hAnsi="Times New Roman" w:cs="Times New Roman"/>
          <w:color w:val="000000" w:themeColor="text1"/>
          <w:sz w:val="22"/>
          <w:szCs w:val="22"/>
        </w:rPr>
        <w:t xml:space="preserve"> e 1,00E-3 para a HA 2</w:t>
      </w:r>
      <w:r w:rsidR="003C588C" w:rsidRPr="00237B91">
        <w:rPr>
          <w:rFonts w:ascii="Times New Roman" w:hAnsi="Times New Roman" w:cs="Times New Roman"/>
          <w:color w:val="000000" w:themeColor="text1"/>
          <w:sz w:val="22"/>
          <w:szCs w:val="22"/>
        </w:rPr>
        <w:t>6</w:t>
      </w:r>
      <w:r w:rsidRPr="00237B91">
        <w:rPr>
          <w:rFonts w:ascii="Times New Roman" w:hAnsi="Times New Roman" w:cs="Times New Roman"/>
          <w:color w:val="000000" w:themeColor="text1"/>
          <w:sz w:val="22"/>
          <w:szCs w:val="22"/>
        </w:rPr>
        <w:t xml:space="preserve">. Ambas as </w:t>
      </w:r>
      <w:proofErr w:type="spellStart"/>
      <w:r w:rsidRPr="00237B91">
        <w:rPr>
          <w:rFonts w:ascii="Times New Roman" w:hAnsi="Times New Roman" w:cs="Times New Roman"/>
          <w:color w:val="000000" w:themeColor="text1"/>
          <w:sz w:val="22"/>
          <w:szCs w:val="22"/>
        </w:rPr>
        <w:t>HAs</w:t>
      </w:r>
      <w:proofErr w:type="spellEnd"/>
      <w:r w:rsidRPr="00237B91">
        <w:rPr>
          <w:rFonts w:ascii="Times New Roman" w:hAnsi="Times New Roman" w:cs="Times New Roman"/>
          <w:color w:val="000000" w:themeColor="text1"/>
          <w:sz w:val="22"/>
          <w:szCs w:val="22"/>
        </w:rPr>
        <w:t xml:space="preserve"> foram classificadas na categoria B – Improvável, ou seja, acidentes improváveis de ocorrem </w:t>
      </w:r>
      <w:r w:rsidRPr="00237B91">
        <w:rPr>
          <w:rFonts w:ascii="Times New Roman" w:hAnsi="Times New Roman" w:cs="Times New Roman"/>
          <w:sz w:val="22"/>
          <w:szCs w:val="22"/>
        </w:rPr>
        <w:t>durante a vida útil da instalação. O P</w:t>
      </w:r>
      <w:r w:rsidR="00E2117A" w:rsidRPr="00237B91">
        <w:rPr>
          <w:rFonts w:ascii="Times New Roman" w:hAnsi="Times New Roman" w:cs="Times New Roman"/>
          <w:sz w:val="22"/>
          <w:szCs w:val="22"/>
        </w:rPr>
        <w:t>AR</w:t>
      </w:r>
      <w:r w:rsidRPr="00237B91">
        <w:rPr>
          <w:rFonts w:ascii="Times New Roman" w:hAnsi="Times New Roman" w:cs="Times New Roman"/>
          <w:sz w:val="22"/>
          <w:szCs w:val="22"/>
        </w:rPr>
        <w:t xml:space="preserve"> 02022.000660/2016-33 UAL/IBAMA referente ao processo 02022.00936/2016-83 - Cadastro de Unidades Marítimas de Perfuração (CADUMP) da Unidade Marítima de Perfuração (UMP) ENSCO DS-9 - questionou a adoção da base WOAD (1999), devido ao seu ano de publicação. As frequências dos cenários acidentais que eram embasadas no WOAD (1999) foram então revistas considerando uma base de dados mais recente, o </w:t>
      </w:r>
      <w:proofErr w:type="spellStart"/>
      <w:r w:rsidRPr="00237B91">
        <w:rPr>
          <w:rFonts w:ascii="Times New Roman" w:hAnsi="Times New Roman" w:cs="Times New Roman"/>
          <w:sz w:val="22"/>
          <w:szCs w:val="22"/>
        </w:rPr>
        <w:t>Reference</w:t>
      </w:r>
      <w:proofErr w:type="spellEnd"/>
      <w:r w:rsidRPr="00237B91">
        <w:rPr>
          <w:rFonts w:ascii="Times New Roman" w:hAnsi="Times New Roman" w:cs="Times New Roman"/>
          <w:sz w:val="22"/>
          <w:szCs w:val="22"/>
        </w:rPr>
        <w:t xml:space="preserve"> Manual </w:t>
      </w:r>
      <w:proofErr w:type="spellStart"/>
      <w:r w:rsidRPr="00237B91">
        <w:rPr>
          <w:rFonts w:ascii="Times New Roman" w:hAnsi="Times New Roman" w:cs="Times New Roman"/>
          <w:sz w:val="22"/>
          <w:szCs w:val="22"/>
        </w:rPr>
        <w:t>Bevi</w:t>
      </w:r>
      <w:proofErr w:type="spellEnd"/>
      <w:r w:rsidRPr="00237B91">
        <w:rPr>
          <w:rFonts w:ascii="Times New Roman" w:hAnsi="Times New Roman" w:cs="Times New Roman"/>
          <w:sz w:val="22"/>
          <w:szCs w:val="22"/>
        </w:rPr>
        <w:t xml:space="preserve"> Risk Assessment, de 2009. Esta base de dados havia sido utilizada em outras </w:t>
      </w:r>
      <w:proofErr w:type="spellStart"/>
      <w:r w:rsidRPr="00237B91">
        <w:rPr>
          <w:rFonts w:ascii="Times New Roman" w:hAnsi="Times New Roman" w:cs="Times New Roman"/>
          <w:sz w:val="22"/>
          <w:szCs w:val="22"/>
        </w:rPr>
        <w:t>ARAs</w:t>
      </w:r>
      <w:proofErr w:type="spellEnd"/>
      <w:r w:rsidRPr="00237B91">
        <w:rPr>
          <w:rFonts w:ascii="Times New Roman" w:hAnsi="Times New Roman" w:cs="Times New Roman"/>
          <w:sz w:val="22"/>
          <w:szCs w:val="22"/>
        </w:rPr>
        <w:t xml:space="preserve"> disponíveis no website do IBAMA, tais como aquelas apresentadas nos seguintes processos de licenciamento:</w:t>
      </w:r>
    </w:p>
    <w:p w14:paraId="692975DF" w14:textId="77777777" w:rsidR="00250A9A" w:rsidRPr="00237B91" w:rsidRDefault="00250A9A" w:rsidP="004F0108">
      <w:pPr>
        <w:pStyle w:val="ListBullet"/>
        <w:tabs>
          <w:tab w:val="clear" w:pos="360"/>
          <w:tab w:val="num" w:pos="1068"/>
        </w:tabs>
        <w:spacing w:before="120"/>
        <w:ind w:left="1066" w:hanging="357"/>
        <w:jc w:val="both"/>
        <w:rPr>
          <w:rFonts w:ascii="Times New Roman" w:hAnsi="Times New Roman"/>
        </w:rPr>
      </w:pPr>
      <w:r w:rsidRPr="00237B91">
        <w:rPr>
          <w:rFonts w:ascii="Times New Roman" w:hAnsi="Times New Roman"/>
        </w:rPr>
        <w:t xml:space="preserve">Atividade de Produção e Escoamento de petróleo e Gás Natural do </w:t>
      </w:r>
      <w:proofErr w:type="spellStart"/>
      <w:r w:rsidRPr="00237B91">
        <w:rPr>
          <w:rFonts w:ascii="Times New Roman" w:hAnsi="Times New Roman"/>
        </w:rPr>
        <w:t>Pólo</w:t>
      </w:r>
      <w:proofErr w:type="spellEnd"/>
      <w:r w:rsidRPr="00237B91">
        <w:rPr>
          <w:rFonts w:ascii="Times New Roman" w:hAnsi="Times New Roman"/>
        </w:rPr>
        <w:t xml:space="preserve"> </w:t>
      </w:r>
      <w:proofErr w:type="spellStart"/>
      <w:r w:rsidRPr="00237B91">
        <w:rPr>
          <w:rFonts w:ascii="Times New Roman" w:hAnsi="Times New Roman"/>
        </w:rPr>
        <w:t>Pré</w:t>
      </w:r>
      <w:proofErr w:type="spellEnd"/>
      <w:r w:rsidRPr="00237B91">
        <w:rPr>
          <w:rFonts w:ascii="Times New Roman" w:hAnsi="Times New Roman"/>
        </w:rPr>
        <w:t xml:space="preserve">-Sal da Bacia de Santos – Etapa 2 (Rev. 00 de outubro de 2013) e </w:t>
      </w:r>
    </w:p>
    <w:p w14:paraId="769BD56F" w14:textId="77777777" w:rsidR="00250A9A" w:rsidRPr="00237B91" w:rsidRDefault="00250A9A" w:rsidP="00250A9A">
      <w:pPr>
        <w:pStyle w:val="ListBullet"/>
        <w:tabs>
          <w:tab w:val="clear" w:pos="360"/>
          <w:tab w:val="num" w:pos="1068"/>
        </w:tabs>
        <w:ind w:left="1068"/>
        <w:jc w:val="both"/>
        <w:rPr>
          <w:rFonts w:ascii="Times New Roman" w:hAnsi="Times New Roman"/>
        </w:rPr>
      </w:pPr>
      <w:r w:rsidRPr="00237B91">
        <w:rPr>
          <w:rFonts w:ascii="Times New Roman" w:hAnsi="Times New Roman"/>
        </w:rPr>
        <w:t xml:space="preserve">Atividade de Produção e Escoamento de petróleo e Gás Natural do </w:t>
      </w:r>
      <w:proofErr w:type="spellStart"/>
      <w:r w:rsidRPr="00237B91">
        <w:rPr>
          <w:rFonts w:ascii="Times New Roman" w:hAnsi="Times New Roman"/>
        </w:rPr>
        <w:t>Pólo</w:t>
      </w:r>
      <w:proofErr w:type="spellEnd"/>
      <w:r w:rsidRPr="00237B91">
        <w:rPr>
          <w:rFonts w:ascii="Times New Roman" w:hAnsi="Times New Roman"/>
        </w:rPr>
        <w:t xml:space="preserve"> </w:t>
      </w:r>
      <w:proofErr w:type="spellStart"/>
      <w:r w:rsidRPr="00237B91">
        <w:rPr>
          <w:rFonts w:ascii="Times New Roman" w:hAnsi="Times New Roman"/>
        </w:rPr>
        <w:t>Pré</w:t>
      </w:r>
      <w:proofErr w:type="spellEnd"/>
      <w:r w:rsidRPr="00237B91">
        <w:rPr>
          <w:rFonts w:ascii="Times New Roman" w:hAnsi="Times New Roman"/>
        </w:rPr>
        <w:t>-Sal da Bacia de Santos – Etapa 3 (Rev. 00 de setembro de 2017).</w:t>
      </w:r>
    </w:p>
    <w:p w14:paraId="5357F2F7" w14:textId="36E685FC" w:rsidR="00250A9A" w:rsidRPr="00237B91" w:rsidRDefault="00250A9A" w:rsidP="00250A9A">
      <w:pPr>
        <w:pStyle w:val="BodyText"/>
        <w:spacing w:line="288" w:lineRule="auto"/>
        <w:ind w:left="720"/>
        <w:jc w:val="both"/>
        <w:rPr>
          <w:rFonts w:ascii="Times New Roman" w:hAnsi="Times New Roman" w:cs="Times New Roman"/>
          <w:sz w:val="22"/>
          <w:szCs w:val="22"/>
        </w:rPr>
      </w:pPr>
      <w:r w:rsidRPr="00237B91">
        <w:rPr>
          <w:rFonts w:ascii="Times New Roman" w:hAnsi="Times New Roman" w:cs="Times New Roman"/>
          <w:sz w:val="22"/>
          <w:szCs w:val="22"/>
        </w:rPr>
        <w:lastRenderedPageBreak/>
        <w:t>Segundo a base “</w:t>
      </w:r>
      <w:proofErr w:type="spellStart"/>
      <w:r w:rsidRPr="00237B91">
        <w:rPr>
          <w:rFonts w:ascii="Times New Roman" w:hAnsi="Times New Roman" w:cs="Times New Roman"/>
          <w:sz w:val="22"/>
          <w:szCs w:val="22"/>
        </w:rPr>
        <w:t>Reference</w:t>
      </w:r>
      <w:proofErr w:type="spellEnd"/>
      <w:r w:rsidRPr="00237B91">
        <w:rPr>
          <w:rFonts w:ascii="Times New Roman" w:hAnsi="Times New Roman" w:cs="Times New Roman"/>
          <w:sz w:val="22"/>
          <w:szCs w:val="22"/>
        </w:rPr>
        <w:t xml:space="preserve"> Manual </w:t>
      </w:r>
      <w:proofErr w:type="spellStart"/>
      <w:r w:rsidRPr="00237B91">
        <w:rPr>
          <w:rFonts w:ascii="Times New Roman" w:hAnsi="Times New Roman" w:cs="Times New Roman"/>
          <w:sz w:val="22"/>
          <w:szCs w:val="22"/>
        </w:rPr>
        <w:t>Bevi</w:t>
      </w:r>
      <w:proofErr w:type="spellEnd"/>
      <w:r w:rsidRPr="00237B91">
        <w:rPr>
          <w:rFonts w:ascii="Times New Roman" w:hAnsi="Times New Roman" w:cs="Times New Roman"/>
          <w:sz w:val="22"/>
          <w:szCs w:val="22"/>
        </w:rPr>
        <w:t xml:space="preserve"> Risk Assessment” (2009), as frequências dos cenários de perda de estabilidade da unidade de perfuração e da embarcação de apoio da referida ARA da atividade de perfuração na Bacia da Foz do Amazonas seriam 5,15E-06. Com isso, os cenários acidentais </w:t>
      </w:r>
      <w:proofErr w:type="spellStart"/>
      <w:r w:rsidRPr="00237B91">
        <w:rPr>
          <w:rFonts w:ascii="Times New Roman" w:hAnsi="Times New Roman" w:cs="Times New Roman"/>
          <w:sz w:val="22"/>
          <w:szCs w:val="22"/>
        </w:rPr>
        <w:t>seriam</w:t>
      </w:r>
      <w:proofErr w:type="spellEnd"/>
      <w:r w:rsidRPr="00237B91">
        <w:rPr>
          <w:rFonts w:ascii="Times New Roman" w:hAnsi="Times New Roman" w:cs="Times New Roman"/>
          <w:sz w:val="22"/>
          <w:szCs w:val="22"/>
        </w:rPr>
        <w:t xml:space="preserve"> classificados como A - Remotos - não esperados de ocorrer durante a vida útil da instalação e/ou para o qual não há registro anterior de ocorrência para as condições operacionais de análise. Entretanto, o P</w:t>
      </w:r>
      <w:r w:rsidR="00E2117A" w:rsidRPr="00237B91">
        <w:rPr>
          <w:rFonts w:ascii="Times New Roman" w:hAnsi="Times New Roman" w:cs="Times New Roman"/>
          <w:sz w:val="22"/>
          <w:szCs w:val="22"/>
        </w:rPr>
        <w:t>AR</w:t>
      </w:r>
      <w:r w:rsidRPr="00237B91">
        <w:rPr>
          <w:rFonts w:ascii="Times New Roman" w:hAnsi="Times New Roman" w:cs="Times New Roman"/>
          <w:sz w:val="22"/>
          <w:szCs w:val="22"/>
        </w:rPr>
        <w:t xml:space="preserve"> Nº 20/2017-COEXP/CGMAC/DILIC</w:t>
      </w:r>
      <w:r w:rsidR="006F7F6E" w:rsidRPr="00237B91">
        <w:rPr>
          <w:rFonts w:ascii="Times New Roman" w:hAnsi="Times New Roman" w:cs="Times New Roman"/>
          <w:sz w:val="22"/>
          <w:szCs w:val="22"/>
        </w:rPr>
        <w:t xml:space="preserve">, </w:t>
      </w:r>
      <w:r w:rsidR="003C588C" w:rsidRPr="00237B91">
        <w:rPr>
          <w:rFonts w:ascii="Times New Roman" w:hAnsi="Times New Roman" w:cs="Times New Roman"/>
          <w:sz w:val="22"/>
          <w:szCs w:val="22"/>
        </w:rPr>
        <w:t xml:space="preserve">também </w:t>
      </w:r>
      <w:r w:rsidR="006F7F6E" w:rsidRPr="00237B91">
        <w:rPr>
          <w:rFonts w:ascii="Times New Roman" w:hAnsi="Times New Roman" w:cs="Times New Roman"/>
          <w:sz w:val="22"/>
          <w:szCs w:val="22"/>
        </w:rPr>
        <w:t xml:space="preserve">relativo ao CADUMP da </w:t>
      </w:r>
      <w:r w:rsidR="00C70C42" w:rsidRPr="00237B91">
        <w:rPr>
          <w:rFonts w:ascii="Times New Roman" w:hAnsi="Times New Roman" w:cs="Times New Roman"/>
          <w:sz w:val="22"/>
          <w:szCs w:val="22"/>
        </w:rPr>
        <w:t>ENSCO DS-9</w:t>
      </w:r>
      <w:r w:rsidR="006F7F6E" w:rsidRPr="00237B91">
        <w:rPr>
          <w:rFonts w:ascii="Times New Roman" w:hAnsi="Times New Roman" w:cs="Times New Roman"/>
          <w:sz w:val="22"/>
          <w:szCs w:val="22"/>
        </w:rPr>
        <w:t>,</w:t>
      </w:r>
      <w:r w:rsidRPr="00237B91">
        <w:rPr>
          <w:rFonts w:ascii="Times New Roman" w:hAnsi="Times New Roman" w:cs="Times New Roman"/>
          <w:sz w:val="22"/>
          <w:szCs w:val="22"/>
        </w:rPr>
        <w:t xml:space="preserve"> solicitou o retorno à adoção da base WOAD (1999), mais antiga e conservativa. A </w:t>
      </w:r>
      <w:r w:rsidR="006F7F6E" w:rsidRPr="00237B91">
        <w:rPr>
          <w:rFonts w:ascii="Times New Roman" w:hAnsi="Times New Roman" w:cs="Times New Roman"/>
          <w:sz w:val="22"/>
          <w:szCs w:val="22"/>
        </w:rPr>
        <w:t>última revisão</w:t>
      </w:r>
      <w:r w:rsidRPr="00237B91">
        <w:rPr>
          <w:rFonts w:ascii="Times New Roman" w:hAnsi="Times New Roman" w:cs="Times New Roman"/>
          <w:sz w:val="22"/>
          <w:szCs w:val="22"/>
        </w:rPr>
        <w:t xml:space="preserve"> da ARA, portanto, apresenta as frequências mais conservativas para ambos os cenários. </w:t>
      </w:r>
    </w:p>
    <w:p w14:paraId="79975C5A" w14:textId="0421FC7A" w:rsidR="00250A9A" w:rsidRPr="00237B91" w:rsidRDefault="00250A9A" w:rsidP="00250A9A">
      <w:pPr>
        <w:pStyle w:val="BodyText"/>
        <w:numPr>
          <w:ilvl w:val="0"/>
          <w:numId w:val="12"/>
        </w:numPr>
        <w:spacing w:before="240" w:after="0" w:line="288" w:lineRule="auto"/>
        <w:jc w:val="both"/>
        <w:rPr>
          <w:rFonts w:ascii="Times New Roman" w:hAnsi="Times New Roman" w:cs="Times New Roman"/>
          <w:sz w:val="22"/>
          <w:szCs w:val="22"/>
        </w:rPr>
      </w:pPr>
      <w:bookmarkStart w:id="2" w:name="_Hlk518047907"/>
      <w:r w:rsidRPr="00237B91">
        <w:rPr>
          <w:rFonts w:ascii="Times New Roman" w:hAnsi="Times New Roman" w:cs="Times New Roman"/>
          <w:sz w:val="22"/>
          <w:szCs w:val="22"/>
        </w:rPr>
        <w:t>Calculo do Risco Ambiental</w:t>
      </w:r>
      <w:r w:rsidR="00772086" w:rsidRPr="00237B91">
        <w:rPr>
          <w:rFonts w:ascii="Times New Roman" w:hAnsi="Times New Roman" w:cs="Times New Roman"/>
          <w:sz w:val="22"/>
          <w:szCs w:val="22"/>
        </w:rPr>
        <w:t>: S</w:t>
      </w:r>
      <w:r w:rsidRPr="00237B91">
        <w:rPr>
          <w:rFonts w:ascii="Times New Roman" w:hAnsi="Times New Roman" w:cs="Times New Roman"/>
          <w:sz w:val="22"/>
          <w:szCs w:val="22"/>
        </w:rPr>
        <w:t>obre o Risco Ambiental, a fórmula de cálculo utilizada para cada cenário sazonal (verão/inverno) foi:</w:t>
      </w:r>
    </w:p>
    <w:tbl>
      <w:tblPr>
        <w:tblW w:w="7358" w:type="dxa"/>
        <w:tblInd w:w="817" w:type="dxa"/>
        <w:tblLook w:val="01E0" w:firstRow="1" w:lastRow="1" w:firstColumn="1" w:lastColumn="1" w:noHBand="0" w:noVBand="0"/>
      </w:tblPr>
      <w:tblGrid>
        <w:gridCol w:w="7358"/>
      </w:tblGrid>
      <w:tr w:rsidR="00250A9A" w:rsidRPr="00237B91" w14:paraId="3EB71D55" w14:textId="77777777" w:rsidTr="00F70404">
        <w:trPr>
          <w:trHeight w:val="702"/>
        </w:trPr>
        <w:tc>
          <w:tcPr>
            <w:tcW w:w="7358" w:type="dxa"/>
            <w:vAlign w:val="center"/>
            <w:hideMark/>
          </w:tcPr>
          <w:p w14:paraId="3EBEF483" w14:textId="77777777" w:rsidR="00250A9A" w:rsidRPr="00237B91" w:rsidRDefault="00250A9A" w:rsidP="00F70404">
            <w:pPr>
              <w:spacing w:before="240" w:after="0" w:line="288" w:lineRule="auto"/>
              <w:jc w:val="center"/>
              <w:rPr>
                <w:rFonts w:ascii="Times New Roman" w:hAnsi="Times New Roman" w:cs="Times New Roman"/>
              </w:rPr>
            </w:pPr>
            <w:r w:rsidRPr="00237B91">
              <w:rPr>
                <w:rFonts w:ascii="Times New Roman" w:hAnsi="Times New Roman" w:cs="Times New Roman"/>
                <w:position w:val="-8"/>
              </w:rPr>
              <w:object w:dxaOrig="2580" w:dyaOrig="300" w14:anchorId="58A5F1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14.25pt" o:ole="">
                  <v:imagedata r:id="rId20" o:title=""/>
                </v:shape>
                <o:OLEObject Type="Embed" ProgID="Equation.3" ShapeID="_x0000_i1025" DrawAspect="Content" ObjectID="_1597574122" r:id="rId21"/>
              </w:object>
            </w:r>
          </w:p>
        </w:tc>
      </w:tr>
      <w:tr w:rsidR="00250A9A" w:rsidRPr="00237B91" w14:paraId="1B1F75AA" w14:textId="77777777" w:rsidTr="00F70404">
        <w:tc>
          <w:tcPr>
            <w:tcW w:w="7358" w:type="dxa"/>
            <w:hideMark/>
          </w:tcPr>
          <w:p w14:paraId="11ED1442" w14:textId="77777777" w:rsidR="00250A9A" w:rsidRPr="00237B91" w:rsidRDefault="00250A9A" w:rsidP="007C7430">
            <w:pPr>
              <w:pStyle w:val="BodyText"/>
              <w:spacing w:after="60" w:line="288" w:lineRule="auto"/>
              <w:rPr>
                <w:rFonts w:ascii="Times New Roman" w:hAnsi="Times New Roman" w:cs="Times New Roman"/>
                <w:sz w:val="22"/>
                <w:szCs w:val="22"/>
                <w:lang w:eastAsia="en-US"/>
              </w:rPr>
            </w:pPr>
            <w:r w:rsidRPr="00237B91">
              <w:rPr>
                <w:rFonts w:ascii="Times New Roman" w:hAnsi="Times New Roman" w:cs="Times New Roman"/>
                <w:sz w:val="22"/>
                <w:szCs w:val="22"/>
                <w:lang w:eastAsia="en-US"/>
              </w:rPr>
              <w:t xml:space="preserve">RA - Risco Ambiental do CVA/SVA </w:t>
            </w:r>
            <w:r w:rsidRPr="00237B91">
              <w:rPr>
                <w:rFonts w:ascii="Times New Roman" w:hAnsi="Times New Roman" w:cs="Times New Roman"/>
                <w:i/>
                <w:sz w:val="22"/>
                <w:szCs w:val="22"/>
                <w:lang w:eastAsia="en-US"/>
              </w:rPr>
              <w:t>x</w:t>
            </w:r>
            <w:r w:rsidRPr="00237B91">
              <w:rPr>
                <w:rFonts w:ascii="Times New Roman" w:hAnsi="Times New Roman" w:cs="Times New Roman"/>
                <w:sz w:val="22"/>
                <w:szCs w:val="22"/>
                <w:lang w:eastAsia="en-US"/>
              </w:rPr>
              <w:t xml:space="preserve">. </w:t>
            </w:r>
          </w:p>
          <w:p w14:paraId="4F2EDB4D" w14:textId="77777777" w:rsidR="00250A9A" w:rsidRPr="00237B91" w:rsidRDefault="00250A9A" w:rsidP="007C7430">
            <w:pPr>
              <w:pStyle w:val="BodyText"/>
              <w:spacing w:after="60" w:line="288" w:lineRule="auto"/>
              <w:rPr>
                <w:rFonts w:ascii="Times New Roman" w:hAnsi="Times New Roman" w:cs="Times New Roman"/>
                <w:sz w:val="22"/>
                <w:szCs w:val="22"/>
                <w:lang w:eastAsia="en-US"/>
              </w:rPr>
            </w:pPr>
            <w:r w:rsidRPr="00237B91">
              <w:rPr>
                <w:rFonts w:ascii="Times New Roman" w:hAnsi="Times New Roman" w:cs="Times New Roman"/>
                <w:sz w:val="22"/>
                <w:szCs w:val="22"/>
                <w:lang w:eastAsia="en-US"/>
              </w:rPr>
              <w:t>x – CVA em determinado vazamento (faixa de volume) e cenário sazonal.</w:t>
            </w:r>
          </w:p>
          <w:p w14:paraId="53A00312" w14:textId="77777777" w:rsidR="00250A9A" w:rsidRPr="00237B91" w:rsidRDefault="00250A9A" w:rsidP="007C7430">
            <w:pPr>
              <w:pStyle w:val="BodyText"/>
              <w:spacing w:after="60" w:line="288" w:lineRule="auto"/>
              <w:rPr>
                <w:rFonts w:ascii="Times New Roman" w:hAnsi="Times New Roman" w:cs="Times New Roman"/>
                <w:sz w:val="22"/>
                <w:szCs w:val="22"/>
                <w:lang w:eastAsia="en-US"/>
              </w:rPr>
            </w:pPr>
            <w:r w:rsidRPr="00237B91">
              <w:rPr>
                <w:rFonts w:ascii="Times New Roman" w:hAnsi="Times New Roman" w:cs="Times New Roman"/>
                <w:sz w:val="22"/>
                <w:szCs w:val="22"/>
                <w:lang w:eastAsia="en-US"/>
              </w:rPr>
              <w:t>F</w:t>
            </w:r>
            <w:r w:rsidRPr="00237B91">
              <w:rPr>
                <w:rFonts w:ascii="Times New Roman" w:hAnsi="Times New Roman" w:cs="Times New Roman"/>
                <w:sz w:val="22"/>
                <w:szCs w:val="22"/>
                <w:vertAlign w:val="subscript"/>
                <w:lang w:eastAsia="en-US"/>
              </w:rPr>
              <w:t xml:space="preserve">total-y </w:t>
            </w:r>
            <w:r w:rsidRPr="00237B91">
              <w:rPr>
                <w:rFonts w:ascii="Times New Roman" w:hAnsi="Times New Roman" w:cs="Times New Roman"/>
                <w:sz w:val="22"/>
                <w:szCs w:val="22"/>
                <w:lang w:eastAsia="en-US"/>
              </w:rPr>
              <w:t xml:space="preserve">- Frequência de ocorrência dos cenários acidentais na faixa de volume </w:t>
            </w:r>
            <w:r w:rsidRPr="00237B91">
              <w:rPr>
                <w:rFonts w:ascii="Times New Roman" w:hAnsi="Times New Roman" w:cs="Times New Roman"/>
                <w:i/>
                <w:sz w:val="22"/>
                <w:szCs w:val="22"/>
                <w:lang w:eastAsia="en-US"/>
              </w:rPr>
              <w:t>y</w:t>
            </w:r>
            <w:r w:rsidRPr="00237B91">
              <w:rPr>
                <w:rFonts w:ascii="Times New Roman" w:hAnsi="Times New Roman" w:cs="Times New Roman"/>
                <w:sz w:val="22"/>
                <w:szCs w:val="22"/>
                <w:lang w:eastAsia="en-US"/>
              </w:rPr>
              <w:t>.</w:t>
            </w:r>
          </w:p>
          <w:p w14:paraId="3CA2AB2C" w14:textId="77777777" w:rsidR="00250A9A" w:rsidRPr="00237B91" w:rsidRDefault="00250A9A" w:rsidP="007C7430">
            <w:pPr>
              <w:pStyle w:val="BodyText"/>
              <w:spacing w:after="60" w:line="288" w:lineRule="auto"/>
              <w:rPr>
                <w:rFonts w:ascii="Times New Roman" w:hAnsi="Times New Roman" w:cs="Times New Roman"/>
                <w:sz w:val="22"/>
                <w:szCs w:val="22"/>
                <w:lang w:eastAsia="en-US"/>
              </w:rPr>
            </w:pPr>
            <w:r w:rsidRPr="00237B91">
              <w:rPr>
                <w:rFonts w:ascii="Times New Roman" w:hAnsi="Times New Roman" w:cs="Times New Roman"/>
                <w:sz w:val="22"/>
                <w:szCs w:val="22"/>
                <w:lang w:eastAsia="en-US"/>
              </w:rPr>
              <w:t>y - Faixa de volume.</w:t>
            </w:r>
          </w:p>
          <w:p w14:paraId="478D8476" w14:textId="77777777" w:rsidR="00250A9A" w:rsidRPr="00237B91" w:rsidRDefault="00250A9A" w:rsidP="00F70404">
            <w:pPr>
              <w:pStyle w:val="BodyText"/>
              <w:spacing w:before="120" w:after="0" w:line="288" w:lineRule="auto"/>
              <w:rPr>
                <w:rFonts w:ascii="Times New Roman" w:hAnsi="Times New Roman" w:cs="Times New Roman"/>
                <w:sz w:val="22"/>
                <w:szCs w:val="22"/>
                <w:lang w:eastAsia="en-US"/>
              </w:rPr>
            </w:pPr>
            <w:r w:rsidRPr="00237B91">
              <w:rPr>
                <w:rFonts w:ascii="Times New Roman" w:hAnsi="Times New Roman" w:cs="Times New Roman"/>
                <w:sz w:val="22"/>
                <w:szCs w:val="22"/>
                <w:lang w:eastAsia="en-US"/>
              </w:rPr>
              <w:t xml:space="preserve">Prob - Probabilidade de o óleo atingir o CVA/SVA </w:t>
            </w:r>
            <w:r w:rsidRPr="00237B91">
              <w:rPr>
                <w:rFonts w:ascii="Times New Roman" w:hAnsi="Times New Roman" w:cs="Times New Roman"/>
                <w:i/>
                <w:sz w:val="22"/>
                <w:szCs w:val="22"/>
                <w:lang w:eastAsia="en-US"/>
              </w:rPr>
              <w:t>x</w:t>
            </w:r>
            <w:r w:rsidRPr="00237B91">
              <w:rPr>
                <w:rFonts w:ascii="Times New Roman" w:hAnsi="Times New Roman" w:cs="Times New Roman"/>
                <w:sz w:val="22"/>
                <w:szCs w:val="22"/>
                <w:lang w:eastAsia="en-US"/>
              </w:rPr>
              <w:t>.</w:t>
            </w:r>
          </w:p>
        </w:tc>
      </w:tr>
    </w:tbl>
    <w:p w14:paraId="20F1C996" w14:textId="44AEF102" w:rsidR="00250A9A" w:rsidRPr="00237B91" w:rsidRDefault="00250A9A" w:rsidP="00250A9A">
      <w:pPr>
        <w:pStyle w:val="BodyText"/>
        <w:spacing w:before="240" w:after="0" w:line="288" w:lineRule="auto"/>
        <w:ind w:left="720"/>
        <w:jc w:val="both"/>
        <w:rPr>
          <w:rFonts w:ascii="Times New Roman" w:hAnsi="Times New Roman" w:cs="Times New Roman"/>
          <w:sz w:val="22"/>
          <w:szCs w:val="22"/>
          <w:lang w:eastAsia="en-US"/>
        </w:rPr>
      </w:pPr>
      <w:r w:rsidRPr="00237B91">
        <w:rPr>
          <w:rFonts w:ascii="Times New Roman" w:hAnsi="Times New Roman" w:cs="Times New Roman"/>
          <w:sz w:val="22"/>
          <w:szCs w:val="22"/>
          <w:lang w:eastAsia="en-US"/>
        </w:rPr>
        <w:t>F</w:t>
      </w:r>
      <w:r w:rsidRPr="00237B91">
        <w:rPr>
          <w:rFonts w:ascii="Times New Roman" w:hAnsi="Times New Roman" w:cs="Times New Roman"/>
          <w:sz w:val="22"/>
          <w:szCs w:val="22"/>
          <w:vertAlign w:val="subscript"/>
          <w:lang w:eastAsia="en-US"/>
        </w:rPr>
        <w:t>total-y</w:t>
      </w:r>
      <w:r w:rsidRPr="00237B91">
        <w:rPr>
          <w:rFonts w:ascii="Times New Roman" w:hAnsi="Times New Roman" w:cs="Times New Roman"/>
          <w:sz w:val="22"/>
          <w:szCs w:val="22"/>
          <w:lang w:eastAsia="en-US"/>
        </w:rPr>
        <w:t xml:space="preserve">, a frequência de ocorrência dos cenários acidentais na faixa de volume </w:t>
      </w:r>
      <w:r w:rsidRPr="00237B91">
        <w:rPr>
          <w:rFonts w:ascii="Times New Roman" w:hAnsi="Times New Roman" w:cs="Times New Roman"/>
          <w:i/>
          <w:sz w:val="22"/>
          <w:szCs w:val="22"/>
          <w:lang w:eastAsia="en-US"/>
        </w:rPr>
        <w:t>y</w:t>
      </w:r>
      <w:r w:rsidRPr="00237B91">
        <w:rPr>
          <w:rFonts w:ascii="Times New Roman" w:hAnsi="Times New Roman" w:cs="Times New Roman"/>
          <w:sz w:val="22"/>
          <w:szCs w:val="22"/>
          <w:lang w:eastAsia="en-US"/>
        </w:rPr>
        <w:t xml:space="preserve">, é dada na unidade </w:t>
      </w:r>
      <w:r w:rsidR="00E2117A" w:rsidRPr="00237B91">
        <w:rPr>
          <w:rFonts w:ascii="Times New Roman" w:hAnsi="Times New Roman" w:cs="Times New Roman"/>
          <w:sz w:val="22"/>
          <w:szCs w:val="22"/>
          <w:lang w:eastAsia="en-US"/>
        </w:rPr>
        <w:t>“</w:t>
      </w:r>
      <w:r w:rsidRPr="00237B91">
        <w:rPr>
          <w:rFonts w:ascii="Times New Roman" w:hAnsi="Times New Roman" w:cs="Times New Roman"/>
          <w:sz w:val="22"/>
          <w:szCs w:val="22"/>
          <w:lang w:eastAsia="en-US"/>
        </w:rPr>
        <w:t>ano</w:t>
      </w:r>
      <w:r w:rsidRPr="00237B91">
        <w:rPr>
          <w:rFonts w:ascii="Times New Roman" w:hAnsi="Times New Roman" w:cs="Times New Roman"/>
          <w:sz w:val="22"/>
          <w:szCs w:val="22"/>
          <w:vertAlign w:val="superscript"/>
          <w:lang w:eastAsia="en-US"/>
        </w:rPr>
        <w:t>-1</w:t>
      </w:r>
      <w:r w:rsidR="00E2117A" w:rsidRPr="00237B91">
        <w:rPr>
          <w:rFonts w:ascii="Times New Roman" w:hAnsi="Times New Roman" w:cs="Times New Roman"/>
          <w:sz w:val="22"/>
          <w:szCs w:val="22"/>
          <w:lang w:eastAsia="en-US"/>
        </w:rPr>
        <w:t>”.</w:t>
      </w:r>
      <w:r w:rsidRPr="00237B91">
        <w:rPr>
          <w:rFonts w:ascii="Times New Roman" w:hAnsi="Times New Roman" w:cs="Times New Roman"/>
          <w:sz w:val="22"/>
          <w:szCs w:val="22"/>
          <w:lang w:eastAsia="en-US"/>
        </w:rPr>
        <w:t xml:space="preserve"> Enquanto isso, o RA (x) se refere a apenas ao Risco Ambiental em um período de 6 meses (verão/inverno). Portanto, o valor do Risco Ambiental para cada CVA/SVA está, de forma conservativa, dobrado. </w:t>
      </w:r>
    </w:p>
    <w:p w14:paraId="76CF3643" w14:textId="77777777" w:rsidR="00250A9A" w:rsidRPr="00237B91" w:rsidRDefault="00250A9A" w:rsidP="00250A9A">
      <w:pPr>
        <w:pStyle w:val="BodyText"/>
        <w:spacing w:before="240" w:after="0" w:line="288" w:lineRule="auto"/>
        <w:ind w:left="720"/>
        <w:jc w:val="both"/>
        <w:rPr>
          <w:rFonts w:ascii="Times New Roman" w:hAnsi="Times New Roman" w:cs="Times New Roman"/>
          <w:sz w:val="22"/>
          <w:szCs w:val="22"/>
          <w:lang w:eastAsia="en-US"/>
        </w:rPr>
      </w:pPr>
      <w:bookmarkStart w:id="3" w:name="_Hlk518048006"/>
      <w:bookmarkEnd w:id="2"/>
      <w:r w:rsidRPr="00237B91">
        <w:rPr>
          <w:rFonts w:ascii="Times New Roman" w:hAnsi="Times New Roman" w:cs="Times New Roman"/>
          <w:sz w:val="22"/>
          <w:szCs w:val="22"/>
          <w:lang w:eastAsia="en-US"/>
        </w:rPr>
        <w:t xml:space="preserve">Outras Análises de Riscos Ambientais, como as já mencionadas dos processos de licenciamento da Atividade de Produção e Escoamento de petróleo e Gás Natural do Pólo Pré-Sal da Bacia de Santos – Etapa 2 e Etapa 3, não utilizaram metodologia tão conservativa. Em ambos os casos citados, os autores se basearam na metodologia proposta em seus TRs, mas os adaptaram para considerar os dois períodos da modelagem de dispersão de óleo, ou seja, 1° e 2° semestres. Utilizaram-se as seguintes equações: </w:t>
      </w:r>
    </w:p>
    <w:tbl>
      <w:tblPr>
        <w:tblW w:w="0" w:type="auto"/>
        <w:jc w:val="center"/>
        <w:tblLook w:val="01E0" w:firstRow="1" w:lastRow="1" w:firstColumn="1" w:lastColumn="1" w:noHBand="0" w:noVBand="0"/>
      </w:tblPr>
      <w:tblGrid>
        <w:gridCol w:w="7125"/>
      </w:tblGrid>
      <w:tr w:rsidR="00250A9A" w:rsidRPr="00237B91" w14:paraId="3B96831C" w14:textId="77777777" w:rsidTr="00F70404">
        <w:trPr>
          <w:trHeight w:val="702"/>
          <w:jc w:val="center"/>
        </w:trPr>
        <w:tc>
          <w:tcPr>
            <w:tcW w:w="7125" w:type="dxa"/>
            <w:vAlign w:val="center"/>
            <w:hideMark/>
          </w:tcPr>
          <w:p w14:paraId="0661A014" w14:textId="77777777" w:rsidR="00250A9A" w:rsidRPr="00237B91" w:rsidRDefault="00250A9A" w:rsidP="00F70404">
            <w:pPr>
              <w:spacing w:before="120" w:line="288" w:lineRule="auto"/>
              <w:jc w:val="center"/>
              <w:rPr>
                <w:rFonts w:ascii="Times New Roman" w:hAnsi="Times New Roman" w:cs="Times New Roman"/>
                <w:vertAlign w:val="subscript"/>
                <w:lang w:val="en-US"/>
              </w:rPr>
            </w:pPr>
            <w:r w:rsidRPr="00237B91">
              <w:rPr>
                <w:rFonts w:ascii="Times New Roman" w:hAnsi="Times New Roman" w:cs="Times New Roman"/>
                <w:lang w:val="en-US"/>
              </w:rPr>
              <w:t xml:space="preserve">RA </w:t>
            </w:r>
            <w:r w:rsidRPr="00237B91">
              <w:rPr>
                <w:rFonts w:ascii="Times New Roman" w:hAnsi="Times New Roman" w:cs="Times New Roman"/>
                <w:vertAlign w:val="subscript"/>
                <w:lang w:val="en-US"/>
              </w:rPr>
              <w:t xml:space="preserve">(x) </w:t>
            </w:r>
            <w:r w:rsidRPr="00237B91">
              <w:rPr>
                <w:rFonts w:ascii="Times New Roman" w:hAnsi="Times New Roman" w:cs="Times New Roman"/>
                <w:lang w:val="en-US"/>
              </w:rPr>
              <w:t>- 1º semestre</w:t>
            </w:r>
            <w:r w:rsidRPr="00237B91">
              <w:rPr>
                <w:rFonts w:ascii="Times New Roman" w:hAnsi="Times New Roman" w:cs="Times New Roman"/>
                <w:vertAlign w:val="subscript"/>
                <w:lang w:val="en-US"/>
              </w:rPr>
              <w:t xml:space="preserve"> </w:t>
            </w:r>
            <w:r w:rsidRPr="00237B91">
              <w:rPr>
                <w:rFonts w:ascii="Times New Roman" w:hAnsi="Times New Roman" w:cs="Times New Roman"/>
                <w:lang w:val="en-US"/>
              </w:rPr>
              <w:t>= ½ F</w:t>
            </w:r>
            <w:r w:rsidRPr="00237B91">
              <w:rPr>
                <w:rFonts w:ascii="Times New Roman" w:hAnsi="Times New Roman" w:cs="Times New Roman"/>
                <w:vertAlign w:val="subscript"/>
                <w:lang w:val="en-US"/>
              </w:rPr>
              <w:t xml:space="preserve">total-y </w:t>
            </w:r>
            <w:r w:rsidRPr="00237B91">
              <w:rPr>
                <w:rFonts w:ascii="Times New Roman" w:hAnsi="Times New Roman" w:cs="Times New Roman"/>
                <w:lang w:val="en-US"/>
              </w:rPr>
              <w:t xml:space="preserve">x Prob </w:t>
            </w:r>
            <w:r w:rsidRPr="00237B91">
              <w:rPr>
                <w:rFonts w:ascii="Times New Roman" w:hAnsi="Times New Roman" w:cs="Times New Roman"/>
                <w:vertAlign w:val="subscript"/>
                <w:lang w:val="en-US"/>
              </w:rPr>
              <w:t>(x)</w:t>
            </w:r>
          </w:p>
          <w:p w14:paraId="6A46DCEE" w14:textId="77777777" w:rsidR="00250A9A" w:rsidRPr="00237B91" w:rsidRDefault="00250A9A" w:rsidP="00F70404">
            <w:pPr>
              <w:spacing w:line="288" w:lineRule="auto"/>
              <w:jc w:val="center"/>
              <w:rPr>
                <w:rFonts w:ascii="Times New Roman" w:hAnsi="Times New Roman" w:cs="Times New Roman"/>
                <w:lang w:val="en-US"/>
              </w:rPr>
            </w:pPr>
            <w:r w:rsidRPr="00237B91">
              <w:rPr>
                <w:rFonts w:ascii="Times New Roman" w:hAnsi="Times New Roman" w:cs="Times New Roman"/>
                <w:lang w:val="en-US"/>
              </w:rPr>
              <w:t xml:space="preserve">RA </w:t>
            </w:r>
            <w:r w:rsidRPr="00237B91">
              <w:rPr>
                <w:rFonts w:ascii="Times New Roman" w:hAnsi="Times New Roman" w:cs="Times New Roman"/>
                <w:vertAlign w:val="subscript"/>
                <w:lang w:val="en-US"/>
              </w:rPr>
              <w:t xml:space="preserve">(x) </w:t>
            </w:r>
            <w:r w:rsidRPr="00237B91">
              <w:rPr>
                <w:rFonts w:ascii="Times New Roman" w:hAnsi="Times New Roman" w:cs="Times New Roman"/>
                <w:lang w:val="en-US"/>
              </w:rPr>
              <w:t>- 2º semestre</w:t>
            </w:r>
            <w:r w:rsidRPr="00237B91">
              <w:rPr>
                <w:rFonts w:ascii="Times New Roman" w:hAnsi="Times New Roman" w:cs="Times New Roman"/>
                <w:vertAlign w:val="subscript"/>
                <w:lang w:val="en-US"/>
              </w:rPr>
              <w:t xml:space="preserve"> </w:t>
            </w:r>
            <w:r w:rsidRPr="00237B91">
              <w:rPr>
                <w:rFonts w:ascii="Times New Roman" w:hAnsi="Times New Roman" w:cs="Times New Roman"/>
                <w:lang w:val="en-US"/>
              </w:rPr>
              <w:t>= ½ F</w:t>
            </w:r>
            <w:r w:rsidRPr="00237B91">
              <w:rPr>
                <w:rFonts w:ascii="Times New Roman" w:hAnsi="Times New Roman" w:cs="Times New Roman"/>
                <w:vertAlign w:val="subscript"/>
                <w:lang w:val="en-US"/>
              </w:rPr>
              <w:t xml:space="preserve">total-y </w:t>
            </w:r>
            <w:r w:rsidRPr="00237B91">
              <w:rPr>
                <w:rFonts w:ascii="Times New Roman" w:hAnsi="Times New Roman" w:cs="Times New Roman"/>
                <w:lang w:val="en-US"/>
              </w:rPr>
              <w:t xml:space="preserve">x Prob </w:t>
            </w:r>
            <w:r w:rsidRPr="00237B91">
              <w:rPr>
                <w:rFonts w:ascii="Times New Roman" w:hAnsi="Times New Roman" w:cs="Times New Roman"/>
                <w:vertAlign w:val="subscript"/>
                <w:lang w:val="en-US"/>
              </w:rPr>
              <w:t>(x)</w:t>
            </w:r>
          </w:p>
        </w:tc>
      </w:tr>
      <w:tr w:rsidR="00250A9A" w:rsidRPr="00237B91" w14:paraId="1A21B647" w14:textId="77777777" w:rsidTr="00F70404">
        <w:trPr>
          <w:jc w:val="center"/>
        </w:trPr>
        <w:tc>
          <w:tcPr>
            <w:tcW w:w="7125" w:type="dxa"/>
            <w:hideMark/>
          </w:tcPr>
          <w:p w14:paraId="18308B30" w14:textId="77777777" w:rsidR="00250A9A" w:rsidRPr="00237B91" w:rsidRDefault="00250A9A" w:rsidP="007C7430">
            <w:pPr>
              <w:pStyle w:val="BodyText"/>
              <w:spacing w:after="60" w:line="288" w:lineRule="auto"/>
              <w:rPr>
                <w:rFonts w:ascii="Times New Roman" w:hAnsi="Times New Roman" w:cs="Times New Roman"/>
                <w:sz w:val="22"/>
                <w:szCs w:val="22"/>
                <w:lang w:eastAsia="en-US"/>
              </w:rPr>
            </w:pPr>
            <w:r w:rsidRPr="00237B91">
              <w:rPr>
                <w:rFonts w:ascii="Times New Roman" w:hAnsi="Times New Roman" w:cs="Times New Roman"/>
                <w:sz w:val="22"/>
                <w:szCs w:val="22"/>
                <w:lang w:eastAsia="en-US"/>
              </w:rPr>
              <w:t xml:space="preserve">RA - Risco Ambiental do CVA/SVA </w:t>
            </w:r>
            <w:r w:rsidRPr="00237B91">
              <w:rPr>
                <w:rFonts w:ascii="Times New Roman" w:hAnsi="Times New Roman" w:cs="Times New Roman"/>
                <w:i/>
                <w:sz w:val="22"/>
                <w:szCs w:val="22"/>
                <w:lang w:eastAsia="en-US"/>
              </w:rPr>
              <w:t>x</w:t>
            </w:r>
            <w:r w:rsidRPr="00237B91">
              <w:rPr>
                <w:rFonts w:ascii="Times New Roman" w:hAnsi="Times New Roman" w:cs="Times New Roman"/>
                <w:sz w:val="22"/>
                <w:szCs w:val="22"/>
                <w:lang w:eastAsia="en-US"/>
              </w:rPr>
              <w:t xml:space="preserve">. </w:t>
            </w:r>
          </w:p>
          <w:p w14:paraId="195864E4" w14:textId="77777777" w:rsidR="00250A9A" w:rsidRPr="00237B91" w:rsidRDefault="00250A9A" w:rsidP="007C7430">
            <w:pPr>
              <w:pStyle w:val="BodyText"/>
              <w:spacing w:after="60" w:line="288" w:lineRule="auto"/>
              <w:rPr>
                <w:rFonts w:ascii="Times New Roman" w:hAnsi="Times New Roman" w:cs="Times New Roman"/>
                <w:sz w:val="22"/>
                <w:szCs w:val="22"/>
                <w:lang w:eastAsia="en-US"/>
              </w:rPr>
            </w:pPr>
            <w:r w:rsidRPr="00237B91">
              <w:rPr>
                <w:rFonts w:ascii="Times New Roman" w:hAnsi="Times New Roman" w:cs="Times New Roman"/>
                <w:sz w:val="22"/>
                <w:szCs w:val="22"/>
                <w:lang w:eastAsia="en-US"/>
              </w:rPr>
              <w:t>x – CVA em determinado vazamento (faixa de volume) e cenário sazonal.</w:t>
            </w:r>
          </w:p>
          <w:p w14:paraId="6F2337FF" w14:textId="77777777" w:rsidR="00250A9A" w:rsidRPr="00237B91" w:rsidRDefault="00250A9A" w:rsidP="007C7430">
            <w:pPr>
              <w:pStyle w:val="BodyText"/>
              <w:spacing w:after="60" w:line="288" w:lineRule="auto"/>
              <w:rPr>
                <w:rFonts w:ascii="Times New Roman" w:hAnsi="Times New Roman" w:cs="Times New Roman"/>
                <w:sz w:val="22"/>
                <w:szCs w:val="22"/>
                <w:lang w:eastAsia="en-US"/>
              </w:rPr>
            </w:pPr>
            <w:r w:rsidRPr="00237B91">
              <w:rPr>
                <w:rFonts w:ascii="Times New Roman" w:hAnsi="Times New Roman" w:cs="Times New Roman"/>
                <w:sz w:val="22"/>
                <w:szCs w:val="22"/>
                <w:lang w:eastAsia="en-US"/>
              </w:rPr>
              <w:t>F</w:t>
            </w:r>
            <w:r w:rsidRPr="00237B91">
              <w:rPr>
                <w:rFonts w:ascii="Times New Roman" w:hAnsi="Times New Roman" w:cs="Times New Roman"/>
                <w:sz w:val="22"/>
                <w:szCs w:val="22"/>
                <w:vertAlign w:val="subscript"/>
                <w:lang w:eastAsia="en-US"/>
              </w:rPr>
              <w:t xml:space="preserve">total-y </w:t>
            </w:r>
            <w:r w:rsidRPr="00237B91">
              <w:rPr>
                <w:rFonts w:ascii="Times New Roman" w:hAnsi="Times New Roman" w:cs="Times New Roman"/>
                <w:sz w:val="22"/>
                <w:szCs w:val="22"/>
                <w:lang w:eastAsia="en-US"/>
              </w:rPr>
              <w:t xml:space="preserve">- Frequência de ocorrência dos cenários acidentais na faixa de volume </w:t>
            </w:r>
            <w:r w:rsidRPr="00237B91">
              <w:rPr>
                <w:rFonts w:ascii="Times New Roman" w:hAnsi="Times New Roman" w:cs="Times New Roman"/>
                <w:i/>
                <w:sz w:val="22"/>
                <w:szCs w:val="22"/>
                <w:lang w:eastAsia="en-US"/>
              </w:rPr>
              <w:t>y</w:t>
            </w:r>
            <w:r w:rsidRPr="00237B91">
              <w:rPr>
                <w:rFonts w:ascii="Times New Roman" w:hAnsi="Times New Roman" w:cs="Times New Roman"/>
                <w:sz w:val="22"/>
                <w:szCs w:val="22"/>
                <w:lang w:eastAsia="en-US"/>
              </w:rPr>
              <w:t>.</w:t>
            </w:r>
          </w:p>
          <w:p w14:paraId="3528222E" w14:textId="77777777" w:rsidR="00250A9A" w:rsidRPr="00237B91" w:rsidRDefault="00250A9A" w:rsidP="007C7430">
            <w:pPr>
              <w:pStyle w:val="BodyText"/>
              <w:spacing w:after="60" w:line="288" w:lineRule="auto"/>
              <w:rPr>
                <w:rFonts w:ascii="Times New Roman" w:hAnsi="Times New Roman" w:cs="Times New Roman"/>
                <w:sz w:val="22"/>
                <w:szCs w:val="22"/>
                <w:lang w:eastAsia="en-US"/>
              </w:rPr>
            </w:pPr>
            <w:r w:rsidRPr="00237B91">
              <w:rPr>
                <w:rFonts w:ascii="Times New Roman" w:hAnsi="Times New Roman" w:cs="Times New Roman"/>
                <w:sz w:val="22"/>
                <w:szCs w:val="22"/>
                <w:lang w:eastAsia="en-US"/>
              </w:rPr>
              <w:t>y - Faixa de volume.</w:t>
            </w:r>
          </w:p>
          <w:p w14:paraId="46C4464A" w14:textId="77777777" w:rsidR="00250A9A" w:rsidRPr="00237B91" w:rsidRDefault="00250A9A" w:rsidP="004F0108">
            <w:pPr>
              <w:pStyle w:val="BodyText"/>
              <w:spacing w:after="0" w:line="288" w:lineRule="auto"/>
              <w:rPr>
                <w:rFonts w:ascii="Times New Roman" w:hAnsi="Times New Roman" w:cs="Times New Roman"/>
                <w:sz w:val="22"/>
                <w:szCs w:val="22"/>
                <w:lang w:eastAsia="en-US"/>
              </w:rPr>
            </w:pPr>
            <w:r w:rsidRPr="00237B91">
              <w:rPr>
                <w:rFonts w:ascii="Times New Roman" w:hAnsi="Times New Roman" w:cs="Times New Roman"/>
                <w:sz w:val="22"/>
                <w:szCs w:val="22"/>
                <w:lang w:eastAsia="en-US"/>
              </w:rPr>
              <w:t xml:space="preserve">Prob - Probabilidade de o óleo atingir o CVA/SVA </w:t>
            </w:r>
            <w:r w:rsidRPr="00237B91">
              <w:rPr>
                <w:rFonts w:ascii="Times New Roman" w:hAnsi="Times New Roman" w:cs="Times New Roman"/>
                <w:i/>
                <w:sz w:val="22"/>
                <w:szCs w:val="22"/>
                <w:lang w:eastAsia="en-US"/>
              </w:rPr>
              <w:t>x</w:t>
            </w:r>
            <w:r w:rsidRPr="00237B91">
              <w:rPr>
                <w:rFonts w:ascii="Times New Roman" w:hAnsi="Times New Roman" w:cs="Times New Roman"/>
                <w:sz w:val="22"/>
                <w:szCs w:val="22"/>
                <w:lang w:eastAsia="en-US"/>
              </w:rPr>
              <w:t>.</w:t>
            </w:r>
          </w:p>
          <w:p w14:paraId="5FB411F4" w14:textId="3B3A4DB7" w:rsidR="00CF2435" w:rsidRPr="00237B91" w:rsidRDefault="00CF2435" w:rsidP="00CF2435">
            <w:pPr>
              <w:pStyle w:val="BodyText"/>
              <w:spacing w:after="0" w:line="288" w:lineRule="auto"/>
              <w:rPr>
                <w:rFonts w:ascii="Times New Roman" w:hAnsi="Times New Roman" w:cs="Times New Roman"/>
                <w:sz w:val="22"/>
                <w:szCs w:val="22"/>
                <w:lang w:eastAsia="en-US"/>
              </w:rPr>
            </w:pPr>
          </w:p>
        </w:tc>
      </w:tr>
    </w:tbl>
    <w:bookmarkEnd w:id="3"/>
    <w:p w14:paraId="35CDE210" w14:textId="29737379" w:rsidR="00CF2435" w:rsidRPr="00237B91" w:rsidRDefault="00CF2435" w:rsidP="00CF2435">
      <w:pPr>
        <w:pStyle w:val="BodyText"/>
        <w:spacing w:after="0" w:line="288" w:lineRule="auto"/>
        <w:ind w:left="720"/>
        <w:jc w:val="both"/>
        <w:rPr>
          <w:rFonts w:ascii="Times New Roman" w:hAnsi="Times New Roman" w:cs="Times New Roman"/>
          <w:sz w:val="22"/>
          <w:szCs w:val="22"/>
          <w:lang w:eastAsia="en-US"/>
        </w:rPr>
      </w:pPr>
      <w:r w:rsidRPr="00237B91">
        <w:rPr>
          <w:rFonts w:ascii="Times New Roman" w:hAnsi="Times New Roman" w:cs="Times New Roman"/>
          <w:sz w:val="22"/>
          <w:szCs w:val="22"/>
          <w:lang w:eastAsia="en-US"/>
        </w:rPr>
        <w:t>Adicionalmen</w:t>
      </w:r>
      <w:r w:rsidR="008C2A92" w:rsidRPr="00237B91">
        <w:rPr>
          <w:rFonts w:ascii="Times New Roman" w:hAnsi="Times New Roman" w:cs="Times New Roman"/>
          <w:sz w:val="22"/>
          <w:szCs w:val="22"/>
          <w:lang w:eastAsia="en-US"/>
        </w:rPr>
        <w:t>t</w:t>
      </w:r>
      <w:r w:rsidRPr="00237B91">
        <w:rPr>
          <w:rFonts w:ascii="Times New Roman" w:hAnsi="Times New Roman" w:cs="Times New Roman"/>
          <w:sz w:val="22"/>
          <w:szCs w:val="22"/>
          <w:lang w:eastAsia="en-US"/>
        </w:rPr>
        <w:t>e, vale ressaltar que, a versão de 1998 do padrão NORSOK Z-013 (</w:t>
      </w:r>
      <w:r w:rsidRPr="00237B91">
        <w:rPr>
          <w:rFonts w:ascii="Times New Roman" w:hAnsi="Times New Roman" w:cs="Times New Roman"/>
          <w:i/>
          <w:sz w:val="22"/>
          <w:szCs w:val="22"/>
          <w:lang w:eastAsia="en-US"/>
        </w:rPr>
        <w:t>Risk and Emergency Preparedness Analysis</w:t>
      </w:r>
      <w:r w:rsidRPr="00237B91">
        <w:rPr>
          <w:rFonts w:ascii="Times New Roman" w:hAnsi="Times New Roman" w:cs="Times New Roman"/>
          <w:sz w:val="22"/>
          <w:szCs w:val="22"/>
          <w:lang w:eastAsia="en-US"/>
        </w:rPr>
        <w:t>), da Noruega, determina que para atividades com duração inferior a um ano, as bases para o cálculo dos riscos utilizem o tempo de duração da atividade em questão.</w:t>
      </w:r>
    </w:p>
    <w:p w14:paraId="6B0DE440" w14:textId="3BB2D2A9" w:rsidR="0081166E" w:rsidRPr="00237B91" w:rsidRDefault="00E64896" w:rsidP="00F55006">
      <w:pPr>
        <w:pStyle w:val="BodyText"/>
        <w:numPr>
          <w:ilvl w:val="0"/>
          <w:numId w:val="12"/>
        </w:numPr>
        <w:spacing w:before="200" w:after="0" w:line="288" w:lineRule="auto"/>
        <w:ind w:left="703" w:hanging="357"/>
        <w:jc w:val="both"/>
        <w:rPr>
          <w:rFonts w:ascii="Times New Roman" w:hAnsi="Times New Roman" w:cs="Times New Roman"/>
          <w:sz w:val="22"/>
          <w:szCs w:val="22"/>
        </w:rPr>
      </w:pPr>
      <w:r w:rsidRPr="00237B91">
        <w:rPr>
          <w:rFonts w:ascii="Times New Roman" w:hAnsi="Times New Roman" w:cs="Times New Roman"/>
          <w:sz w:val="22"/>
          <w:szCs w:val="22"/>
        </w:rPr>
        <w:lastRenderedPageBreak/>
        <w:t>Condições extremas de vazamento para a modelagem de dispersão de óleo: É previsto um vazamento ininterrupto d</w:t>
      </w:r>
      <w:r w:rsidR="0081166E" w:rsidRPr="00237B91">
        <w:rPr>
          <w:rFonts w:ascii="Times New Roman" w:hAnsi="Times New Roman" w:cs="Times New Roman"/>
          <w:sz w:val="22"/>
          <w:szCs w:val="22"/>
        </w:rPr>
        <w:t xml:space="preserve">urante 30 dias e mais 30 dias de dispersão </w:t>
      </w:r>
      <w:r w:rsidRPr="00237B91">
        <w:rPr>
          <w:rFonts w:ascii="Times New Roman" w:hAnsi="Times New Roman" w:cs="Times New Roman"/>
          <w:sz w:val="22"/>
          <w:szCs w:val="22"/>
        </w:rPr>
        <w:t xml:space="preserve">do óleo </w:t>
      </w:r>
      <w:r w:rsidR="0081166E" w:rsidRPr="00237B91">
        <w:rPr>
          <w:rFonts w:ascii="Times New Roman" w:hAnsi="Times New Roman" w:cs="Times New Roman"/>
          <w:sz w:val="22"/>
          <w:szCs w:val="22"/>
        </w:rPr>
        <w:t>s</w:t>
      </w:r>
      <w:r w:rsidRPr="00237B91">
        <w:rPr>
          <w:rFonts w:ascii="Times New Roman" w:hAnsi="Times New Roman" w:cs="Times New Roman"/>
          <w:sz w:val="22"/>
          <w:szCs w:val="22"/>
        </w:rPr>
        <w:t xml:space="preserve">em nenhuma ação de contingência. Ressalta-se, contudo, que este cenário não será real, uma vez que a BP possui um Plano de Emergência Individual para a atividade, </w:t>
      </w:r>
      <w:r w:rsidR="00AB5CCB" w:rsidRPr="00237B91">
        <w:rPr>
          <w:rFonts w:ascii="Times New Roman" w:hAnsi="Times New Roman" w:cs="Times New Roman"/>
          <w:sz w:val="22"/>
          <w:szCs w:val="22"/>
        </w:rPr>
        <w:t xml:space="preserve">que deverá ser </w:t>
      </w:r>
      <w:r w:rsidRPr="00237B91">
        <w:rPr>
          <w:rFonts w:ascii="Times New Roman" w:hAnsi="Times New Roman" w:cs="Times New Roman"/>
          <w:sz w:val="22"/>
          <w:szCs w:val="22"/>
        </w:rPr>
        <w:t>avaliado e aprovado pelo IBAMA para o início da perfuração</w:t>
      </w:r>
      <w:r w:rsidR="00AB5CCB" w:rsidRPr="00237B91">
        <w:rPr>
          <w:rFonts w:ascii="Times New Roman" w:hAnsi="Times New Roman" w:cs="Times New Roman"/>
          <w:sz w:val="22"/>
          <w:szCs w:val="22"/>
        </w:rPr>
        <w:t>. Este plano</w:t>
      </w:r>
      <w:r w:rsidRPr="00237B91">
        <w:rPr>
          <w:rFonts w:ascii="Times New Roman" w:hAnsi="Times New Roman" w:cs="Times New Roman"/>
          <w:sz w:val="22"/>
          <w:szCs w:val="22"/>
        </w:rPr>
        <w:t xml:space="preserve"> considera os cenários, as estratégias e técnicas de resposta, e recursos que devem ser ativados no caso de diferentes cenários potenciais de vazamento de óleo</w:t>
      </w:r>
      <w:r w:rsidR="00AB5CCB" w:rsidRPr="00237B91">
        <w:rPr>
          <w:rFonts w:ascii="Times New Roman" w:hAnsi="Times New Roman" w:cs="Times New Roman"/>
          <w:sz w:val="22"/>
          <w:szCs w:val="22"/>
        </w:rPr>
        <w:t xml:space="preserve"> e que </w:t>
      </w:r>
      <w:r w:rsidR="00BE2996" w:rsidRPr="00237B91">
        <w:rPr>
          <w:rFonts w:ascii="Times New Roman" w:hAnsi="Times New Roman" w:cs="Times New Roman"/>
          <w:sz w:val="22"/>
          <w:szCs w:val="22"/>
        </w:rPr>
        <w:t xml:space="preserve">também </w:t>
      </w:r>
      <w:r w:rsidR="00AB5CCB" w:rsidRPr="00237B91">
        <w:rPr>
          <w:rFonts w:ascii="Times New Roman" w:hAnsi="Times New Roman" w:cs="Times New Roman"/>
          <w:sz w:val="22"/>
          <w:szCs w:val="22"/>
        </w:rPr>
        <w:t xml:space="preserve">serão testados </w:t>
      </w:r>
      <w:r w:rsidR="00BE2996" w:rsidRPr="00237B91">
        <w:rPr>
          <w:rFonts w:ascii="Times New Roman" w:hAnsi="Times New Roman" w:cs="Times New Roman"/>
          <w:sz w:val="22"/>
          <w:szCs w:val="22"/>
        </w:rPr>
        <w:t>pelo IBAMA em sua eficiência através de uma Avaliação Pré-Operacional</w:t>
      </w:r>
      <w:r w:rsidRPr="00237B91">
        <w:rPr>
          <w:rFonts w:ascii="Times New Roman" w:hAnsi="Times New Roman" w:cs="Times New Roman"/>
          <w:sz w:val="22"/>
          <w:szCs w:val="22"/>
        </w:rPr>
        <w:t>.</w:t>
      </w:r>
      <w:r w:rsidR="00BE2996" w:rsidRPr="00237B91">
        <w:rPr>
          <w:rFonts w:ascii="Times New Roman" w:hAnsi="Times New Roman" w:cs="Times New Roman"/>
          <w:sz w:val="22"/>
          <w:szCs w:val="22"/>
        </w:rPr>
        <w:t xml:space="preserve">  Adicionalmente, a adoção, pela empresa, de inúmeras medidas preventivas contra a perda de controle de poço, consideradas de alta prioridade </w:t>
      </w:r>
      <w:r w:rsidR="00344EC1" w:rsidRPr="00237B91">
        <w:rPr>
          <w:rFonts w:ascii="Times New Roman" w:hAnsi="Times New Roman" w:cs="Times New Roman"/>
          <w:sz w:val="22"/>
          <w:szCs w:val="22"/>
        </w:rPr>
        <w:t>pela</w:t>
      </w:r>
      <w:r w:rsidR="00BE2996" w:rsidRPr="00237B91">
        <w:rPr>
          <w:rFonts w:ascii="Times New Roman" w:hAnsi="Times New Roman" w:cs="Times New Roman"/>
          <w:sz w:val="22"/>
          <w:szCs w:val="22"/>
        </w:rPr>
        <w:t xml:space="preserve"> </w:t>
      </w:r>
      <w:r w:rsidR="00344EC1" w:rsidRPr="00237B91">
        <w:rPr>
          <w:rFonts w:ascii="Times New Roman" w:hAnsi="Times New Roman" w:cs="Times New Roman"/>
          <w:sz w:val="22"/>
          <w:szCs w:val="22"/>
        </w:rPr>
        <w:t>mesma</w:t>
      </w:r>
      <w:r w:rsidR="00BE2996" w:rsidRPr="00237B91">
        <w:rPr>
          <w:rFonts w:ascii="Times New Roman" w:hAnsi="Times New Roman" w:cs="Times New Roman"/>
          <w:sz w:val="22"/>
          <w:szCs w:val="22"/>
        </w:rPr>
        <w:t>, não são incorporadas à análise dos riscos ambientais.</w:t>
      </w:r>
    </w:p>
    <w:p w14:paraId="0EFA519B" w14:textId="2732AF29" w:rsidR="0081166E" w:rsidRPr="00237B91" w:rsidRDefault="00B360F5" w:rsidP="00F55006">
      <w:pPr>
        <w:pStyle w:val="BodyText"/>
        <w:numPr>
          <w:ilvl w:val="0"/>
          <w:numId w:val="12"/>
        </w:numPr>
        <w:spacing w:before="200" w:after="0" w:line="288" w:lineRule="auto"/>
        <w:ind w:left="703" w:hanging="357"/>
        <w:jc w:val="both"/>
        <w:rPr>
          <w:rFonts w:ascii="Times New Roman" w:hAnsi="Times New Roman" w:cs="Times New Roman"/>
        </w:rPr>
      </w:pPr>
      <w:r w:rsidRPr="00237B91">
        <w:rPr>
          <w:rFonts w:ascii="Times New Roman" w:hAnsi="Times New Roman" w:cs="Times New Roman"/>
          <w:sz w:val="22"/>
          <w:szCs w:val="22"/>
        </w:rPr>
        <w:t>Maiores probabilidades de toque</w:t>
      </w:r>
      <w:r w:rsidRPr="00237B91">
        <w:rPr>
          <w:rFonts w:ascii="Times New Roman" w:hAnsi="Times New Roman" w:cs="Times New Roman"/>
        </w:rPr>
        <w:t xml:space="preserve"> de óleo: Para </w:t>
      </w:r>
      <w:r w:rsidR="00B061BE" w:rsidRPr="00237B91">
        <w:rPr>
          <w:rFonts w:ascii="Times New Roman" w:hAnsi="Times New Roman" w:cs="Times New Roman"/>
        </w:rPr>
        <w:t xml:space="preserve">a grande parte dos CVAs (única exceção é o CVA Recifes Biogênicos para o qual é utilizada a probabilidade de toque de óleo no fundo marinho), </w:t>
      </w:r>
      <w:r w:rsidRPr="00237B91">
        <w:rPr>
          <w:rFonts w:ascii="Times New Roman" w:hAnsi="Times New Roman" w:cs="Times New Roman"/>
        </w:rPr>
        <w:t xml:space="preserve">o cálculo do risco ambiental </w:t>
      </w:r>
      <w:r w:rsidR="0081166E" w:rsidRPr="00237B91">
        <w:rPr>
          <w:rFonts w:ascii="Times New Roman" w:hAnsi="Times New Roman" w:cs="Times New Roman"/>
        </w:rPr>
        <w:t>considera</w:t>
      </w:r>
      <w:r w:rsidR="00B061BE" w:rsidRPr="00237B91">
        <w:rPr>
          <w:rFonts w:ascii="Times New Roman" w:hAnsi="Times New Roman" w:cs="Times New Roman"/>
        </w:rPr>
        <w:t xml:space="preserve"> </w:t>
      </w:r>
      <w:r w:rsidRPr="00237B91">
        <w:rPr>
          <w:rFonts w:ascii="Times New Roman" w:hAnsi="Times New Roman" w:cs="Times New Roman"/>
        </w:rPr>
        <w:t xml:space="preserve">as probabilidades advindas de </w:t>
      </w:r>
      <w:r w:rsidR="0081166E" w:rsidRPr="00237B91">
        <w:rPr>
          <w:rFonts w:ascii="Times New Roman" w:hAnsi="Times New Roman" w:cs="Times New Roman"/>
        </w:rPr>
        <w:t xml:space="preserve">uma modelagem integrada de coluna d’água e superfície, para a qual é adotada a maior probabilidade encontrada no eixo </w:t>
      </w:r>
      <w:r w:rsidR="00376DA1" w:rsidRPr="00237B91">
        <w:rPr>
          <w:rFonts w:ascii="Times New Roman" w:hAnsi="Times New Roman" w:cs="Times New Roman"/>
        </w:rPr>
        <w:t>z</w:t>
      </w:r>
      <w:r w:rsidR="0081166E" w:rsidRPr="00237B91">
        <w:rPr>
          <w:rFonts w:ascii="Times New Roman" w:hAnsi="Times New Roman" w:cs="Times New Roman"/>
        </w:rPr>
        <w:t>, seja</w:t>
      </w:r>
      <w:r w:rsidRPr="00237B91">
        <w:rPr>
          <w:rFonts w:ascii="Times New Roman" w:hAnsi="Times New Roman" w:cs="Times New Roman"/>
        </w:rPr>
        <w:t xml:space="preserve"> ela na coluna ou na superfície. Com isso, </w:t>
      </w:r>
      <w:r w:rsidR="00B061BE" w:rsidRPr="00237B91">
        <w:rPr>
          <w:rFonts w:ascii="Times New Roman" w:hAnsi="Times New Roman" w:cs="Times New Roman"/>
        </w:rPr>
        <w:t>se em determinado ponto a maior probabilidade está na superfície da água, ainda que alguns recursos raramente cheguem até lá, essa será a probabilidade considerada para o c</w:t>
      </w:r>
      <w:r w:rsidR="00E235E9" w:rsidRPr="00237B91">
        <w:rPr>
          <w:rFonts w:ascii="Times New Roman" w:hAnsi="Times New Roman" w:cs="Times New Roman"/>
        </w:rPr>
        <w:t>álculo do risco ambiental do CVA.</w:t>
      </w:r>
    </w:p>
    <w:p w14:paraId="474AB42E" w14:textId="4D04F8DD" w:rsidR="00E07F41" w:rsidRPr="00237B91" w:rsidRDefault="009F29A6" w:rsidP="00016875">
      <w:pPr>
        <w:pStyle w:val="ListParagraph"/>
        <w:numPr>
          <w:ilvl w:val="0"/>
          <w:numId w:val="12"/>
        </w:numPr>
        <w:spacing w:before="240"/>
        <w:ind w:left="714" w:hanging="357"/>
        <w:jc w:val="both"/>
        <w:rPr>
          <w:rFonts w:ascii="Times New Roman" w:hAnsi="Times New Roman" w:cs="Times New Roman"/>
        </w:rPr>
      </w:pPr>
      <w:r w:rsidRPr="00730294">
        <w:rPr>
          <w:rFonts w:ascii="Times New Roman" w:hAnsi="Times New Roman" w:cs="Times New Roman"/>
        </w:rPr>
        <w:t>Desconsideração de fatores como o volume ou massa de óleo e o tempo de exposição do óleo na região do CVA no cálculo da Relação Tempo de Recuperação/Tempo de Ocorrência</w:t>
      </w:r>
      <w:r>
        <w:rPr>
          <w:rFonts w:ascii="Times New Roman" w:hAnsi="Times New Roman" w:cs="Times New Roman"/>
        </w:rPr>
        <w:t>:</w:t>
      </w:r>
      <w:r w:rsidRPr="00730294">
        <w:rPr>
          <w:rFonts w:ascii="Times New Roman" w:hAnsi="Times New Roman" w:cs="Times New Roman"/>
        </w:rPr>
        <w:t xml:space="preserve"> </w:t>
      </w:r>
      <w:r w:rsidR="00730294" w:rsidRPr="00237B91">
        <w:rPr>
          <w:rFonts w:ascii="Times New Roman" w:hAnsi="Times New Roman" w:cs="Times New Roman"/>
        </w:rPr>
        <w:t>De acordo com o padrão NORSOK Z-013, no caso de exposição de determinado recurso ambiental a riscos, a avaliação do dano ambiental e consequente estabelecimento de seu tempo de recuperação deve ser feito considerando a quantidade de óleo que atinge este recurso ambiental, as características físico químicas do óleo, a duração da exposição, a vulnerabilidade deste recurso de acordo com o período do ano e a proporção deste recurso que é afetada de acordo com a área impactada. Na metodologia usada no estudo em questão, estes fatores não são considerados. Apenas considera-se que o dano ocorre caso seja identificada a sobreposição entre os mapas de probabilidade de presença do óleo e os limites geográficos dos CVAs. Se tais fatores fossem considerados, poderiam influenciar os resultados, tornando-os mais precisos, porém, menos conservadores.</w:t>
      </w:r>
    </w:p>
    <w:p w14:paraId="3DF1EF12" w14:textId="44DB2A30" w:rsidR="00AD47AC" w:rsidRDefault="00B360F5" w:rsidP="00F55006">
      <w:pPr>
        <w:pStyle w:val="BodyText"/>
        <w:numPr>
          <w:ilvl w:val="0"/>
          <w:numId w:val="12"/>
        </w:numPr>
        <w:spacing w:before="200" w:after="0" w:line="288" w:lineRule="auto"/>
        <w:ind w:left="703" w:hanging="357"/>
        <w:jc w:val="both"/>
        <w:rPr>
          <w:rFonts w:ascii="Times New Roman" w:hAnsi="Times New Roman" w:cs="Times New Roman"/>
          <w:sz w:val="22"/>
          <w:szCs w:val="22"/>
        </w:rPr>
      </w:pPr>
      <w:r w:rsidRPr="00237B91">
        <w:rPr>
          <w:rFonts w:ascii="Times New Roman" w:hAnsi="Times New Roman" w:cs="Times New Roman"/>
          <w:sz w:val="22"/>
          <w:szCs w:val="22"/>
        </w:rPr>
        <w:t xml:space="preserve">Tempo de Recuperação: </w:t>
      </w:r>
      <w:r w:rsidR="003E1474" w:rsidRPr="00237B91">
        <w:rPr>
          <w:rFonts w:ascii="Times New Roman" w:hAnsi="Times New Roman" w:cs="Times New Roman"/>
          <w:sz w:val="22"/>
          <w:szCs w:val="22"/>
        </w:rPr>
        <w:t>A análise a</w:t>
      </w:r>
      <w:r w:rsidR="0081166E" w:rsidRPr="00237B91">
        <w:rPr>
          <w:rFonts w:ascii="Times New Roman" w:hAnsi="Times New Roman" w:cs="Times New Roman"/>
          <w:sz w:val="22"/>
          <w:szCs w:val="22"/>
        </w:rPr>
        <w:t>dota como tempo de recuperação o maior valor encontrado na bibliografia científica, ainda que seja este</w:t>
      </w:r>
      <w:r w:rsidR="00AD47AC" w:rsidRPr="00237B91">
        <w:rPr>
          <w:rFonts w:ascii="Times New Roman" w:hAnsi="Times New Roman" w:cs="Times New Roman"/>
          <w:sz w:val="22"/>
          <w:szCs w:val="22"/>
        </w:rPr>
        <w:t>,</w:t>
      </w:r>
      <w:r w:rsidR="0081166E" w:rsidRPr="00237B91">
        <w:rPr>
          <w:rFonts w:ascii="Times New Roman" w:hAnsi="Times New Roman" w:cs="Times New Roman"/>
          <w:sz w:val="22"/>
          <w:szCs w:val="22"/>
        </w:rPr>
        <w:t xml:space="preserve"> fruto de um incidente com características</w:t>
      </w:r>
      <w:r w:rsidR="003E1474" w:rsidRPr="00237B91">
        <w:rPr>
          <w:rFonts w:ascii="Times New Roman" w:hAnsi="Times New Roman" w:cs="Times New Roman"/>
          <w:sz w:val="22"/>
          <w:szCs w:val="22"/>
        </w:rPr>
        <w:t xml:space="preserve"> ambientais</w:t>
      </w:r>
      <w:r w:rsidR="0081166E" w:rsidRPr="00237B91">
        <w:rPr>
          <w:rFonts w:ascii="Times New Roman" w:hAnsi="Times New Roman" w:cs="Times New Roman"/>
          <w:sz w:val="22"/>
          <w:szCs w:val="22"/>
        </w:rPr>
        <w:t xml:space="preserve"> muito mais graves do que a atividade em questão</w:t>
      </w:r>
      <w:r w:rsidR="00E235E9" w:rsidRPr="00237B91">
        <w:rPr>
          <w:rFonts w:ascii="Times New Roman" w:hAnsi="Times New Roman" w:cs="Times New Roman"/>
          <w:sz w:val="22"/>
          <w:szCs w:val="22"/>
        </w:rPr>
        <w:t>.</w:t>
      </w:r>
      <w:r w:rsidR="003E1474" w:rsidRPr="00237B91">
        <w:rPr>
          <w:rFonts w:ascii="Times New Roman" w:hAnsi="Times New Roman" w:cs="Times New Roman"/>
          <w:sz w:val="22"/>
          <w:szCs w:val="22"/>
        </w:rPr>
        <w:t xml:space="preserve"> Por exemplo, </w:t>
      </w:r>
      <w:r w:rsidR="00441379" w:rsidRPr="00237B91">
        <w:rPr>
          <w:rFonts w:ascii="Times New Roman" w:hAnsi="Times New Roman" w:cs="Times New Roman"/>
          <w:sz w:val="22"/>
          <w:szCs w:val="22"/>
        </w:rPr>
        <w:t xml:space="preserve">IPIECA (1993) indica que a evaporação do óleo em áreas tropicais é maior </w:t>
      </w:r>
      <w:r w:rsidR="003E1474" w:rsidRPr="00237B91">
        <w:rPr>
          <w:rFonts w:ascii="Times New Roman" w:hAnsi="Times New Roman" w:cs="Times New Roman"/>
          <w:sz w:val="22"/>
          <w:szCs w:val="22"/>
        </w:rPr>
        <w:t xml:space="preserve">do </w:t>
      </w:r>
      <w:r w:rsidR="00441379" w:rsidRPr="00237B91">
        <w:rPr>
          <w:rFonts w:ascii="Times New Roman" w:hAnsi="Times New Roman" w:cs="Times New Roman"/>
          <w:sz w:val="22"/>
          <w:szCs w:val="22"/>
        </w:rPr>
        <w:t>que em áreas mais frias e que as temperaturas altas contribuem para diminuição mais rápida dessa toxicidade.</w:t>
      </w:r>
      <w:r w:rsidR="003E1474" w:rsidRPr="00237B91">
        <w:rPr>
          <w:rFonts w:ascii="Times New Roman" w:hAnsi="Times New Roman" w:cs="Times New Roman"/>
          <w:sz w:val="22"/>
          <w:szCs w:val="22"/>
        </w:rPr>
        <w:t xml:space="preserve"> No entanto, tempos de recuperação adotados em estudos realizados no Alasca, região de clima polar, são usados para definição do tempo de recuperação. Além disso, a determinação dos tempos de recuperação considera estudos de caso provenientes de vazamentos </w:t>
      </w:r>
      <w:r w:rsidR="00D41229" w:rsidRPr="00237B91">
        <w:rPr>
          <w:rFonts w:ascii="Times New Roman" w:hAnsi="Times New Roman" w:cs="Times New Roman"/>
          <w:sz w:val="22"/>
          <w:szCs w:val="22"/>
        </w:rPr>
        <w:t xml:space="preserve">afastados ou próximos da costa. Ainda que vazamentos próximos à costa sejam comprovadamente mais graves, principalmente quando considerados ambientes de baixa energia como baías, estuários, manguezais e marismas, </w:t>
      </w:r>
      <w:r w:rsidR="00334BCF" w:rsidRPr="00237B91">
        <w:rPr>
          <w:rFonts w:ascii="Times New Roman" w:hAnsi="Times New Roman" w:cs="Times New Roman"/>
          <w:sz w:val="22"/>
          <w:szCs w:val="22"/>
        </w:rPr>
        <w:t>esses tempos foram utilizados para determinação do tempo de recuperação dos CVAs identificados na ARA elaborada para a atividade da BP na Bacia da Foz do Amazonas</w:t>
      </w:r>
      <w:r w:rsidR="00771280" w:rsidRPr="00237B91">
        <w:rPr>
          <w:rFonts w:ascii="Times New Roman" w:hAnsi="Times New Roman" w:cs="Times New Roman"/>
          <w:sz w:val="22"/>
          <w:szCs w:val="22"/>
        </w:rPr>
        <w:t xml:space="preserve">, cuja </w:t>
      </w:r>
      <w:r w:rsidR="00AD47AC" w:rsidRPr="00237B91">
        <w:rPr>
          <w:rFonts w:ascii="Times New Roman" w:hAnsi="Times New Roman" w:cs="Times New Roman"/>
          <w:sz w:val="22"/>
          <w:szCs w:val="22"/>
        </w:rPr>
        <w:t xml:space="preserve">distância mínima </w:t>
      </w:r>
      <w:r w:rsidR="00771280" w:rsidRPr="00237B91">
        <w:rPr>
          <w:rFonts w:ascii="Times New Roman" w:hAnsi="Times New Roman" w:cs="Times New Roman"/>
          <w:sz w:val="22"/>
          <w:szCs w:val="22"/>
        </w:rPr>
        <w:t xml:space="preserve">da costa é </w:t>
      </w:r>
      <w:r w:rsidR="00AD47AC" w:rsidRPr="00237B91">
        <w:rPr>
          <w:rFonts w:ascii="Times New Roman" w:hAnsi="Times New Roman" w:cs="Times New Roman"/>
          <w:sz w:val="22"/>
          <w:szCs w:val="22"/>
        </w:rPr>
        <w:t xml:space="preserve">de 159 </w:t>
      </w:r>
      <w:r w:rsidR="00161EE3" w:rsidRPr="00237B91">
        <w:rPr>
          <w:rFonts w:ascii="Times New Roman" w:hAnsi="Times New Roman" w:cs="Times New Roman"/>
          <w:sz w:val="22"/>
          <w:szCs w:val="22"/>
        </w:rPr>
        <w:t>k</w:t>
      </w:r>
      <w:r w:rsidR="00AD47AC" w:rsidRPr="00237B91">
        <w:rPr>
          <w:rFonts w:ascii="Times New Roman" w:hAnsi="Times New Roman" w:cs="Times New Roman"/>
          <w:sz w:val="22"/>
          <w:szCs w:val="22"/>
        </w:rPr>
        <w:t>m.</w:t>
      </w:r>
    </w:p>
    <w:p w14:paraId="74D5B121" w14:textId="19606515" w:rsidR="00AD47AC" w:rsidRPr="00237B91" w:rsidRDefault="00AD47AC" w:rsidP="00292D09">
      <w:pPr>
        <w:pStyle w:val="BodyText"/>
        <w:numPr>
          <w:ilvl w:val="0"/>
          <w:numId w:val="12"/>
        </w:numPr>
        <w:spacing w:after="0" w:line="288" w:lineRule="auto"/>
        <w:ind w:left="703" w:hanging="357"/>
        <w:jc w:val="both"/>
        <w:rPr>
          <w:rFonts w:ascii="Times New Roman" w:hAnsi="Times New Roman" w:cs="Times New Roman"/>
          <w:sz w:val="22"/>
          <w:szCs w:val="22"/>
        </w:rPr>
      </w:pPr>
      <w:r w:rsidRPr="00237B91">
        <w:rPr>
          <w:rFonts w:ascii="Times New Roman" w:hAnsi="Times New Roman" w:cs="Times New Roman"/>
          <w:sz w:val="22"/>
          <w:szCs w:val="22"/>
        </w:rPr>
        <w:lastRenderedPageBreak/>
        <w:t xml:space="preserve"> Tempo de Recuperação solicitado pelo Ó</w:t>
      </w:r>
      <w:r w:rsidR="00A26538" w:rsidRPr="00237B91">
        <w:rPr>
          <w:rFonts w:ascii="Times New Roman" w:hAnsi="Times New Roman" w:cs="Times New Roman"/>
          <w:sz w:val="22"/>
          <w:szCs w:val="22"/>
        </w:rPr>
        <w:t xml:space="preserve">rgão Ambiental: A subjetividade e a </w:t>
      </w:r>
      <w:r w:rsidR="008C0D80" w:rsidRPr="00237B91">
        <w:rPr>
          <w:rFonts w:ascii="Times New Roman" w:hAnsi="Times New Roman" w:cs="Times New Roman"/>
          <w:sz w:val="22"/>
          <w:szCs w:val="22"/>
        </w:rPr>
        <w:t>escassez de referências bibliográficas que abordem tempos de recuperação de comunidades biológicas ou ecossistemas dificulta uma definição definitiva dos valores adotados. Diante disso, ainda que não necessariamente corroboradas cientificamente, entendeu-se que solicitações feitas por esta COEXP deveriam ser atendidas. Sendo assim, tempos de recuperação para alguns CVAs sofreram aumento considerável, como, por exemplo, avifauna e quelônios, que tiveram seus tempos de recuperação duplicados ao longo do processo.</w:t>
      </w:r>
    </w:p>
    <w:p w14:paraId="53C4B1B6" w14:textId="5FA92CAE" w:rsidR="00C32BA3" w:rsidRPr="00237B91" w:rsidRDefault="00B360F5" w:rsidP="00292D09">
      <w:pPr>
        <w:pStyle w:val="BodyText"/>
        <w:numPr>
          <w:ilvl w:val="0"/>
          <w:numId w:val="12"/>
        </w:numPr>
        <w:spacing w:before="120" w:after="0" w:line="288" w:lineRule="auto"/>
        <w:ind w:left="703" w:hanging="357"/>
        <w:jc w:val="both"/>
        <w:rPr>
          <w:rFonts w:ascii="Times New Roman" w:hAnsi="Times New Roman" w:cs="Times New Roman"/>
          <w:sz w:val="22"/>
          <w:szCs w:val="22"/>
        </w:rPr>
      </w:pPr>
      <w:r w:rsidRPr="00237B91">
        <w:rPr>
          <w:rFonts w:ascii="Times New Roman" w:hAnsi="Times New Roman" w:cs="Times New Roman"/>
          <w:sz w:val="22"/>
          <w:szCs w:val="22"/>
        </w:rPr>
        <w:t xml:space="preserve"> Classificação dos CVAs quanto ao critério de distribuição</w:t>
      </w:r>
      <w:r w:rsidR="00C32BA3" w:rsidRPr="00237B91">
        <w:rPr>
          <w:rFonts w:ascii="Times New Roman" w:hAnsi="Times New Roman" w:cs="Times New Roman"/>
          <w:sz w:val="22"/>
          <w:szCs w:val="22"/>
        </w:rPr>
        <w:t xml:space="preserve"> (Fixo ou Difuso)</w:t>
      </w:r>
      <w:r w:rsidRPr="00237B91">
        <w:rPr>
          <w:rFonts w:ascii="Times New Roman" w:hAnsi="Times New Roman" w:cs="Times New Roman"/>
          <w:sz w:val="22"/>
          <w:szCs w:val="22"/>
        </w:rPr>
        <w:t>:</w:t>
      </w:r>
      <w:r w:rsidR="00E07F41" w:rsidRPr="00237B91">
        <w:rPr>
          <w:rFonts w:ascii="Times New Roman" w:hAnsi="Times New Roman" w:cs="Times New Roman"/>
          <w:sz w:val="22"/>
          <w:szCs w:val="22"/>
        </w:rPr>
        <w:t xml:space="preserve"> </w:t>
      </w:r>
      <w:r w:rsidR="00C32BA3" w:rsidRPr="00237B91">
        <w:rPr>
          <w:rFonts w:ascii="Times New Roman" w:hAnsi="Times New Roman" w:cs="Times New Roman"/>
          <w:sz w:val="22"/>
          <w:szCs w:val="22"/>
        </w:rPr>
        <w:t>Conforme descrito na metodologia da Análise de Risco, os componentes fixos se referem a componentes que não possuem mobilidade (no caso dos ecossistemas) ou até a apresentam, porém, desenvolvem atividades restritas à determinada área, se concentrando na mesma, como é o caso de sítios reprodutivos e áreas de forrageamento. No entanto, foi solicitado por esta COEXP</w:t>
      </w:r>
      <w:r w:rsidR="00771280" w:rsidRPr="00237B91">
        <w:rPr>
          <w:rFonts w:ascii="Times New Roman" w:hAnsi="Times New Roman" w:cs="Times New Roman"/>
          <w:sz w:val="22"/>
          <w:szCs w:val="22"/>
        </w:rPr>
        <w:t>, para este processo específico,</w:t>
      </w:r>
      <w:r w:rsidR="00C32BA3" w:rsidRPr="00237B91">
        <w:rPr>
          <w:rFonts w:ascii="Times New Roman" w:hAnsi="Times New Roman" w:cs="Times New Roman"/>
          <w:sz w:val="22"/>
          <w:szCs w:val="22"/>
        </w:rPr>
        <w:t xml:space="preserve"> que toda a rota migratória de aves fosse considerada um componente fixo (para o qual é utilizada a maior probabilidade de toque de óleo no cálculo do risco ambiental). Na ausência de trabalhos científicos que definam claramente uma rota migratória para este grupo biológico, toda a bacia da Foz do Amazonas foi considerada uma rota migratória e, consequentemente, este CVA passou a ser fixo. </w:t>
      </w:r>
      <w:r w:rsidR="00E07354" w:rsidRPr="00237B91">
        <w:rPr>
          <w:rFonts w:ascii="Times New Roman" w:hAnsi="Times New Roman" w:cs="Times New Roman"/>
          <w:sz w:val="22"/>
          <w:szCs w:val="22"/>
        </w:rPr>
        <w:t xml:space="preserve">Com essa consideração, </w:t>
      </w:r>
      <w:r w:rsidR="004C3211" w:rsidRPr="00237B91">
        <w:rPr>
          <w:rFonts w:ascii="Times New Roman" w:hAnsi="Times New Roman" w:cs="Times New Roman"/>
          <w:sz w:val="22"/>
          <w:szCs w:val="22"/>
        </w:rPr>
        <w:t xml:space="preserve">a interpretação que se tem é </w:t>
      </w:r>
      <w:r w:rsidR="00C32BA3" w:rsidRPr="00237B91">
        <w:rPr>
          <w:rFonts w:ascii="Times New Roman" w:hAnsi="Times New Roman" w:cs="Times New Roman"/>
          <w:b/>
          <w:sz w:val="22"/>
          <w:szCs w:val="22"/>
        </w:rPr>
        <w:t>que toda e qualquer ave marinha da Bacia da Foz do Amazonas seria atingida por óleo em caso de vazamento</w:t>
      </w:r>
      <w:r w:rsidR="00C32BA3" w:rsidRPr="00237B91">
        <w:rPr>
          <w:rFonts w:ascii="Times New Roman" w:hAnsi="Times New Roman" w:cs="Times New Roman"/>
          <w:sz w:val="22"/>
          <w:szCs w:val="22"/>
        </w:rPr>
        <w:t>.</w:t>
      </w:r>
    </w:p>
    <w:p w14:paraId="5860D853" w14:textId="77777777" w:rsidR="00E05CF6" w:rsidRPr="00237B91" w:rsidRDefault="00E05CF6" w:rsidP="00324ACC">
      <w:pPr>
        <w:spacing w:after="0" w:line="288" w:lineRule="auto"/>
        <w:jc w:val="both"/>
        <w:rPr>
          <w:rFonts w:ascii="Times New Roman" w:hAnsi="Times New Roman" w:cs="Times New Roman"/>
        </w:rPr>
      </w:pPr>
    </w:p>
    <w:p w14:paraId="55C9784B" w14:textId="2B8BEFF2" w:rsidR="00324ACC" w:rsidRPr="00237B91" w:rsidRDefault="00664D1C" w:rsidP="00324ACC">
      <w:pPr>
        <w:spacing w:after="0" w:line="288" w:lineRule="auto"/>
        <w:jc w:val="both"/>
        <w:rPr>
          <w:rFonts w:ascii="Times New Roman" w:hAnsi="Times New Roman" w:cs="Times New Roman"/>
        </w:rPr>
      </w:pPr>
      <w:r w:rsidRPr="00237B91">
        <w:rPr>
          <w:rFonts w:ascii="Times New Roman" w:hAnsi="Times New Roman" w:cs="Times New Roman"/>
        </w:rPr>
        <w:t xml:space="preserve">No que diz respeito </w:t>
      </w:r>
      <w:r w:rsidR="008D6818" w:rsidRPr="00237B91">
        <w:rPr>
          <w:rFonts w:ascii="Times New Roman" w:hAnsi="Times New Roman" w:cs="Times New Roman"/>
        </w:rPr>
        <w:t>à relação Tempo de Recuperação/Tempo de Ocorrência,</w:t>
      </w:r>
      <w:r w:rsidR="00A3277D" w:rsidRPr="00237B91">
        <w:rPr>
          <w:rFonts w:ascii="Times New Roman" w:hAnsi="Times New Roman" w:cs="Times New Roman"/>
        </w:rPr>
        <w:t xml:space="preserve"> </w:t>
      </w:r>
      <w:r w:rsidR="00324ACC" w:rsidRPr="00237B91">
        <w:rPr>
          <w:rFonts w:ascii="Times New Roman" w:hAnsi="Times New Roman" w:cs="Times New Roman"/>
        </w:rPr>
        <w:t>vale dizer que</w:t>
      </w:r>
      <w:r w:rsidR="001042CE" w:rsidRPr="00237B91">
        <w:rPr>
          <w:rFonts w:ascii="Times New Roman" w:hAnsi="Times New Roman" w:cs="Times New Roman"/>
        </w:rPr>
        <w:t xml:space="preserve"> conforme a metodologia proposta</w:t>
      </w:r>
      <w:r w:rsidR="00344EC1" w:rsidRPr="00237B91">
        <w:rPr>
          <w:rFonts w:ascii="Times New Roman" w:hAnsi="Times New Roman" w:cs="Times New Roman"/>
        </w:rPr>
        <w:t>,</w:t>
      </w:r>
      <w:r w:rsidR="001042CE" w:rsidRPr="00237B91">
        <w:rPr>
          <w:rFonts w:ascii="Times New Roman" w:hAnsi="Times New Roman" w:cs="Times New Roman"/>
        </w:rPr>
        <w:t xml:space="preserve"> el</w:t>
      </w:r>
      <w:r w:rsidR="008D6818" w:rsidRPr="00237B91">
        <w:rPr>
          <w:rFonts w:ascii="Times New Roman" w:hAnsi="Times New Roman" w:cs="Times New Roman"/>
        </w:rPr>
        <w:t>a</w:t>
      </w:r>
      <w:r w:rsidR="001042CE" w:rsidRPr="00237B91">
        <w:rPr>
          <w:rFonts w:ascii="Times New Roman" w:hAnsi="Times New Roman" w:cs="Times New Roman"/>
        </w:rPr>
        <w:t xml:space="preserve"> deve refletir</w:t>
      </w:r>
      <w:r w:rsidR="00324ACC" w:rsidRPr="00237B91">
        <w:rPr>
          <w:rFonts w:ascii="Times New Roman" w:hAnsi="Times New Roman" w:cs="Times New Roman"/>
        </w:rPr>
        <w:t xml:space="preserve"> a viabilidade do empreendimento a partir dos riscos associados à atividade frente aos possíveis danos causados a cada CVA, correlacionando duas variáveis de tempo: a recorrência dos eventos e o tempo máximo de recuperação do CVA. Por exemplo, se o resultado deste índice, para um determinado CVA, é de 1%, significa que este mesmo componente ambiental teria 100 vezes mais tempo de se recuperar, antes de ser atingido por outro evento de mesma magnitude. </w:t>
      </w:r>
      <w:r w:rsidR="0002049A" w:rsidRPr="00237B91">
        <w:rPr>
          <w:rFonts w:ascii="Times New Roman" w:hAnsi="Times New Roman" w:cs="Times New Roman"/>
        </w:rPr>
        <w:t xml:space="preserve">No caso do presente estudo, cujo maior índice obtido foi de 11,88% (para aves marinhas nos cenários acidentais de pior caso), </w:t>
      </w:r>
      <w:r w:rsidR="00324ACC" w:rsidRPr="00237B91">
        <w:rPr>
          <w:rFonts w:ascii="Times New Roman" w:hAnsi="Times New Roman" w:cs="Times New Roman"/>
        </w:rPr>
        <w:t xml:space="preserve">o componente teria </w:t>
      </w:r>
      <w:r w:rsidR="00770602" w:rsidRPr="00237B91">
        <w:rPr>
          <w:rFonts w:ascii="Times New Roman" w:hAnsi="Times New Roman" w:cs="Times New Roman"/>
        </w:rPr>
        <w:t>8,47</w:t>
      </w:r>
      <w:r w:rsidR="00324ACC" w:rsidRPr="00237B91">
        <w:rPr>
          <w:rFonts w:ascii="Times New Roman" w:hAnsi="Times New Roman" w:cs="Times New Roman"/>
        </w:rPr>
        <w:t xml:space="preserve"> vezes mais tempo de se recuperar, antes da ocorrência de outro evento acidental. </w:t>
      </w:r>
    </w:p>
    <w:p w14:paraId="1D0A3C7B" w14:textId="77777777" w:rsidR="00324ACC" w:rsidRPr="00237B91" w:rsidRDefault="00324ACC" w:rsidP="00324ACC">
      <w:pPr>
        <w:spacing w:after="0" w:line="288" w:lineRule="auto"/>
        <w:jc w:val="both"/>
        <w:rPr>
          <w:rFonts w:ascii="Times New Roman" w:hAnsi="Times New Roman" w:cs="Times New Roman"/>
        </w:rPr>
      </w:pPr>
    </w:p>
    <w:p w14:paraId="77171487" w14:textId="2D06B763" w:rsidR="002D7F6B" w:rsidRPr="00237B91" w:rsidRDefault="00324ACC" w:rsidP="00324ACC">
      <w:pPr>
        <w:spacing w:after="0" w:line="288" w:lineRule="auto"/>
        <w:jc w:val="both"/>
        <w:rPr>
          <w:rFonts w:ascii="Times New Roman" w:hAnsi="Times New Roman" w:cs="Times New Roman"/>
        </w:rPr>
      </w:pPr>
      <w:r w:rsidRPr="00237B91">
        <w:rPr>
          <w:rFonts w:ascii="Times New Roman" w:hAnsi="Times New Roman" w:cs="Times New Roman"/>
        </w:rPr>
        <w:t>No entanto, não há um</w:t>
      </w:r>
      <w:r w:rsidR="005F465B" w:rsidRPr="00237B91">
        <w:rPr>
          <w:rFonts w:ascii="Times New Roman" w:hAnsi="Times New Roman" w:cs="Times New Roman"/>
        </w:rPr>
        <w:t xml:space="preserve">a referência </w:t>
      </w:r>
      <w:r w:rsidR="0052413B" w:rsidRPr="00237B91">
        <w:rPr>
          <w:rFonts w:ascii="Times New Roman" w:hAnsi="Times New Roman" w:cs="Times New Roman"/>
        </w:rPr>
        <w:t xml:space="preserve">universalmente aceita </w:t>
      </w:r>
      <w:r w:rsidR="008D6818" w:rsidRPr="00237B91">
        <w:rPr>
          <w:rFonts w:ascii="Times New Roman" w:hAnsi="Times New Roman" w:cs="Times New Roman"/>
        </w:rPr>
        <w:t xml:space="preserve">na literatura ou orientação/regulamentação específica </w:t>
      </w:r>
      <w:r w:rsidR="00C41DE5" w:rsidRPr="00237B91">
        <w:rPr>
          <w:rFonts w:ascii="Times New Roman" w:hAnsi="Times New Roman" w:cs="Times New Roman"/>
        </w:rPr>
        <w:t xml:space="preserve">por parte de autoridades </w:t>
      </w:r>
      <w:r w:rsidR="008D6818" w:rsidRPr="00237B91">
        <w:rPr>
          <w:rFonts w:ascii="Times New Roman" w:hAnsi="Times New Roman" w:cs="Times New Roman"/>
        </w:rPr>
        <w:t xml:space="preserve">quanto a um </w:t>
      </w:r>
      <w:r w:rsidRPr="00237B91">
        <w:rPr>
          <w:rFonts w:ascii="Times New Roman" w:hAnsi="Times New Roman" w:cs="Times New Roman"/>
        </w:rPr>
        <w:t xml:space="preserve">limiar de índice de tolerabilidade </w:t>
      </w:r>
      <w:r w:rsidR="00175EC2" w:rsidRPr="00237B91">
        <w:rPr>
          <w:rFonts w:ascii="Times New Roman" w:hAnsi="Times New Roman" w:cs="Times New Roman"/>
        </w:rPr>
        <w:t xml:space="preserve">(ou de Relação do Tempo de Ocorrência/Tempo de Recuperação) </w:t>
      </w:r>
      <w:r w:rsidRPr="00237B91">
        <w:rPr>
          <w:rFonts w:ascii="Times New Roman" w:hAnsi="Times New Roman" w:cs="Times New Roman"/>
        </w:rPr>
        <w:t>que determine até onde o risco é ou não aceitável</w:t>
      </w:r>
      <w:r w:rsidR="005F465B" w:rsidRPr="00237B91">
        <w:rPr>
          <w:rFonts w:ascii="Times New Roman" w:hAnsi="Times New Roman" w:cs="Times New Roman"/>
        </w:rPr>
        <w:t xml:space="preserve">.  Ainda que </w:t>
      </w:r>
      <w:r w:rsidR="0038517E" w:rsidRPr="00237B91">
        <w:rPr>
          <w:rFonts w:ascii="Times New Roman" w:hAnsi="Times New Roman" w:cs="Times New Roman"/>
        </w:rPr>
        <w:t>se propusesse</w:t>
      </w:r>
      <w:r w:rsidR="00C41DE5" w:rsidRPr="00237B91">
        <w:rPr>
          <w:rFonts w:ascii="Times New Roman" w:hAnsi="Times New Roman" w:cs="Times New Roman"/>
        </w:rPr>
        <w:t xml:space="preserve"> tal limiar</w:t>
      </w:r>
      <w:r w:rsidR="005F465B" w:rsidRPr="00237B91">
        <w:rPr>
          <w:rFonts w:ascii="Times New Roman" w:hAnsi="Times New Roman" w:cs="Times New Roman"/>
        </w:rPr>
        <w:t xml:space="preserve">, </w:t>
      </w:r>
      <w:r w:rsidR="0038517E" w:rsidRPr="00237B91">
        <w:rPr>
          <w:rFonts w:ascii="Times New Roman" w:hAnsi="Times New Roman" w:cs="Times New Roman"/>
        </w:rPr>
        <w:t>ele</w:t>
      </w:r>
      <w:r w:rsidR="00C41DE5" w:rsidRPr="00237B91">
        <w:rPr>
          <w:rFonts w:ascii="Times New Roman" w:hAnsi="Times New Roman" w:cs="Times New Roman"/>
        </w:rPr>
        <w:t xml:space="preserve"> </w:t>
      </w:r>
      <w:r w:rsidR="005F465B" w:rsidRPr="00237B91">
        <w:rPr>
          <w:rFonts w:ascii="Times New Roman" w:hAnsi="Times New Roman" w:cs="Times New Roman"/>
        </w:rPr>
        <w:t xml:space="preserve">estaria destituído de sentido </w:t>
      </w:r>
      <w:r w:rsidR="0038517E" w:rsidRPr="00237B91">
        <w:rPr>
          <w:rFonts w:ascii="Times New Roman" w:hAnsi="Times New Roman" w:cs="Times New Roman"/>
        </w:rPr>
        <w:t xml:space="preserve">universal </w:t>
      </w:r>
      <w:r w:rsidR="00771280" w:rsidRPr="00237B91">
        <w:rPr>
          <w:rFonts w:ascii="Times New Roman" w:hAnsi="Times New Roman" w:cs="Times New Roman"/>
        </w:rPr>
        <w:t xml:space="preserve">diante da </w:t>
      </w:r>
      <w:r w:rsidR="0038517E" w:rsidRPr="00237B91">
        <w:rPr>
          <w:rFonts w:ascii="Times New Roman" w:hAnsi="Times New Roman" w:cs="Times New Roman"/>
        </w:rPr>
        <w:t xml:space="preserve">natureza quali-quantitativa </w:t>
      </w:r>
      <w:r w:rsidR="005F465B" w:rsidRPr="00237B91">
        <w:rPr>
          <w:rFonts w:ascii="Times New Roman" w:hAnsi="Times New Roman" w:cs="Times New Roman"/>
        </w:rPr>
        <w:t>da</w:t>
      </w:r>
      <w:r w:rsidR="0038517E" w:rsidRPr="00237B91">
        <w:rPr>
          <w:rFonts w:ascii="Times New Roman" w:hAnsi="Times New Roman" w:cs="Times New Roman"/>
        </w:rPr>
        <w:t xml:space="preserve"> metodologia adotada, a</w:t>
      </w:r>
      <w:r w:rsidR="005F465B" w:rsidRPr="00237B91">
        <w:rPr>
          <w:rFonts w:ascii="Times New Roman" w:hAnsi="Times New Roman" w:cs="Times New Roman"/>
        </w:rPr>
        <w:t>s</w:t>
      </w:r>
      <w:r w:rsidR="0038517E" w:rsidRPr="00237B91">
        <w:rPr>
          <w:rFonts w:ascii="Times New Roman" w:hAnsi="Times New Roman" w:cs="Times New Roman"/>
        </w:rPr>
        <w:t xml:space="preserve">sim como </w:t>
      </w:r>
      <w:r w:rsidR="00771280" w:rsidRPr="00237B91">
        <w:rPr>
          <w:rFonts w:ascii="Times New Roman" w:hAnsi="Times New Roman" w:cs="Times New Roman"/>
        </w:rPr>
        <w:t>d</w:t>
      </w:r>
      <w:r w:rsidR="0052413B" w:rsidRPr="00237B91">
        <w:rPr>
          <w:rFonts w:ascii="Times New Roman" w:hAnsi="Times New Roman" w:cs="Times New Roman"/>
        </w:rPr>
        <w:t xml:space="preserve">a forma particularizada com que </w:t>
      </w:r>
      <w:r w:rsidR="002D7F6B" w:rsidRPr="00237B91">
        <w:rPr>
          <w:rFonts w:ascii="Times New Roman" w:hAnsi="Times New Roman" w:cs="Times New Roman"/>
        </w:rPr>
        <w:t>el</w:t>
      </w:r>
      <w:r w:rsidR="0052413B" w:rsidRPr="00237B91">
        <w:rPr>
          <w:rFonts w:ascii="Times New Roman" w:hAnsi="Times New Roman" w:cs="Times New Roman"/>
        </w:rPr>
        <w:t xml:space="preserve">a é aplicada </w:t>
      </w:r>
      <w:r w:rsidR="00F94599" w:rsidRPr="00237B91">
        <w:rPr>
          <w:rFonts w:ascii="Times New Roman" w:hAnsi="Times New Roman" w:cs="Times New Roman"/>
        </w:rPr>
        <w:t>na prática</w:t>
      </w:r>
      <w:r w:rsidR="0052413B" w:rsidRPr="00237B91">
        <w:rPr>
          <w:rFonts w:ascii="Times New Roman" w:hAnsi="Times New Roman" w:cs="Times New Roman"/>
        </w:rPr>
        <w:t xml:space="preserve">, seja </w:t>
      </w:r>
      <w:r w:rsidR="00210AF6" w:rsidRPr="00237B91">
        <w:rPr>
          <w:rFonts w:ascii="Times New Roman" w:hAnsi="Times New Roman" w:cs="Times New Roman"/>
        </w:rPr>
        <w:t>em</w:t>
      </w:r>
      <w:r w:rsidR="0052413B" w:rsidRPr="00237B91">
        <w:rPr>
          <w:rFonts w:ascii="Times New Roman" w:hAnsi="Times New Roman" w:cs="Times New Roman"/>
        </w:rPr>
        <w:t xml:space="preserve"> diferentes processos de licenciamento </w:t>
      </w:r>
      <w:r w:rsidR="00210AF6" w:rsidRPr="00237B91">
        <w:rPr>
          <w:rFonts w:ascii="Times New Roman" w:hAnsi="Times New Roman" w:cs="Times New Roman"/>
        </w:rPr>
        <w:t>ambiental conduzidos p</w:t>
      </w:r>
      <w:r w:rsidR="00771280" w:rsidRPr="00237B91">
        <w:rPr>
          <w:rFonts w:ascii="Times New Roman" w:hAnsi="Times New Roman" w:cs="Times New Roman"/>
        </w:rPr>
        <w:t>elo IBAMA</w:t>
      </w:r>
      <w:r w:rsidR="00210AF6" w:rsidRPr="00237B91">
        <w:rPr>
          <w:rFonts w:ascii="Times New Roman" w:hAnsi="Times New Roman" w:cs="Times New Roman"/>
        </w:rPr>
        <w:t xml:space="preserve"> (tendo em vista diferentes perfis de atividades</w:t>
      </w:r>
      <w:r w:rsidR="002D7F6B" w:rsidRPr="00237B91">
        <w:rPr>
          <w:rFonts w:ascii="Times New Roman" w:hAnsi="Times New Roman" w:cs="Times New Roman"/>
        </w:rPr>
        <w:t>,</w:t>
      </w:r>
      <w:r w:rsidR="00210AF6" w:rsidRPr="00237B91">
        <w:rPr>
          <w:rFonts w:ascii="Times New Roman" w:hAnsi="Times New Roman" w:cs="Times New Roman"/>
        </w:rPr>
        <w:t xml:space="preserve"> sensibilidades ambientais</w:t>
      </w:r>
      <w:r w:rsidR="002D7F6B" w:rsidRPr="00237B91">
        <w:rPr>
          <w:rFonts w:ascii="Times New Roman" w:hAnsi="Times New Roman" w:cs="Times New Roman"/>
        </w:rPr>
        <w:t>, disponibilidade de dados a respeito da região, etc</w:t>
      </w:r>
      <w:r w:rsidR="00210AF6" w:rsidRPr="00237B91">
        <w:rPr>
          <w:rFonts w:ascii="Times New Roman" w:hAnsi="Times New Roman" w:cs="Times New Roman"/>
        </w:rPr>
        <w:t xml:space="preserve">), seja </w:t>
      </w:r>
      <w:r w:rsidR="00771280" w:rsidRPr="00237B91">
        <w:rPr>
          <w:rFonts w:ascii="Times New Roman" w:hAnsi="Times New Roman" w:cs="Times New Roman"/>
        </w:rPr>
        <w:t>por</w:t>
      </w:r>
      <w:r w:rsidR="00210AF6" w:rsidRPr="00237B91">
        <w:rPr>
          <w:rFonts w:ascii="Times New Roman" w:hAnsi="Times New Roman" w:cs="Times New Roman"/>
        </w:rPr>
        <w:t xml:space="preserve"> </w:t>
      </w:r>
      <w:r w:rsidR="002D7F6B" w:rsidRPr="00237B91">
        <w:rPr>
          <w:rFonts w:ascii="Times New Roman" w:hAnsi="Times New Roman" w:cs="Times New Roman"/>
        </w:rPr>
        <w:t xml:space="preserve">diferentes </w:t>
      </w:r>
      <w:r w:rsidR="00771280" w:rsidRPr="00237B91">
        <w:rPr>
          <w:rFonts w:ascii="Times New Roman" w:hAnsi="Times New Roman" w:cs="Times New Roman"/>
        </w:rPr>
        <w:t>unidades federativas</w:t>
      </w:r>
      <w:r w:rsidR="002D7F6B" w:rsidRPr="00237B91">
        <w:rPr>
          <w:rFonts w:ascii="Times New Roman" w:hAnsi="Times New Roman" w:cs="Times New Roman"/>
        </w:rPr>
        <w:t>/autoridades regulatórias que propõem o emprego de metodologias semelhantes em seus processos de licenciamento ambiental.</w:t>
      </w:r>
    </w:p>
    <w:p w14:paraId="40E54970" w14:textId="77777777" w:rsidR="00771280" w:rsidRPr="00237B91" w:rsidRDefault="00771280" w:rsidP="00771280">
      <w:pPr>
        <w:spacing w:after="0" w:line="288" w:lineRule="auto"/>
        <w:jc w:val="both"/>
        <w:rPr>
          <w:rFonts w:ascii="Times New Roman" w:hAnsi="Times New Roman" w:cs="Times New Roman"/>
        </w:rPr>
      </w:pPr>
    </w:p>
    <w:p w14:paraId="21B255DA" w14:textId="48E1FAB7" w:rsidR="00771280" w:rsidRPr="00237B91" w:rsidRDefault="00771280" w:rsidP="00771280">
      <w:pPr>
        <w:spacing w:after="0" w:line="288" w:lineRule="auto"/>
        <w:jc w:val="both"/>
        <w:rPr>
          <w:rFonts w:ascii="Times New Roman" w:hAnsi="Times New Roman" w:cs="Times New Roman"/>
        </w:rPr>
      </w:pPr>
      <w:r w:rsidRPr="00237B91">
        <w:rPr>
          <w:rFonts w:ascii="Times New Roman" w:hAnsi="Times New Roman" w:cs="Times New Roman"/>
        </w:rPr>
        <w:t>Alguns dos aspectos conservadores do presente estudo citados previamente n</w:t>
      </w:r>
      <w:r w:rsidR="00547D0E" w:rsidRPr="00237B91">
        <w:rPr>
          <w:rFonts w:ascii="Times New Roman" w:hAnsi="Times New Roman" w:cs="Times New Roman"/>
        </w:rPr>
        <w:t>esta</w:t>
      </w:r>
      <w:r w:rsidRPr="00237B91">
        <w:rPr>
          <w:rFonts w:ascii="Times New Roman" w:hAnsi="Times New Roman" w:cs="Times New Roman"/>
        </w:rPr>
        <w:t xml:space="preserve"> resposta, </w:t>
      </w:r>
      <w:r w:rsidR="00547D0E" w:rsidRPr="00237B91">
        <w:rPr>
          <w:rFonts w:ascii="Times New Roman" w:hAnsi="Times New Roman" w:cs="Times New Roman"/>
        </w:rPr>
        <w:t xml:space="preserve">tais como aqueles relacionados ao banco de dados utilizado (alínea 8), ao cálculo do risco ambiental (alínea 9), e à classificação do CVA quanto ao critério de </w:t>
      </w:r>
      <w:r w:rsidR="00A3277D" w:rsidRPr="00237B91">
        <w:rPr>
          <w:rFonts w:ascii="Times New Roman" w:hAnsi="Times New Roman" w:cs="Times New Roman"/>
        </w:rPr>
        <w:t xml:space="preserve">distribuição </w:t>
      </w:r>
      <w:r w:rsidR="00547D0E" w:rsidRPr="00237B91">
        <w:rPr>
          <w:rFonts w:ascii="Times New Roman" w:hAnsi="Times New Roman" w:cs="Times New Roman"/>
        </w:rPr>
        <w:t xml:space="preserve">(alínea 15), </w:t>
      </w:r>
      <w:r w:rsidRPr="00237B91">
        <w:rPr>
          <w:rFonts w:ascii="Times New Roman" w:hAnsi="Times New Roman" w:cs="Times New Roman"/>
        </w:rPr>
        <w:t>exemplificam o desafio de se pr</w:t>
      </w:r>
      <w:r w:rsidR="00547D0E" w:rsidRPr="00237B91">
        <w:rPr>
          <w:rFonts w:ascii="Times New Roman" w:hAnsi="Times New Roman" w:cs="Times New Roman"/>
        </w:rPr>
        <w:t>o</w:t>
      </w:r>
      <w:r w:rsidRPr="00237B91">
        <w:rPr>
          <w:rFonts w:ascii="Times New Roman" w:hAnsi="Times New Roman" w:cs="Times New Roman"/>
        </w:rPr>
        <w:t xml:space="preserve">por </w:t>
      </w:r>
      <w:r w:rsidR="00547D0E" w:rsidRPr="00237B91">
        <w:rPr>
          <w:rFonts w:ascii="Times New Roman" w:hAnsi="Times New Roman" w:cs="Times New Roman"/>
        </w:rPr>
        <w:t xml:space="preserve">um limiar ou critério </w:t>
      </w:r>
      <w:r w:rsidR="005C619A" w:rsidRPr="00237B91">
        <w:rPr>
          <w:rFonts w:ascii="Times New Roman" w:hAnsi="Times New Roman" w:cs="Times New Roman"/>
        </w:rPr>
        <w:t xml:space="preserve">único </w:t>
      </w:r>
      <w:r w:rsidR="00547D0E" w:rsidRPr="00237B91">
        <w:rPr>
          <w:rFonts w:ascii="Times New Roman" w:hAnsi="Times New Roman" w:cs="Times New Roman"/>
        </w:rPr>
        <w:t xml:space="preserve">aplicável a todas as análises. </w:t>
      </w:r>
      <w:r w:rsidRPr="00237B91">
        <w:rPr>
          <w:rFonts w:ascii="Times New Roman" w:hAnsi="Times New Roman" w:cs="Times New Roman"/>
        </w:rPr>
        <w:t xml:space="preserve">Outros, </w:t>
      </w:r>
      <w:r w:rsidR="005C619A" w:rsidRPr="00237B91">
        <w:rPr>
          <w:rFonts w:ascii="Times New Roman" w:hAnsi="Times New Roman" w:cs="Times New Roman"/>
        </w:rPr>
        <w:t xml:space="preserve">aspectos, tais como a desconsideração </w:t>
      </w:r>
      <w:r w:rsidRPr="00237B91">
        <w:rPr>
          <w:rFonts w:ascii="Times New Roman" w:hAnsi="Times New Roman" w:cs="Times New Roman"/>
        </w:rPr>
        <w:t>do volume</w:t>
      </w:r>
      <w:r w:rsidR="005C619A" w:rsidRPr="00237B91">
        <w:rPr>
          <w:rFonts w:ascii="Times New Roman" w:hAnsi="Times New Roman" w:cs="Times New Roman"/>
        </w:rPr>
        <w:t>/</w:t>
      </w:r>
      <w:r w:rsidRPr="00237B91">
        <w:rPr>
          <w:rFonts w:ascii="Times New Roman" w:hAnsi="Times New Roman" w:cs="Times New Roman"/>
        </w:rPr>
        <w:t>massa de óleo, e do tempo de residência do óleo na região do CVA</w:t>
      </w:r>
      <w:r w:rsidR="005C619A" w:rsidRPr="00237B91">
        <w:rPr>
          <w:rFonts w:ascii="Times New Roman" w:hAnsi="Times New Roman" w:cs="Times New Roman"/>
        </w:rPr>
        <w:t xml:space="preserve"> (alínea 12), ou relacionados aos tempos de </w:t>
      </w:r>
      <w:r w:rsidR="005C619A" w:rsidRPr="00237B91">
        <w:rPr>
          <w:rFonts w:ascii="Times New Roman" w:hAnsi="Times New Roman" w:cs="Times New Roman"/>
        </w:rPr>
        <w:lastRenderedPageBreak/>
        <w:t xml:space="preserve">recuperação (alíneas 13 e 14) encobrem informações </w:t>
      </w:r>
      <w:r w:rsidRPr="00237B91">
        <w:rPr>
          <w:rFonts w:ascii="Times New Roman" w:hAnsi="Times New Roman" w:cs="Times New Roman"/>
        </w:rPr>
        <w:t>relevantes</w:t>
      </w:r>
      <w:r w:rsidR="00CF5342" w:rsidRPr="00237B91">
        <w:rPr>
          <w:rFonts w:ascii="Times New Roman" w:hAnsi="Times New Roman" w:cs="Times New Roman"/>
        </w:rPr>
        <w:t>, nem sempre devidamente disponíveis, que deveriam ser consideradas para uma adequada correlação de valores.</w:t>
      </w:r>
    </w:p>
    <w:p w14:paraId="5B65EA4A" w14:textId="77777777" w:rsidR="002D7F6B" w:rsidRPr="00237B91" w:rsidRDefault="002D7F6B" w:rsidP="00324ACC">
      <w:pPr>
        <w:spacing w:after="0" w:line="288" w:lineRule="auto"/>
        <w:jc w:val="both"/>
        <w:rPr>
          <w:rFonts w:ascii="Times New Roman" w:hAnsi="Times New Roman" w:cs="Times New Roman"/>
        </w:rPr>
      </w:pPr>
    </w:p>
    <w:p w14:paraId="61F858F8" w14:textId="651255F9" w:rsidR="002E2347" w:rsidRPr="00237B91" w:rsidRDefault="002E2347" w:rsidP="009E768C">
      <w:pPr>
        <w:spacing w:after="0" w:line="288" w:lineRule="auto"/>
        <w:jc w:val="both"/>
        <w:rPr>
          <w:rFonts w:ascii="Times New Roman" w:hAnsi="Times New Roman" w:cs="Times New Roman"/>
        </w:rPr>
      </w:pPr>
      <w:bookmarkStart w:id="4" w:name="_Hlk521689880"/>
      <w:r w:rsidRPr="00237B91">
        <w:rPr>
          <w:rFonts w:ascii="Times New Roman" w:hAnsi="Times New Roman" w:cs="Times New Roman"/>
        </w:rPr>
        <w:t xml:space="preserve">Conforme dito anteriormente, as particularidades de cada caso impedem que se trace qualquer comparação válida entre os valores obtidos no presente estudo ambiental e o valor limiar para aceitabilidade de riscos de 5% utilizado usualmente pela indústria </w:t>
      </w:r>
      <w:r w:rsidRPr="00237B91">
        <w:rPr>
          <w:rFonts w:ascii="Times New Roman" w:hAnsi="Times New Roman" w:cs="Times New Roman"/>
          <w:i/>
        </w:rPr>
        <w:t>offshore</w:t>
      </w:r>
      <w:r w:rsidRPr="00237B91">
        <w:rPr>
          <w:rFonts w:ascii="Times New Roman" w:hAnsi="Times New Roman" w:cs="Times New Roman"/>
        </w:rPr>
        <w:t xml:space="preserve"> na Noruega. Mesmo assim, é importante destacar que o valor do índice de tolerabilidade de 11,88% obtido para o CVA Avifauna no cenário de pior caso é resultante de todos os preceitos conservadores utilizados no estudo, e de valores de tempo de recuperação não necessariamente corroboradas cientificamente, mas que foram utilizados em atendimento às solicitações feitas por esta COEXP (ver alínea 14). Apenas a mudança de classificação quanto ao critério de distribuição do CVA Avifauna marinha de difuso para fixo (ver alínea 15) foi responsável pela alteração do índice de tolerabilidade de 1,88% no cenário de pior caso no inverno para 11,88%. </w:t>
      </w:r>
    </w:p>
    <w:bookmarkEnd w:id="4"/>
    <w:p w14:paraId="03B5AE6A" w14:textId="199B3CE5" w:rsidR="00C05758" w:rsidRPr="00237B91" w:rsidRDefault="00C05758" w:rsidP="002E2347">
      <w:pPr>
        <w:spacing w:after="0" w:line="288" w:lineRule="auto"/>
        <w:jc w:val="both"/>
        <w:rPr>
          <w:rFonts w:ascii="Times New Roman" w:hAnsi="Times New Roman" w:cs="Times New Roman"/>
          <w:strike/>
        </w:rPr>
      </w:pPr>
    </w:p>
    <w:p w14:paraId="3F87BF34" w14:textId="77777777" w:rsidR="002E2347" w:rsidRPr="00237B91" w:rsidRDefault="002E2347" w:rsidP="002E2347">
      <w:pPr>
        <w:spacing w:after="0" w:line="288" w:lineRule="auto"/>
        <w:jc w:val="both"/>
        <w:rPr>
          <w:rFonts w:ascii="Times New Roman" w:hAnsi="Times New Roman" w:cs="Times New Roman"/>
        </w:rPr>
      </w:pPr>
      <w:r w:rsidRPr="00237B91">
        <w:rPr>
          <w:rFonts w:ascii="Times New Roman" w:hAnsi="Times New Roman" w:cs="Times New Roman"/>
        </w:rPr>
        <w:t>Destaca-se que a norma NORSOK Z-013, da Noruega recomenda que um critério de aceitabilidade baseado na relação ente tempo de recorrência e tempo de recuperação seja estabelecido pelo empreendedor previamente à elaboração de uma análise de riscos, objetivando, nesse caso, uma tomada de decisão, por parte do próprio empreendedor, quanto à necessidade de proposição de medidas adicionais para a redução de riscos que venham a exceder ao limite considerado tolerável (tais medidas, como ações preventivas e de combate a emergência, devem portanto ser consideradas nos cálculos das análises). A metodologia envolve ainda outros elementos não abordados nesta ARA, como o estabelecimento de categorias de dano ambiental, definidas conforme tempos médios de recuperação dos recursos ambientais, o conceito de exposição global dos recursos à totalidade dos riscos provenientes de operações realizadas em uma dada região, e a utilização de diferentes coeficientes para determinação de limites de risco conforme as tipologias das atividades.</w:t>
      </w:r>
    </w:p>
    <w:p w14:paraId="29707BB4" w14:textId="77777777" w:rsidR="006D16D0" w:rsidRPr="00237B91" w:rsidRDefault="006D16D0" w:rsidP="002E2347">
      <w:pPr>
        <w:spacing w:after="0" w:line="288" w:lineRule="auto"/>
        <w:jc w:val="both"/>
        <w:rPr>
          <w:rFonts w:ascii="Times New Roman" w:hAnsi="Times New Roman" w:cs="Times New Roman"/>
        </w:rPr>
      </w:pPr>
    </w:p>
    <w:p w14:paraId="25A30072" w14:textId="20D25FC1" w:rsidR="00324ACC" w:rsidRPr="00237B91" w:rsidRDefault="00324ACC" w:rsidP="002E2347">
      <w:pPr>
        <w:spacing w:after="0" w:line="288" w:lineRule="auto"/>
        <w:jc w:val="both"/>
        <w:rPr>
          <w:rFonts w:ascii="Times New Roman" w:hAnsi="Times New Roman" w:cs="Times New Roman"/>
        </w:rPr>
      </w:pPr>
      <w:r w:rsidRPr="00237B91">
        <w:rPr>
          <w:rFonts w:ascii="Times New Roman" w:hAnsi="Times New Roman" w:cs="Times New Roman"/>
        </w:rPr>
        <w:t xml:space="preserve">A adoção de </w:t>
      </w:r>
      <w:r w:rsidR="00F6650F" w:rsidRPr="00237B91">
        <w:rPr>
          <w:rFonts w:ascii="Times New Roman" w:hAnsi="Times New Roman" w:cs="Times New Roman"/>
        </w:rPr>
        <w:t xml:space="preserve">uma </w:t>
      </w:r>
      <w:r w:rsidRPr="00237B91">
        <w:rPr>
          <w:rFonts w:ascii="Times New Roman" w:hAnsi="Times New Roman" w:cs="Times New Roman"/>
        </w:rPr>
        <w:t>metodologia quali-quantitativa</w:t>
      </w:r>
      <w:r w:rsidR="00F6650F" w:rsidRPr="00237B91">
        <w:rPr>
          <w:rFonts w:ascii="Times New Roman" w:hAnsi="Times New Roman" w:cs="Times New Roman"/>
        </w:rPr>
        <w:t xml:space="preserve"> executada de forma particularizada</w:t>
      </w:r>
      <w:r w:rsidRPr="00237B91">
        <w:rPr>
          <w:rFonts w:ascii="Times New Roman" w:hAnsi="Times New Roman" w:cs="Times New Roman"/>
        </w:rPr>
        <w:t xml:space="preserve">, </w:t>
      </w:r>
      <w:r w:rsidR="00F6650F" w:rsidRPr="00237B91">
        <w:rPr>
          <w:rFonts w:ascii="Times New Roman" w:hAnsi="Times New Roman" w:cs="Times New Roman"/>
        </w:rPr>
        <w:t xml:space="preserve">tal como </w:t>
      </w:r>
      <w:r w:rsidRPr="00237B91">
        <w:rPr>
          <w:rFonts w:ascii="Times New Roman" w:hAnsi="Times New Roman" w:cs="Times New Roman"/>
        </w:rPr>
        <w:t>preconiza</w:t>
      </w:r>
      <w:r w:rsidR="007E613F" w:rsidRPr="00237B91">
        <w:rPr>
          <w:rFonts w:ascii="Times New Roman" w:hAnsi="Times New Roman" w:cs="Times New Roman"/>
        </w:rPr>
        <w:t xml:space="preserve"> </w:t>
      </w:r>
      <w:r w:rsidRPr="00237B91">
        <w:rPr>
          <w:rFonts w:ascii="Times New Roman" w:hAnsi="Times New Roman" w:cs="Times New Roman"/>
        </w:rPr>
        <w:t xml:space="preserve">o IBAMA, tem, em detrimento </w:t>
      </w:r>
      <w:r w:rsidR="00ED4D70" w:rsidRPr="00237B91">
        <w:rPr>
          <w:rFonts w:ascii="Times New Roman" w:hAnsi="Times New Roman" w:cs="Times New Roman"/>
        </w:rPr>
        <w:t>a</w:t>
      </w:r>
      <w:r w:rsidRPr="00237B91">
        <w:rPr>
          <w:rFonts w:ascii="Times New Roman" w:hAnsi="Times New Roman" w:cs="Times New Roman"/>
        </w:rPr>
        <w:t xml:space="preserve"> metodologias</w:t>
      </w:r>
      <w:r w:rsidR="007E613F" w:rsidRPr="00237B91">
        <w:rPr>
          <w:rFonts w:ascii="Times New Roman" w:hAnsi="Times New Roman" w:cs="Times New Roman"/>
        </w:rPr>
        <w:t xml:space="preserve"> </w:t>
      </w:r>
      <w:r w:rsidRPr="00237B91">
        <w:rPr>
          <w:rFonts w:ascii="Times New Roman" w:hAnsi="Times New Roman" w:cs="Times New Roman"/>
        </w:rPr>
        <w:t>quantitativas</w:t>
      </w:r>
      <w:r w:rsidR="00636F23" w:rsidRPr="00237B91">
        <w:rPr>
          <w:rFonts w:ascii="Times New Roman" w:hAnsi="Times New Roman" w:cs="Times New Roman"/>
        </w:rPr>
        <w:t xml:space="preserve"> e à </w:t>
      </w:r>
      <w:r w:rsidR="004A5205" w:rsidRPr="00237B91">
        <w:rPr>
          <w:rFonts w:ascii="Times New Roman" w:hAnsi="Times New Roman" w:cs="Times New Roman"/>
        </w:rPr>
        <w:t>uniformização</w:t>
      </w:r>
      <w:r w:rsidR="00F6650F" w:rsidRPr="00237B91">
        <w:rPr>
          <w:rFonts w:ascii="Times New Roman" w:hAnsi="Times New Roman" w:cs="Times New Roman"/>
        </w:rPr>
        <w:t xml:space="preserve"> das análises</w:t>
      </w:r>
      <w:r w:rsidRPr="00237B91">
        <w:rPr>
          <w:rFonts w:ascii="Times New Roman" w:hAnsi="Times New Roman" w:cs="Times New Roman"/>
        </w:rPr>
        <w:t xml:space="preserve">, a vantagem de abarcar a significativa </w:t>
      </w:r>
      <w:r w:rsidR="004E04A0" w:rsidRPr="00237B91">
        <w:rPr>
          <w:rFonts w:ascii="Times New Roman" w:hAnsi="Times New Roman" w:cs="Times New Roman"/>
        </w:rPr>
        <w:t xml:space="preserve">diversidade de circunstâncias específicas apresentadas ao órgão regulador nos diferentes processos de licenciamento ambiental, em especial, a </w:t>
      </w:r>
      <w:r w:rsidRPr="00237B91">
        <w:rPr>
          <w:rFonts w:ascii="Times New Roman" w:hAnsi="Times New Roman" w:cs="Times New Roman"/>
        </w:rPr>
        <w:t>variabilidade ambiental oriunda da grande extensão latitudinal da costa brasileira. Tal variabilidade faz com que, por exemplo, um mesmo tipo de ecossistema apresente diferentes condições tanto ambientais quanto antrópicas, que possibilitam desenvolvimentos diferenciados, assim como respostas e recuperação diferentes também. Um exemplo ocorre com os manguezais, que ao norte do país apresentam árvores com estruturas muito distintas daquelas encontradas nos manguezais da região sudeste, além de terem um melhor status de conservação.</w:t>
      </w:r>
    </w:p>
    <w:p w14:paraId="0A20D328" w14:textId="77777777" w:rsidR="00324ACC" w:rsidRPr="00237B91" w:rsidRDefault="00324ACC" w:rsidP="00324ACC">
      <w:pPr>
        <w:spacing w:after="0" w:line="288" w:lineRule="auto"/>
        <w:jc w:val="both"/>
        <w:rPr>
          <w:rFonts w:ascii="Times New Roman" w:hAnsi="Times New Roman" w:cs="Times New Roman"/>
        </w:rPr>
      </w:pPr>
    </w:p>
    <w:p w14:paraId="7954CC7C" w14:textId="2ED53CCD" w:rsidR="00324ACC" w:rsidRPr="00237B91" w:rsidRDefault="00324ACC" w:rsidP="00324ACC">
      <w:pPr>
        <w:spacing w:after="0" w:line="288" w:lineRule="auto"/>
        <w:jc w:val="both"/>
        <w:rPr>
          <w:rFonts w:ascii="Times New Roman" w:hAnsi="Times New Roman" w:cs="Times New Roman"/>
        </w:rPr>
      </w:pPr>
      <w:r w:rsidRPr="00237B91">
        <w:rPr>
          <w:rFonts w:ascii="Times New Roman" w:hAnsi="Times New Roman" w:cs="Times New Roman"/>
        </w:rPr>
        <w:t xml:space="preserve">Dessa forma, entende-se que a </w:t>
      </w:r>
      <w:r w:rsidR="00F6650F" w:rsidRPr="00237B91">
        <w:rPr>
          <w:rFonts w:ascii="Times New Roman" w:hAnsi="Times New Roman" w:cs="Times New Roman"/>
        </w:rPr>
        <w:t xml:space="preserve">impossibilidade de </w:t>
      </w:r>
      <w:r w:rsidRPr="00237B91">
        <w:rPr>
          <w:rFonts w:ascii="Times New Roman" w:hAnsi="Times New Roman" w:cs="Times New Roman"/>
        </w:rPr>
        <w:t xml:space="preserve">adoção de um </w:t>
      </w:r>
      <w:r w:rsidR="00ED4D70" w:rsidRPr="00237B91">
        <w:rPr>
          <w:rFonts w:ascii="Times New Roman" w:hAnsi="Times New Roman" w:cs="Times New Roman"/>
        </w:rPr>
        <w:t xml:space="preserve">único </w:t>
      </w:r>
      <w:r w:rsidRPr="00237B91">
        <w:rPr>
          <w:rFonts w:ascii="Times New Roman" w:hAnsi="Times New Roman" w:cs="Times New Roman"/>
        </w:rPr>
        <w:t xml:space="preserve">limiar </w:t>
      </w:r>
      <w:r w:rsidR="00F6650F" w:rsidRPr="00237B91">
        <w:rPr>
          <w:rFonts w:ascii="Times New Roman" w:hAnsi="Times New Roman" w:cs="Times New Roman"/>
        </w:rPr>
        <w:t>é consequência</w:t>
      </w:r>
      <w:r w:rsidRPr="00237B91">
        <w:rPr>
          <w:rFonts w:ascii="Times New Roman" w:hAnsi="Times New Roman" w:cs="Times New Roman"/>
        </w:rPr>
        <w:t xml:space="preserve"> </w:t>
      </w:r>
      <w:r w:rsidR="00F6650F" w:rsidRPr="00237B91">
        <w:rPr>
          <w:rFonts w:ascii="Times New Roman" w:hAnsi="Times New Roman" w:cs="Times New Roman"/>
        </w:rPr>
        <w:t xml:space="preserve">de </w:t>
      </w:r>
      <w:r w:rsidRPr="00237B91">
        <w:rPr>
          <w:rFonts w:ascii="Times New Roman" w:hAnsi="Times New Roman" w:cs="Times New Roman"/>
        </w:rPr>
        <w:t xml:space="preserve">uma abordagem </w:t>
      </w:r>
      <w:r w:rsidR="00344A1D" w:rsidRPr="00237B91">
        <w:rPr>
          <w:rFonts w:ascii="Times New Roman" w:hAnsi="Times New Roman" w:cs="Times New Roman"/>
        </w:rPr>
        <w:t xml:space="preserve">também </w:t>
      </w:r>
      <w:r w:rsidRPr="00237B91">
        <w:rPr>
          <w:rFonts w:ascii="Times New Roman" w:hAnsi="Times New Roman" w:cs="Times New Roman"/>
        </w:rPr>
        <w:t>conservadora, na medida em que permite avaliações independentes para cada situação/região/estudo</w:t>
      </w:r>
      <w:r w:rsidR="00F6650F" w:rsidRPr="00237B91">
        <w:rPr>
          <w:rFonts w:ascii="Times New Roman" w:hAnsi="Times New Roman" w:cs="Times New Roman"/>
        </w:rPr>
        <w:t>.</w:t>
      </w:r>
    </w:p>
    <w:p w14:paraId="2971694B" w14:textId="77777777" w:rsidR="00F55006" w:rsidRPr="00237B91" w:rsidRDefault="00F55006" w:rsidP="00324ACC">
      <w:pPr>
        <w:spacing w:after="0" w:line="288" w:lineRule="auto"/>
        <w:jc w:val="both"/>
        <w:rPr>
          <w:rFonts w:ascii="Times New Roman" w:hAnsi="Times New Roman" w:cs="Times New Roman"/>
        </w:rPr>
      </w:pPr>
    </w:p>
    <w:p w14:paraId="0955B7FA" w14:textId="42850718" w:rsidR="00ED4D70" w:rsidRPr="00237B91" w:rsidRDefault="00ED4D70" w:rsidP="00ED4D70">
      <w:pPr>
        <w:spacing w:after="0" w:line="288" w:lineRule="auto"/>
        <w:jc w:val="both"/>
        <w:rPr>
          <w:rFonts w:ascii="Times New Roman" w:hAnsi="Times New Roman" w:cs="Times New Roman"/>
        </w:rPr>
      </w:pPr>
      <w:r w:rsidRPr="00237B91">
        <w:rPr>
          <w:rFonts w:ascii="Times New Roman" w:hAnsi="Times New Roman" w:cs="Times New Roman"/>
        </w:rPr>
        <w:t>Sendo assim são avaliados toleráveis os casos em que a Relação o tempo de Recuperação/Tempo de Ocorrência percentual, considerada em todos os seus aspecto e especificidades, não represente qualquer ameaça à continuidade/integridade do CVA ao longo do período de tempo considerado, além de serem aplicadas sempre tentativas de diminuir este valor através de medidas de gerenciamento de risco.</w:t>
      </w:r>
    </w:p>
    <w:p w14:paraId="387FAAD7" w14:textId="77777777" w:rsidR="00ED4D70" w:rsidRPr="00237B91" w:rsidRDefault="00ED4D70" w:rsidP="00ED4D70">
      <w:pPr>
        <w:spacing w:after="0" w:line="288" w:lineRule="auto"/>
        <w:jc w:val="both"/>
        <w:rPr>
          <w:rFonts w:ascii="Times New Roman" w:hAnsi="Times New Roman" w:cs="Times New Roman"/>
        </w:rPr>
      </w:pPr>
    </w:p>
    <w:p w14:paraId="350676CB" w14:textId="1763C27D" w:rsidR="00324ACC" w:rsidRPr="00237B91" w:rsidRDefault="00324ACC" w:rsidP="00324ACC">
      <w:pPr>
        <w:spacing w:after="0" w:line="288" w:lineRule="auto"/>
        <w:jc w:val="both"/>
        <w:rPr>
          <w:rFonts w:ascii="Times New Roman" w:hAnsi="Times New Roman" w:cs="Times New Roman"/>
        </w:rPr>
      </w:pPr>
      <w:r w:rsidRPr="00237B91">
        <w:rPr>
          <w:rFonts w:ascii="Times New Roman" w:hAnsi="Times New Roman" w:cs="Times New Roman"/>
        </w:rPr>
        <w:lastRenderedPageBreak/>
        <w:t xml:space="preserve">Apesar da não adoção de um limiar, o esforço para reduzir a </w:t>
      </w:r>
      <w:r w:rsidR="00E01A71" w:rsidRPr="00237B91">
        <w:rPr>
          <w:rFonts w:ascii="Times New Roman" w:hAnsi="Times New Roman" w:cs="Times New Roman"/>
        </w:rPr>
        <w:t>Relação do tempo de Recuperação/Tempo de Ocorrência</w:t>
      </w:r>
      <w:r w:rsidRPr="00237B91">
        <w:rPr>
          <w:rFonts w:ascii="Times New Roman" w:hAnsi="Times New Roman" w:cs="Times New Roman"/>
        </w:rPr>
        <w:t xml:space="preserve"> encontrada é considerado importante e reflete diretamente nas medidas de segurança da operação, pois com a metodologia adotada, a redução da </w:t>
      </w:r>
      <w:r w:rsidR="00E01A71" w:rsidRPr="00237B91">
        <w:rPr>
          <w:rFonts w:ascii="Times New Roman" w:hAnsi="Times New Roman" w:cs="Times New Roman"/>
        </w:rPr>
        <w:t>Relação do tempo de Recuperação/Tempo de Ocorrência</w:t>
      </w:r>
      <w:r w:rsidRPr="00237B91">
        <w:rPr>
          <w:rFonts w:ascii="Times New Roman" w:hAnsi="Times New Roman" w:cs="Times New Roman"/>
        </w:rPr>
        <w:t xml:space="preserve"> é obtida através de revisões nas frequências de risco operacional. Ou seja, tenta-se reduzir o efeito ao ambiente (representado pela </w:t>
      </w:r>
      <w:r w:rsidR="00E01A71" w:rsidRPr="00237B91">
        <w:rPr>
          <w:rFonts w:ascii="Times New Roman" w:hAnsi="Times New Roman" w:cs="Times New Roman"/>
        </w:rPr>
        <w:t>Relação do tempo de Recuperação/Tempo de Ocorrência</w:t>
      </w:r>
      <w:r w:rsidRPr="00237B91">
        <w:rPr>
          <w:rFonts w:ascii="Times New Roman" w:hAnsi="Times New Roman" w:cs="Times New Roman"/>
        </w:rPr>
        <w:t xml:space="preserve"> percentual) alterando a causa do efeito com a adoção de medidas de segurança adicionais que minimizam o risco de ocorrência de vazamentos. </w:t>
      </w:r>
    </w:p>
    <w:p w14:paraId="5E075EB7" w14:textId="5BC97DC7" w:rsidR="001935B4" w:rsidRPr="00237B91" w:rsidRDefault="001935B4" w:rsidP="00324ACC">
      <w:pPr>
        <w:spacing w:after="0" w:line="288" w:lineRule="auto"/>
        <w:jc w:val="both"/>
        <w:rPr>
          <w:rFonts w:ascii="Times New Roman" w:hAnsi="Times New Roman" w:cs="Times New Roman"/>
        </w:rPr>
      </w:pPr>
    </w:p>
    <w:p w14:paraId="13B14FC4" w14:textId="0C1EFBD1" w:rsidR="008E6E79" w:rsidRPr="00237B91" w:rsidRDefault="001935B4" w:rsidP="009E3A76">
      <w:pPr>
        <w:spacing w:after="0" w:line="288" w:lineRule="auto"/>
        <w:jc w:val="both"/>
        <w:rPr>
          <w:rFonts w:ascii="Times New Roman" w:hAnsi="Times New Roman" w:cs="Times New Roman"/>
        </w:rPr>
      </w:pPr>
      <w:r w:rsidRPr="00237B91">
        <w:rPr>
          <w:rFonts w:ascii="Times New Roman" w:hAnsi="Times New Roman" w:cs="Times New Roman"/>
        </w:rPr>
        <w:t xml:space="preserve">E, reforça-se que com base nos resultados obtidos no estudo, e em todos os argumentos apresentados, considera-se que os riscos ambientais encontrados são considerados toleráveis para a região de estudo </w:t>
      </w:r>
      <w:r w:rsidR="00702D64" w:rsidRPr="00237B91">
        <w:rPr>
          <w:rFonts w:ascii="Times New Roman" w:hAnsi="Times New Roman" w:cs="Times New Roman"/>
        </w:rPr>
        <w:t xml:space="preserve">e </w:t>
      </w:r>
      <w:r w:rsidRPr="00237B91">
        <w:rPr>
          <w:rFonts w:ascii="Times New Roman" w:hAnsi="Times New Roman" w:cs="Times New Roman"/>
        </w:rPr>
        <w:t>para o tipo de atividade a ser implementada.</w:t>
      </w:r>
      <w:r w:rsidR="00702D64" w:rsidRPr="00237B91">
        <w:rPr>
          <w:rFonts w:ascii="Times New Roman" w:hAnsi="Times New Roman" w:cs="Times New Roman"/>
        </w:rPr>
        <w:t xml:space="preserve"> Lembrando que será utilizada uma unidade de perfuração de sétima geração e que serão tomadas, pela BP, todas as medidas de segurança necessárias à operação.</w:t>
      </w:r>
      <w:r w:rsidR="009E3A76" w:rsidRPr="00237B91">
        <w:rPr>
          <w:rFonts w:ascii="Times New Roman" w:hAnsi="Times New Roman" w:cs="Times New Roman"/>
        </w:rPr>
        <w:t xml:space="preserve"> </w:t>
      </w:r>
    </w:p>
    <w:p w14:paraId="76F630A1" w14:textId="77777777" w:rsidR="00237B91" w:rsidRDefault="00237B91" w:rsidP="00237B91">
      <w:pPr>
        <w:spacing w:after="0" w:line="288" w:lineRule="auto"/>
        <w:jc w:val="both"/>
        <w:rPr>
          <w:rFonts w:ascii="Times New Roman" w:hAnsi="Times New Roman" w:cs="Times New Roman"/>
          <w:b/>
        </w:rPr>
      </w:pPr>
    </w:p>
    <w:p w14:paraId="5915CD39" w14:textId="77777777" w:rsidR="00237B91" w:rsidRPr="00DB0CD8" w:rsidRDefault="00237B91" w:rsidP="00350FF4">
      <w:pPr>
        <w:spacing w:before="120"/>
        <w:rPr>
          <w:rFonts w:ascii="Arial" w:hAnsi="Arial" w:cs="Arial"/>
          <w:b/>
        </w:rPr>
      </w:pPr>
      <w:r w:rsidRPr="00DB0CD8">
        <w:rPr>
          <w:rFonts w:ascii="Arial" w:hAnsi="Arial" w:cs="Arial"/>
          <w:b/>
        </w:rPr>
        <w:t>EQUIPE TÉCNICA</w:t>
      </w:r>
    </w:p>
    <w:tbl>
      <w:tblPr>
        <w:tblW w:w="9781" w:type="dxa"/>
        <w:tblInd w:w="7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CellMar>
          <w:left w:w="70" w:type="dxa"/>
          <w:right w:w="70" w:type="dxa"/>
        </w:tblCellMar>
        <w:tblLook w:val="0000" w:firstRow="0" w:lastRow="0" w:firstColumn="0" w:lastColumn="0" w:noHBand="0" w:noVBand="0"/>
      </w:tblPr>
      <w:tblGrid>
        <w:gridCol w:w="3611"/>
        <w:gridCol w:w="1417"/>
        <w:gridCol w:w="1351"/>
        <w:gridCol w:w="3402"/>
      </w:tblGrid>
      <w:tr w:rsidR="00237B91" w:rsidRPr="00DB0CD8" w14:paraId="4880E7C9" w14:textId="77777777" w:rsidTr="00A04FCD">
        <w:trPr>
          <w:cantSplit/>
          <w:tblHeader/>
        </w:trPr>
        <w:tc>
          <w:tcPr>
            <w:tcW w:w="3611" w:type="dxa"/>
            <w:shd w:val="clear" w:color="auto" w:fill="000000" w:themeFill="text1"/>
            <w:vAlign w:val="center"/>
          </w:tcPr>
          <w:p w14:paraId="346EF17A" w14:textId="77777777" w:rsidR="00237B91" w:rsidRPr="00DB0CD8" w:rsidRDefault="00237B91" w:rsidP="00A04FCD">
            <w:pPr>
              <w:spacing w:after="0" w:line="288" w:lineRule="auto"/>
              <w:rPr>
                <w:rFonts w:ascii="Arial" w:eastAsia="Times New Roman" w:hAnsi="Arial" w:cs="Arial"/>
                <w:b/>
                <w:bCs/>
                <w:caps/>
                <w:color w:val="FFFFFF" w:themeColor="background1"/>
                <w:sz w:val="18"/>
                <w:szCs w:val="18"/>
              </w:rPr>
            </w:pPr>
            <w:r w:rsidRPr="00DB0CD8">
              <w:rPr>
                <w:rFonts w:ascii="Arial" w:eastAsia="Times New Roman" w:hAnsi="Arial" w:cs="Arial"/>
                <w:b/>
                <w:bCs/>
                <w:caps/>
                <w:color w:val="FFFFFF" w:themeColor="background1"/>
                <w:sz w:val="18"/>
                <w:szCs w:val="18"/>
              </w:rPr>
              <w:t>Nome</w:t>
            </w:r>
          </w:p>
          <w:p w14:paraId="1F32B322" w14:textId="77777777" w:rsidR="00237B91" w:rsidRPr="00DB0CD8" w:rsidRDefault="00237B91" w:rsidP="00A04FCD">
            <w:pPr>
              <w:spacing w:after="0" w:line="288" w:lineRule="auto"/>
              <w:rPr>
                <w:rFonts w:ascii="Arial" w:eastAsia="Times New Roman" w:hAnsi="Arial" w:cs="Arial"/>
                <w:b/>
                <w:bCs/>
                <w:caps/>
                <w:color w:val="FFFFFF" w:themeColor="background1"/>
                <w:sz w:val="18"/>
                <w:szCs w:val="18"/>
              </w:rPr>
            </w:pPr>
            <w:r w:rsidRPr="00DB0CD8">
              <w:rPr>
                <w:rFonts w:ascii="Arial" w:eastAsia="Times New Roman" w:hAnsi="Arial" w:cs="Arial"/>
                <w:b/>
                <w:bCs/>
                <w:caps/>
                <w:color w:val="FFFFFF" w:themeColor="background1"/>
                <w:sz w:val="18"/>
                <w:szCs w:val="18"/>
              </w:rPr>
              <w:t>fORMAÇÃO PROFISSIONAL</w:t>
            </w:r>
          </w:p>
          <w:p w14:paraId="770EE2B6" w14:textId="77777777" w:rsidR="00237B91" w:rsidRPr="00DB0CD8" w:rsidRDefault="00237B91" w:rsidP="00A04FCD">
            <w:pPr>
              <w:spacing w:after="0" w:line="288" w:lineRule="auto"/>
              <w:rPr>
                <w:rFonts w:ascii="Arial" w:eastAsia="Times New Roman" w:hAnsi="Arial" w:cs="Arial"/>
                <w:b/>
                <w:bCs/>
                <w:caps/>
                <w:color w:val="FFFFFF" w:themeColor="background1"/>
                <w:sz w:val="18"/>
                <w:szCs w:val="18"/>
              </w:rPr>
            </w:pPr>
            <w:r w:rsidRPr="00DB0CD8">
              <w:rPr>
                <w:rFonts w:ascii="Arial" w:eastAsia="Times New Roman" w:hAnsi="Arial" w:cs="Arial"/>
                <w:b/>
                <w:bCs/>
                <w:caps/>
                <w:color w:val="FFFFFF" w:themeColor="background1"/>
                <w:sz w:val="18"/>
                <w:szCs w:val="18"/>
              </w:rPr>
              <w:t>EMPRESA</w:t>
            </w:r>
          </w:p>
        </w:tc>
        <w:tc>
          <w:tcPr>
            <w:tcW w:w="1417" w:type="dxa"/>
            <w:shd w:val="clear" w:color="auto" w:fill="000000" w:themeFill="text1"/>
            <w:vAlign w:val="center"/>
          </w:tcPr>
          <w:p w14:paraId="111C4546" w14:textId="77777777" w:rsidR="00237B91" w:rsidRPr="00DB0CD8" w:rsidRDefault="00237B91" w:rsidP="00A04FCD">
            <w:pPr>
              <w:spacing w:after="0" w:line="288" w:lineRule="auto"/>
              <w:jc w:val="center"/>
              <w:rPr>
                <w:rFonts w:ascii="Arial" w:eastAsia="Times New Roman" w:hAnsi="Arial" w:cs="Arial"/>
                <w:b/>
                <w:bCs/>
                <w:caps/>
                <w:color w:val="FFFFFF" w:themeColor="background1"/>
                <w:sz w:val="18"/>
                <w:szCs w:val="18"/>
              </w:rPr>
            </w:pPr>
            <w:r w:rsidRPr="00DB0CD8">
              <w:rPr>
                <w:rFonts w:ascii="Arial" w:eastAsia="Times New Roman" w:hAnsi="Arial" w:cs="Arial"/>
                <w:b/>
                <w:bCs/>
                <w:caps/>
                <w:color w:val="FFFFFF" w:themeColor="background1"/>
                <w:sz w:val="18"/>
                <w:szCs w:val="18"/>
              </w:rPr>
              <w:t>Registro de Classe</w:t>
            </w:r>
          </w:p>
        </w:tc>
        <w:tc>
          <w:tcPr>
            <w:tcW w:w="1351" w:type="dxa"/>
            <w:shd w:val="clear" w:color="auto" w:fill="000000" w:themeFill="text1"/>
            <w:vAlign w:val="center"/>
          </w:tcPr>
          <w:p w14:paraId="049A4A4D" w14:textId="77777777" w:rsidR="00237B91" w:rsidRPr="00DB0CD8" w:rsidRDefault="00237B91" w:rsidP="00A04FCD">
            <w:pPr>
              <w:spacing w:after="0" w:line="288" w:lineRule="auto"/>
              <w:jc w:val="center"/>
              <w:rPr>
                <w:rFonts w:ascii="Arial" w:eastAsia="Times New Roman" w:hAnsi="Arial" w:cs="Arial"/>
                <w:b/>
                <w:bCs/>
                <w:caps/>
                <w:color w:val="FFFFFF" w:themeColor="background1"/>
                <w:sz w:val="18"/>
                <w:szCs w:val="18"/>
              </w:rPr>
            </w:pPr>
            <w:r w:rsidRPr="00DB0CD8">
              <w:rPr>
                <w:rFonts w:ascii="Arial" w:eastAsia="Times New Roman" w:hAnsi="Arial" w:cs="Arial"/>
                <w:b/>
                <w:bCs/>
                <w:caps/>
                <w:color w:val="FFFFFF" w:themeColor="background1"/>
                <w:sz w:val="18"/>
                <w:szCs w:val="18"/>
              </w:rPr>
              <w:t>Registro MMA/IBAMA</w:t>
            </w:r>
          </w:p>
        </w:tc>
        <w:tc>
          <w:tcPr>
            <w:tcW w:w="3402" w:type="dxa"/>
            <w:shd w:val="clear" w:color="auto" w:fill="000000" w:themeFill="text1"/>
            <w:vAlign w:val="center"/>
          </w:tcPr>
          <w:p w14:paraId="2E212478" w14:textId="77777777" w:rsidR="00237B91" w:rsidRPr="00DB0CD8" w:rsidRDefault="00237B91" w:rsidP="00A04FCD">
            <w:pPr>
              <w:spacing w:after="0" w:line="288" w:lineRule="auto"/>
              <w:jc w:val="center"/>
              <w:rPr>
                <w:rFonts w:ascii="Arial" w:eastAsia="Times New Roman" w:hAnsi="Arial" w:cs="Arial"/>
                <w:b/>
                <w:bCs/>
                <w:caps/>
                <w:color w:val="FFFFFF" w:themeColor="background1"/>
                <w:sz w:val="18"/>
                <w:szCs w:val="18"/>
              </w:rPr>
            </w:pPr>
            <w:r w:rsidRPr="00DB0CD8">
              <w:rPr>
                <w:rFonts w:ascii="Arial" w:eastAsia="Times New Roman" w:hAnsi="Arial" w:cs="Arial"/>
                <w:b/>
                <w:bCs/>
                <w:caps/>
                <w:color w:val="FFFFFF" w:themeColor="background1"/>
                <w:sz w:val="18"/>
                <w:szCs w:val="18"/>
              </w:rPr>
              <w:t>Assinatura</w:t>
            </w:r>
          </w:p>
        </w:tc>
      </w:tr>
      <w:tr w:rsidR="004F0108" w:rsidRPr="00582022" w14:paraId="1FB3B835" w14:textId="77777777" w:rsidTr="00B90833">
        <w:trPr>
          <w:cantSplit/>
        </w:trPr>
        <w:tc>
          <w:tcPr>
            <w:tcW w:w="3611" w:type="dxa"/>
            <w:shd w:val="clear" w:color="auto" w:fill="FFFFFF"/>
            <w:vAlign w:val="center"/>
          </w:tcPr>
          <w:p w14:paraId="6E946BCA" w14:textId="77777777" w:rsidR="004F0108" w:rsidRPr="00256EDF" w:rsidRDefault="004F0108" w:rsidP="004F0108">
            <w:pPr>
              <w:spacing w:after="0" w:line="288" w:lineRule="auto"/>
              <w:rPr>
                <w:rFonts w:ascii="Arial" w:hAnsi="Arial" w:cs="Arial"/>
                <w:sz w:val="18"/>
                <w:szCs w:val="18"/>
              </w:rPr>
            </w:pPr>
            <w:r w:rsidRPr="00256EDF">
              <w:rPr>
                <w:rFonts w:ascii="Arial" w:hAnsi="Arial" w:cs="Arial"/>
                <w:sz w:val="18"/>
                <w:szCs w:val="18"/>
              </w:rPr>
              <w:t>Adriana Moreira da Fonseca</w:t>
            </w:r>
          </w:p>
          <w:p w14:paraId="4EF80E25" w14:textId="77777777" w:rsidR="004F0108" w:rsidRPr="00256EDF" w:rsidRDefault="004F0108" w:rsidP="004F0108">
            <w:pPr>
              <w:spacing w:after="0" w:line="288" w:lineRule="auto"/>
              <w:rPr>
                <w:rFonts w:ascii="Arial" w:hAnsi="Arial" w:cs="Arial"/>
                <w:sz w:val="18"/>
                <w:szCs w:val="18"/>
              </w:rPr>
            </w:pPr>
            <w:r w:rsidRPr="00256EDF">
              <w:rPr>
                <w:rFonts w:ascii="Arial" w:hAnsi="Arial" w:cs="Arial"/>
                <w:sz w:val="18"/>
                <w:szCs w:val="18"/>
              </w:rPr>
              <w:t>Bióloga/UFRJ</w:t>
            </w:r>
          </w:p>
          <w:p w14:paraId="3D0B42BE" w14:textId="77777777" w:rsidR="004F0108" w:rsidRDefault="004F0108" w:rsidP="004F0108">
            <w:pPr>
              <w:spacing w:after="0" w:line="288" w:lineRule="auto"/>
              <w:rPr>
                <w:rFonts w:ascii="Arial" w:hAnsi="Arial" w:cs="Arial"/>
                <w:sz w:val="18"/>
                <w:szCs w:val="18"/>
              </w:rPr>
            </w:pPr>
            <w:proofErr w:type="spellStart"/>
            <w:r w:rsidRPr="00256EDF">
              <w:rPr>
                <w:rFonts w:ascii="Arial" w:hAnsi="Arial" w:cs="Arial"/>
                <w:sz w:val="18"/>
                <w:szCs w:val="18"/>
              </w:rPr>
              <w:t>M.Sc</w:t>
            </w:r>
            <w:proofErr w:type="spellEnd"/>
            <w:r w:rsidRPr="00256EDF">
              <w:rPr>
                <w:rFonts w:ascii="Arial" w:hAnsi="Arial" w:cs="Arial"/>
                <w:sz w:val="18"/>
                <w:szCs w:val="18"/>
              </w:rPr>
              <w:t>. Ecologia/UFRJ</w:t>
            </w:r>
          </w:p>
          <w:p w14:paraId="48FE9E4F" w14:textId="740C3C86" w:rsidR="00FC1344" w:rsidRPr="00DB0CD8" w:rsidRDefault="00FC1344" w:rsidP="004F0108">
            <w:pPr>
              <w:spacing w:after="0" w:line="288" w:lineRule="auto"/>
              <w:rPr>
                <w:rFonts w:ascii="Arial" w:eastAsia="Times New Roman" w:hAnsi="Arial" w:cs="Arial"/>
                <w:b/>
                <w:sz w:val="18"/>
                <w:szCs w:val="18"/>
              </w:rPr>
            </w:pPr>
            <w:proofErr w:type="spellStart"/>
            <w:r w:rsidRPr="00582022">
              <w:rPr>
                <w:rFonts w:ascii="Arial" w:eastAsia="Times New Roman" w:hAnsi="Arial" w:cs="Arial"/>
                <w:b/>
                <w:sz w:val="18"/>
                <w:szCs w:val="18"/>
              </w:rPr>
              <w:t>Wiit</w:t>
            </w:r>
            <w:proofErr w:type="spellEnd"/>
            <w:r w:rsidRPr="00582022">
              <w:rPr>
                <w:rFonts w:ascii="Arial" w:eastAsia="Times New Roman" w:hAnsi="Arial" w:cs="Arial"/>
                <w:b/>
                <w:sz w:val="18"/>
                <w:szCs w:val="18"/>
              </w:rPr>
              <w:t xml:space="preserve"> </w:t>
            </w:r>
            <w:proofErr w:type="spellStart"/>
            <w:r w:rsidRPr="00582022">
              <w:rPr>
                <w:rFonts w:ascii="Arial" w:eastAsia="Times New Roman" w:hAnsi="Arial" w:cs="Arial"/>
                <w:b/>
                <w:sz w:val="18"/>
                <w:szCs w:val="18"/>
              </w:rPr>
              <w:t>O’Briens</w:t>
            </w:r>
            <w:proofErr w:type="spellEnd"/>
          </w:p>
        </w:tc>
        <w:tc>
          <w:tcPr>
            <w:tcW w:w="1417" w:type="dxa"/>
            <w:shd w:val="clear" w:color="auto" w:fill="FFFFFF"/>
            <w:vAlign w:val="center"/>
          </w:tcPr>
          <w:p w14:paraId="30254F23" w14:textId="77777777" w:rsidR="004F0108" w:rsidRPr="00256EDF" w:rsidRDefault="004F0108" w:rsidP="004F0108">
            <w:pPr>
              <w:pStyle w:val="FootnoteText"/>
              <w:spacing w:line="288" w:lineRule="auto"/>
              <w:jc w:val="center"/>
              <w:rPr>
                <w:rFonts w:ascii="Arial" w:hAnsi="Arial" w:cs="Arial"/>
                <w:sz w:val="18"/>
                <w:szCs w:val="18"/>
              </w:rPr>
            </w:pPr>
            <w:proofErr w:type="spellStart"/>
            <w:r w:rsidRPr="00256EDF">
              <w:rPr>
                <w:rFonts w:ascii="Arial" w:hAnsi="Arial" w:cs="Arial"/>
                <w:sz w:val="18"/>
                <w:szCs w:val="18"/>
              </w:rPr>
              <w:t>CRBio</w:t>
            </w:r>
            <w:proofErr w:type="spellEnd"/>
            <w:r w:rsidRPr="00256EDF">
              <w:rPr>
                <w:rFonts w:ascii="Arial" w:hAnsi="Arial" w:cs="Arial"/>
                <w:sz w:val="18"/>
                <w:szCs w:val="18"/>
              </w:rPr>
              <w:t xml:space="preserve"> </w:t>
            </w:r>
          </w:p>
          <w:p w14:paraId="6B0C0933" w14:textId="2259B8C0" w:rsidR="004F0108" w:rsidRPr="00DB0CD8" w:rsidRDefault="004F0108" w:rsidP="004F0108">
            <w:pPr>
              <w:pStyle w:val="FootnoteText"/>
              <w:spacing w:line="288" w:lineRule="auto"/>
              <w:jc w:val="center"/>
              <w:rPr>
                <w:rFonts w:ascii="Arial" w:hAnsi="Arial" w:cs="Arial"/>
                <w:sz w:val="18"/>
                <w:szCs w:val="18"/>
              </w:rPr>
            </w:pPr>
            <w:r w:rsidRPr="00256EDF">
              <w:rPr>
                <w:rFonts w:ascii="Arial" w:hAnsi="Arial" w:cs="Arial"/>
                <w:sz w:val="18"/>
                <w:szCs w:val="18"/>
              </w:rPr>
              <w:t>05119/02-D</w:t>
            </w:r>
          </w:p>
        </w:tc>
        <w:tc>
          <w:tcPr>
            <w:tcW w:w="1351" w:type="dxa"/>
            <w:shd w:val="clear" w:color="auto" w:fill="FFFFFF"/>
            <w:vAlign w:val="center"/>
          </w:tcPr>
          <w:p w14:paraId="47C9D4D3" w14:textId="671158B7" w:rsidR="004F0108" w:rsidRPr="00DB0CD8" w:rsidRDefault="004F0108" w:rsidP="004F0108">
            <w:pPr>
              <w:spacing w:line="288" w:lineRule="auto"/>
              <w:jc w:val="center"/>
              <w:rPr>
                <w:rFonts w:ascii="Arial" w:hAnsi="Arial" w:cs="Arial"/>
                <w:sz w:val="18"/>
                <w:szCs w:val="18"/>
              </w:rPr>
            </w:pPr>
            <w:r w:rsidRPr="00256EDF">
              <w:rPr>
                <w:rFonts w:ascii="Arial" w:hAnsi="Arial" w:cs="Arial"/>
                <w:sz w:val="18"/>
                <w:szCs w:val="18"/>
              </w:rPr>
              <w:t>195722</w:t>
            </w:r>
          </w:p>
        </w:tc>
        <w:tc>
          <w:tcPr>
            <w:tcW w:w="3402" w:type="dxa"/>
            <w:shd w:val="clear" w:color="auto" w:fill="FFFFFF"/>
            <w:vAlign w:val="center"/>
          </w:tcPr>
          <w:p w14:paraId="24F680B0" w14:textId="5B2C827A" w:rsidR="004F0108" w:rsidRPr="001C229F" w:rsidRDefault="0096069F" w:rsidP="004F0108">
            <w:pPr>
              <w:spacing w:line="288" w:lineRule="auto"/>
              <w:jc w:val="center"/>
              <w:rPr>
                <w:rFonts w:ascii="Arial" w:hAnsi="Arial" w:cs="Arial"/>
                <w:sz w:val="18"/>
                <w:szCs w:val="18"/>
              </w:rPr>
            </w:pPr>
            <w:r>
              <w:rPr>
                <w:noProof/>
              </w:rPr>
              <w:pict w14:anchorId="1F8562D0">
                <v:shape id="Imagem 142" o:spid="_x0000_i1026" type="#_x0000_t75" style="width:114pt;height:35.25pt;visibility:visible">
                  <v:imagedata r:id="rId22" o:title=""/>
                </v:shape>
              </w:pict>
            </w:r>
          </w:p>
        </w:tc>
      </w:tr>
      <w:tr w:rsidR="004F0108" w:rsidRPr="00582022" w14:paraId="6A89432F" w14:textId="77777777" w:rsidTr="00FA0C54">
        <w:trPr>
          <w:cantSplit/>
        </w:trPr>
        <w:tc>
          <w:tcPr>
            <w:tcW w:w="3611" w:type="dxa"/>
            <w:shd w:val="clear" w:color="auto" w:fill="FFFFFF"/>
            <w:vAlign w:val="center"/>
          </w:tcPr>
          <w:p w14:paraId="454B7222" w14:textId="77777777" w:rsidR="004F0108" w:rsidRDefault="004F0108" w:rsidP="004F0108">
            <w:pPr>
              <w:spacing w:after="0" w:line="288" w:lineRule="auto"/>
              <w:rPr>
                <w:rFonts w:ascii="Arial" w:hAnsi="Arial" w:cs="Arial"/>
                <w:sz w:val="18"/>
                <w:szCs w:val="18"/>
              </w:rPr>
            </w:pPr>
            <w:r w:rsidRPr="00256EDF">
              <w:rPr>
                <w:rFonts w:ascii="Arial" w:hAnsi="Arial" w:cs="Arial"/>
                <w:sz w:val="18"/>
                <w:szCs w:val="18"/>
              </w:rPr>
              <w:t>Natalia Saisse</w:t>
            </w:r>
          </w:p>
          <w:p w14:paraId="7A666601" w14:textId="77777777" w:rsidR="004F0108" w:rsidRDefault="004F0108" w:rsidP="004F0108">
            <w:pPr>
              <w:spacing w:after="0" w:line="288" w:lineRule="auto"/>
              <w:rPr>
                <w:rFonts w:ascii="Arial" w:hAnsi="Arial" w:cs="Arial"/>
                <w:sz w:val="18"/>
                <w:szCs w:val="18"/>
              </w:rPr>
            </w:pPr>
            <w:r w:rsidRPr="00256EDF">
              <w:rPr>
                <w:rFonts w:ascii="Arial" w:hAnsi="Arial" w:cs="Arial"/>
                <w:sz w:val="18"/>
                <w:szCs w:val="18"/>
              </w:rPr>
              <w:t>Bióloga/UFF</w:t>
            </w:r>
          </w:p>
          <w:p w14:paraId="4A28E33A" w14:textId="77777777" w:rsidR="004F0108" w:rsidRDefault="004F0108" w:rsidP="004F0108">
            <w:pPr>
              <w:spacing w:after="0" w:line="288" w:lineRule="auto"/>
              <w:rPr>
                <w:rFonts w:ascii="Arial" w:hAnsi="Arial" w:cs="Arial"/>
                <w:sz w:val="18"/>
                <w:szCs w:val="18"/>
              </w:rPr>
            </w:pPr>
            <w:r>
              <w:rPr>
                <w:rFonts w:ascii="Arial" w:hAnsi="Arial" w:cs="Arial"/>
                <w:sz w:val="18"/>
                <w:szCs w:val="18"/>
              </w:rPr>
              <w:t>Pós Gestão Ambiental</w:t>
            </w:r>
            <w:r w:rsidRPr="00256EDF">
              <w:rPr>
                <w:rFonts w:ascii="Arial" w:hAnsi="Arial" w:cs="Arial"/>
                <w:sz w:val="18"/>
                <w:szCs w:val="18"/>
              </w:rPr>
              <w:t xml:space="preserve"> – UFRJ/Instituto Brasil PNUMA</w:t>
            </w:r>
          </w:p>
          <w:p w14:paraId="04E5003C" w14:textId="1DA217B7" w:rsidR="00FC1344" w:rsidRPr="00DB0CD8" w:rsidRDefault="00FC1344" w:rsidP="004F0108">
            <w:pPr>
              <w:spacing w:after="0" w:line="288" w:lineRule="auto"/>
              <w:rPr>
                <w:rFonts w:ascii="Arial" w:eastAsia="Times New Roman" w:hAnsi="Arial" w:cs="Arial"/>
                <w:b/>
                <w:sz w:val="18"/>
                <w:szCs w:val="18"/>
              </w:rPr>
            </w:pPr>
            <w:proofErr w:type="spellStart"/>
            <w:r w:rsidRPr="00582022">
              <w:rPr>
                <w:rFonts w:ascii="Arial" w:eastAsia="Times New Roman" w:hAnsi="Arial" w:cs="Arial"/>
                <w:b/>
                <w:sz w:val="18"/>
                <w:szCs w:val="18"/>
              </w:rPr>
              <w:t>Wiit</w:t>
            </w:r>
            <w:proofErr w:type="spellEnd"/>
            <w:r w:rsidRPr="00582022">
              <w:rPr>
                <w:rFonts w:ascii="Arial" w:eastAsia="Times New Roman" w:hAnsi="Arial" w:cs="Arial"/>
                <w:b/>
                <w:sz w:val="18"/>
                <w:szCs w:val="18"/>
              </w:rPr>
              <w:t xml:space="preserve"> </w:t>
            </w:r>
            <w:proofErr w:type="spellStart"/>
            <w:r w:rsidRPr="00582022">
              <w:rPr>
                <w:rFonts w:ascii="Arial" w:eastAsia="Times New Roman" w:hAnsi="Arial" w:cs="Arial"/>
                <w:b/>
                <w:sz w:val="18"/>
                <w:szCs w:val="18"/>
              </w:rPr>
              <w:t>O’Briens</w:t>
            </w:r>
            <w:proofErr w:type="spellEnd"/>
          </w:p>
        </w:tc>
        <w:tc>
          <w:tcPr>
            <w:tcW w:w="1417" w:type="dxa"/>
            <w:shd w:val="clear" w:color="auto" w:fill="FFFFFF"/>
            <w:vAlign w:val="center"/>
          </w:tcPr>
          <w:p w14:paraId="3268569B" w14:textId="77777777" w:rsidR="004F0108" w:rsidRPr="00256EDF" w:rsidRDefault="004F0108" w:rsidP="004F0108">
            <w:pPr>
              <w:pStyle w:val="FootnoteText"/>
              <w:spacing w:line="288" w:lineRule="auto"/>
              <w:jc w:val="center"/>
              <w:rPr>
                <w:rFonts w:ascii="Arial" w:hAnsi="Arial" w:cs="Arial"/>
                <w:sz w:val="18"/>
                <w:szCs w:val="18"/>
              </w:rPr>
            </w:pPr>
            <w:proofErr w:type="spellStart"/>
            <w:r w:rsidRPr="00256EDF">
              <w:rPr>
                <w:rFonts w:ascii="Arial" w:hAnsi="Arial" w:cs="Arial"/>
                <w:sz w:val="18"/>
                <w:szCs w:val="18"/>
              </w:rPr>
              <w:t>CRBio</w:t>
            </w:r>
            <w:proofErr w:type="spellEnd"/>
            <w:r w:rsidRPr="00256EDF">
              <w:rPr>
                <w:rFonts w:ascii="Arial" w:hAnsi="Arial" w:cs="Arial"/>
                <w:sz w:val="18"/>
                <w:szCs w:val="18"/>
              </w:rPr>
              <w:t xml:space="preserve"> </w:t>
            </w:r>
          </w:p>
          <w:p w14:paraId="6046B1B8" w14:textId="67CF4ACD" w:rsidR="004F0108" w:rsidRPr="00DB0CD8" w:rsidRDefault="004F0108" w:rsidP="004F0108">
            <w:pPr>
              <w:pStyle w:val="FootnoteText"/>
              <w:spacing w:line="288" w:lineRule="auto"/>
              <w:jc w:val="center"/>
              <w:rPr>
                <w:rFonts w:ascii="Arial" w:hAnsi="Arial" w:cs="Arial"/>
                <w:sz w:val="18"/>
                <w:szCs w:val="18"/>
              </w:rPr>
            </w:pPr>
            <w:r w:rsidRPr="00256EDF">
              <w:rPr>
                <w:rFonts w:ascii="Arial" w:hAnsi="Arial" w:cs="Arial"/>
                <w:sz w:val="18"/>
                <w:szCs w:val="18"/>
              </w:rPr>
              <w:t>91223/02</w:t>
            </w:r>
          </w:p>
        </w:tc>
        <w:tc>
          <w:tcPr>
            <w:tcW w:w="1351" w:type="dxa"/>
            <w:shd w:val="clear" w:color="auto" w:fill="FFFFFF"/>
            <w:vAlign w:val="center"/>
          </w:tcPr>
          <w:p w14:paraId="131CDB54" w14:textId="16759A27" w:rsidR="004F0108" w:rsidRPr="00DB0CD8" w:rsidRDefault="004F0108" w:rsidP="004F0108">
            <w:pPr>
              <w:spacing w:line="288" w:lineRule="auto"/>
              <w:jc w:val="center"/>
              <w:rPr>
                <w:rFonts w:ascii="Arial" w:hAnsi="Arial" w:cs="Arial"/>
                <w:sz w:val="18"/>
                <w:szCs w:val="18"/>
              </w:rPr>
            </w:pPr>
            <w:r w:rsidRPr="00256EDF">
              <w:rPr>
                <w:rFonts w:ascii="Arial" w:hAnsi="Arial" w:cs="Arial"/>
                <w:sz w:val="18"/>
                <w:szCs w:val="18"/>
              </w:rPr>
              <w:t>4252747</w:t>
            </w:r>
          </w:p>
        </w:tc>
        <w:tc>
          <w:tcPr>
            <w:tcW w:w="3402" w:type="dxa"/>
            <w:shd w:val="clear" w:color="auto" w:fill="FFFFFF"/>
            <w:vAlign w:val="center"/>
          </w:tcPr>
          <w:p w14:paraId="5516E62E" w14:textId="0F82D279" w:rsidR="004F0108" w:rsidRPr="001C229F" w:rsidRDefault="0096069F" w:rsidP="004F0108">
            <w:pPr>
              <w:spacing w:line="288" w:lineRule="auto"/>
              <w:jc w:val="center"/>
              <w:rPr>
                <w:rFonts w:ascii="Arial" w:hAnsi="Arial" w:cs="Arial"/>
                <w:sz w:val="18"/>
                <w:szCs w:val="18"/>
              </w:rPr>
            </w:pPr>
            <w:r>
              <w:rPr>
                <w:rFonts w:ascii="Arial" w:hAnsi="Arial" w:cs="Arial"/>
                <w:noProof/>
                <w:color w:val="000000"/>
                <w:sz w:val="18"/>
              </w:rPr>
              <w:pict w14:anchorId="38A7916D">
                <v:shape id="Imagem 1056" o:spid="_x0000_i1027" type="#_x0000_t75" style="width:102pt;height:31.5pt;visibility:visible">
                  <v:imagedata r:id="rId23" o:title=""/>
                </v:shape>
              </w:pict>
            </w:r>
          </w:p>
        </w:tc>
      </w:tr>
      <w:tr w:rsidR="009F29A6" w:rsidRPr="00582022" w14:paraId="5381D06B" w14:textId="77777777" w:rsidTr="00D67DA1">
        <w:trPr>
          <w:cantSplit/>
        </w:trPr>
        <w:tc>
          <w:tcPr>
            <w:tcW w:w="3611" w:type="dxa"/>
            <w:shd w:val="clear" w:color="auto" w:fill="FFFFFF"/>
            <w:vAlign w:val="center"/>
          </w:tcPr>
          <w:p w14:paraId="68934164" w14:textId="77777777" w:rsidR="009F29A6" w:rsidRPr="00BE76FB" w:rsidRDefault="009F29A6">
            <w:pPr>
              <w:spacing w:after="0"/>
              <w:rPr>
                <w:rFonts w:ascii="Arial" w:hAnsi="Arial" w:cs="Arial"/>
                <w:sz w:val="18"/>
                <w:szCs w:val="18"/>
              </w:rPr>
            </w:pPr>
            <w:r w:rsidRPr="00BE76FB">
              <w:rPr>
                <w:rFonts w:ascii="Arial" w:hAnsi="Arial" w:cs="Arial"/>
                <w:sz w:val="18"/>
                <w:szCs w:val="18"/>
              </w:rPr>
              <w:t>Álvaro Oliveira</w:t>
            </w:r>
          </w:p>
          <w:p w14:paraId="74407616" w14:textId="77777777" w:rsidR="009F29A6" w:rsidRPr="00BE76FB" w:rsidRDefault="009F29A6">
            <w:pPr>
              <w:spacing w:after="0"/>
              <w:rPr>
                <w:rFonts w:ascii="Arial" w:hAnsi="Arial" w:cs="Arial"/>
                <w:sz w:val="18"/>
                <w:szCs w:val="18"/>
              </w:rPr>
            </w:pPr>
            <w:r w:rsidRPr="00BE76FB">
              <w:rPr>
                <w:rFonts w:ascii="Arial" w:hAnsi="Arial" w:cs="Arial"/>
                <w:sz w:val="18"/>
                <w:szCs w:val="18"/>
              </w:rPr>
              <w:t>Oceanógrafo/UERJ</w:t>
            </w:r>
          </w:p>
          <w:p w14:paraId="67FF253F" w14:textId="77777777" w:rsidR="009F29A6" w:rsidRDefault="009F29A6">
            <w:pPr>
              <w:spacing w:after="0"/>
              <w:rPr>
                <w:rFonts w:ascii="Arial" w:hAnsi="Arial" w:cs="Arial"/>
                <w:sz w:val="18"/>
                <w:szCs w:val="18"/>
              </w:rPr>
            </w:pPr>
            <w:proofErr w:type="spellStart"/>
            <w:r w:rsidRPr="00BE76FB">
              <w:rPr>
                <w:rFonts w:ascii="Arial" w:hAnsi="Arial" w:cs="Arial"/>
                <w:sz w:val="18"/>
                <w:szCs w:val="18"/>
              </w:rPr>
              <w:t>M.Sc</w:t>
            </w:r>
            <w:proofErr w:type="spellEnd"/>
            <w:r w:rsidRPr="00BE76FB">
              <w:rPr>
                <w:rFonts w:ascii="Arial" w:hAnsi="Arial" w:cs="Arial"/>
                <w:sz w:val="18"/>
                <w:szCs w:val="18"/>
              </w:rPr>
              <w:t>. em Gestão Ambiental pela Uni-Kiel</w:t>
            </w:r>
          </w:p>
          <w:p w14:paraId="623DB6DB" w14:textId="4244DA72" w:rsidR="009F29A6" w:rsidRDefault="009F29A6">
            <w:pPr>
              <w:spacing w:after="0"/>
              <w:rPr>
                <w:rFonts w:ascii="Arial" w:hAnsi="Arial" w:cs="Arial"/>
                <w:sz w:val="18"/>
                <w:szCs w:val="18"/>
              </w:rPr>
            </w:pPr>
            <w:r w:rsidRPr="00BE76FB">
              <w:rPr>
                <w:rFonts w:ascii="Arial" w:hAnsi="Arial" w:cs="Arial"/>
                <w:b/>
                <w:sz w:val="18"/>
                <w:szCs w:val="18"/>
              </w:rPr>
              <w:t>AECOM</w:t>
            </w:r>
          </w:p>
        </w:tc>
        <w:tc>
          <w:tcPr>
            <w:tcW w:w="1417" w:type="dxa"/>
            <w:shd w:val="clear" w:color="auto" w:fill="FFFFFF"/>
            <w:vAlign w:val="center"/>
          </w:tcPr>
          <w:p w14:paraId="749CE33F" w14:textId="6D2230F5" w:rsidR="009F29A6" w:rsidRDefault="009F29A6">
            <w:pPr>
              <w:pStyle w:val="FootnoteText"/>
              <w:spacing w:line="288" w:lineRule="auto"/>
              <w:jc w:val="center"/>
              <w:rPr>
                <w:rFonts w:ascii="Arial" w:hAnsi="Arial" w:cs="Arial"/>
                <w:sz w:val="18"/>
                <w:szCs w:val="18"/>
              </w:rPr>
            </w:pPr>
            <w:r w:rsidRPr="008B3D2A">
              <w:rPr>
                <w:rFonts w:ascii="Arial" w:hAnsi="Arial" w:cs="Arial"/>
                <w:sz w:val="18"/>
                <w:szCs w:val="18"/>
              </w:rPr>
              <w:t xml:space="preserve">Não </w:t>
            </w:r>
            <w:r w:rsidR="00D67DA1">
              <w:rPr>
                <w:rFonts w:ascii="Arial" w:hAnsi="Arial" w:cs="Arial"/>
                <w:sz w:val="18"/>
                <w:szCs w:val="18"/>
              </w:rPr>
              <w:t>a</w:t>
            </w:r>
            <w:r w:rsidR="00D67DA1" w:rsidRPr="008B3D2A">
              <w:rPr>
                <w:rFonts w:ascii="Arial" w:hAnsi="Arial" w:cs="Arial"/>
                <w:sz w:val="18"/>
                <w:szCs w:val="18"/>
              </w:rPr>
              <w:t>plicável</w:t>
            </w:r>
          </w:p>
        </w:tc>
        <w:tc>
          <w:tcPr>
            <w:tcW w:w="1351" w:type="dxa"/>
            <w:shd w:val="clear" w:color="auto" w:fill="FFFFFF"/>
            <w:vAlign w:val="center"/>
          </w:tcPr>
          <w:p w14:paraId="41C6D31C" w14:textId="6AEFDB15" w:rsidR="009F29A6" w:rsidRDefault="009F29A6" w:rsidP="00D67DA1">
            <w:pPr>
              <w:spacing w:after="0" w:line="288" w:lineRule="auto"/>
              <w:jc w:val="center"/>
              <w:rPr>
                <w:rFonts w:ascii="Arial" w:hAnsi="Arial" w:cs="Arial"/>
                <w:sz w:val="18"/>
                <w:szCs w:val="18"/>
              </w:rPr>
            </w:pPr>
            <w:r w:rsidRPr="008B3D2A">
              <w:rPr>
                <w:rFonts w:ascii="Arial" w:hAnsi="Arial" w:cs="Arial"/>
                <w:sz w:val="18"/>
                <w:szCs w:val="18"/>
              </w:rPr>
              <w:t>1225963</w:t>
            </w:r>
          </w:p>
        </w:tc>
        <w:tc>
          <w:tcPr>
            <w:tcW w:w="3402" w:type="dxa"/>
            <w:shd w:val="clear" w:color="auto" w:fill="FFFFFF"/>
            <w:vAlign w:val="center"/>
          </w:tcPr>
          <w:p w14:paraId="039DB051" w14:textId="43D254FD" w:rsidR="009F29A6" w:rsidRDefault="0096069F" w:rsidP="00D67DA1">
            <w:pPr>
              <w:spacing w:after="0" w:line="288" w:lineRule="auto"/>
              <w:rPr>
                <w:rFonts w:ascii="Arial" w:hAnsi="Arial" w:cs="Arial"/>
                <w:sz w:val="18"/>
                <w:szCs w:val="18"/>
              </w:rPr>
            </w:pPr>
            <w:r>
              <w:rPr>
                <w:rFonts w:ascii="Arial" w:hAnsi="Arial" w:cs="Arial"/>
                <w:noProof/>
                <w:color w:val="000000"/>
                <w:sz w:val="18"/>
              </w:rPr>
              <w:pict w14:anchorId="0EB4A95F">
                <v:shape id="_x0000_i1028" type="#_x0000_t75" style="width:163.5pt;height:41.25pt;visibility:visible">
                  <v:imagedata r:id="rId24" o:title=""/>
                </v:shape>
              </w:pict>
            </w:r>
          </w:p>
        </w:tc>
      </w:tr>
      <w:tr w:rsidR="004F0108" w:rsidRPr="00582022" w14:paraId="3067BE5E" w14:textId="77777777" w:rsidTr="00F10A8A">
        <w:trPr>
          <w:cantSplit/>
        </w:trPr>
        <w:tc>
          <w:tcPr>
            <w:tcW w:w="3611" w:type="dxa"/>
            <w:shd w:val="clear" w:color="auto" w:fill="FFFFFF"/>
            <w:vAlign w:val="center"/>
          </w:tcPr>
          <w:p w14:paraId="22C7769B" w14:textId="77777777" w:rsidR="004F0108" w:rsidRDefault="004F0108" w:rsidP="004F0108">
            <w:pPr>
              <w:spacing w:after="0"/>
              <w:rPr>
                <w:rFonts w:ascii="Arial" w:hAnsi="Arial" w:cs="Arial"/>
                <w:sz w:val="18"/>
                <w:szCs w:val="18"/>
              </w:rPr>
            </w:pPr>
            <w:r>
              <w:rPr>
                <w:rFonts w:ascii="Arial" w:hAnsi="Arial" w:cs="Arial"/>
                <w:sz w:val="18"/>
                <w:szCs w:val="18"/>
              </w:rPr>
              <w:t>Henery Ferreira Garção</w:t>
            </w:r>
          </w:p>
          <w:p w14:paraId="591DE88E" w14:textId="77777777" w:rsidR="004F0108" w:rsidRDefault="004F0108" w:rsidP="004F0108">
            <w:pPr>
              <w:spacing w:after="0"/>
              <w:rPr>
                <w:rFonts w:ascii="Arial" w:hAnsi="Arial" w:cs="Arial"/>
                <w:sz w:val="18"/>
                <w:szCs w:val="18"/>
              </w:rPr>
            </w:pPr>
            <w:r>
              <w:rPr>
                <w:rFonts w:ascii="Arial" w:hAnsi="Arial" w:cs="Arial"/>
                <w:sz w:val="18"/>
                <w:szCs w:val="18"/>
              </w:rPr>
              <w:t>Oceanógrafo/UFES</w:t>
            </w:r>
          </w:p>
          <w:p w14:paraId="12D16D4D" w14:textId="77777777" w:rsidR="004F0108" w:rsidRDefault="004F0108" w:rsidP="004F0108">
            <w:pPr>
              <w:spacing w:after="0" w:line="288" w:lineRule="auto"/>
              <w:rPr>
                <w:rFonts w:ascii="Arial" w:hAnsi="Arial" w:cs="Arial"/>
                <w:sz w:val="18"/>
                <w:szCs w:val="18"/>
              </w:rPr>
            </w:pPr>
            <w:r>
              <w:rPr>
                <w:rFonts w:ascii="Arial" w:hAnsi="Arial" w:cs="Arial"/>
                <w:sz w:val="18"/>
                <w:szCs w:val="18"/>
              </w:rPr>
              <w:t>M. Sc. Engenharia Ambiental/UFES</w:t>
            </w:r>
          </w:p>
          <w:p w14:paraId="3E2817CA" w14:textId="075AE37D" w:rsidR="00FC1344" w:rsidRPr="00DB0CD8" w:rsidRDefault="00FC1344" w:rsidP="004F0108">
            <w:pPr>
              <w:spacing w:after="0" w:line="288" w:lineRule="auto"/>
              <w:rPr>
                <w:rFonts w:ascii="Arial" w:eastAsia="Times New Roman" w:hAnsi="Arial" w:cs="Arial"/>
                <w:b/>
                <w:sz w:val="18"/>
                <w:szCs w:val="18"/>
              </w:rPr>
            </w:pPr>
            <w:r w:rsidRPr="00582022">
              <w:rPr>
                <w:rFonts w:ascii="Arial" w:eastAsia="Times New Roman" w:hAnsi="Arial" w:cs="Arial"/>
                <w:b/>
                <w:sz w:val="18"/>
                <w:szCs w:val="18"/>
              </w:rPr>
              <w:t>Prooceano</w:t>
            </w:r>
          </w:p>
        </w:tc>
        <w:tc>
          <w:tcPr>
            <w:tcW w:w="1417" w:type="dxa"/>
            <w:shd w:val="clear" w:color="auto" w:fill="FFFFFF"/>
            <w:vAlign w:val="center"/>
          </w:tcPr>
          <w:p w14:paraId="23257CFF" w14:textId="01551364" w:rsidR="004F0108" w:rsidRPr="00DB0CD8" w:rsidRDefault="004F0108" w:rsidP="004F0108">
            <w:pPr>
              <w:pStyle w:val="FootnoteText"/>
              <w:spacing w:line="288" w:lineRule="auto"/>
              <w:jc w:val="center"/>
              <w:rPr>
                <w:rFonts w:ascii="Arial" w:hAnsi="Arial" w:cs="Arial"/>
                <w:sz w:val="18"/>
                <w:szCs w:val="18"/>
              </w:rPr>
            </w:pPr>
            <w:r>
              <w:rPr>
                <w:rFonts w:ascii="Arial" w:hAnsi="Arial" w:cs="Arial"/>
                <w:sz w:val="18"/>
                <w:szCs w:val="18"/>
              </w:rPr>
              <w:t>Não aplicável</w:t>
            </w:r>
          </w:p>
        </w:tc>
        <w:tc>
          <w:tcPr>
            <w:tcW w:w="1351" w:type="dxa"/>
            <w:shd w:val="clear" w:color="auto" w:fill="FFFFFF"/>
            <w:vAlign w:val="center"/>
          </w:tcPr>
          <w:p w14:paraId="70390997" w14:textId="37D596BB" w:rsidR="004F0108" w:rsidRPr="00DB0CD8" w:rsidRDefault="004F0108" w:rsidP="004F0108">
            <w:pPr>
              <w:spacing w:line="288" w:lineRule="auto"/>
              <w:jc w:val="center"/>
              <w:rPr>
                <w:rFonts w:ascii="Arial" w:hAnsi="Arial" w:cs="Arial"/>
                <w:sz w:val="18"/>
                <w:szCs w:val="18"/>
              </w:rPr>
            </w:pPr>
            <w:r>
              <w:rPr>
                <w:rFonts w:ascii="Arial" w:hAnsi="Arial" w:cs="Arial"/>
                <w:sz w:val="18"/>
                <w:szCs w:val="18"/>
              </w:rPr>
              <w:t>3790998</w:t>
            </w:r>
          </w:p>
        </w:tc>
        <w:tc>
          <w:tcPr>
            <w:tcW w:w="3402" w:type="dxa"/>
            <w:shd w:val="clear" w:color="auto" w:fill="FFFFFF"/>
            <w:vAlign w:val="center"/>
          </w:tcPr>
          <w:p w14:paraId="5731E695" w14:textId="7849AC30" w:rsidR="004F0108" w:rsidRPr="001C229F" w:rsidRDefault="0096069F" w:rsidP="004F0108">
            <w:pPr>
              <w:spacing w:line="288" w:lineRule="auto"/>
              <w:jc w:val="center"/>
              <w:rPr>
                <w:rFonts w:ascii="Arial" w:hAnsi="Arial" w:cs="Arial"/>
                <w:sz w:val="18"/>
                <w:szCs w:val="18"/>
              </w:rPr>
            </w:pPr>
            <w:r>
              <w:rPr>
                <w:rFonts w:ascii="Arial" w:hAnsi="Arial" w:cs="Arial"/>
                <w:sz w:val="18"/>
                <w:szCs w:val="18"/>
              </w:rPr>
              <w:pict w14:anchorId="18044EA4">
                <v:shape id="_x0000_i1029" type="#_x0000_t75" style="width:88.5pt;height:42pt">
                  <v:imagedata r:id="rId25" o:title="assinatura_henery"/>
                </v:shape>
              </w:pict>
            </w:r>
          </w:p>
        </w:tc>
      </w:tr>
      <w:tr w:rsidR="004F0108" w:rsidRPr="00582022" w14:paraId="2FCD8C47" w14:textId="77777777" w:rsidTr="00F10A8A">
        <w:trPr>
          <w:cantSplit/>
        </w:trPr>
        <w:tc>
          <w:tcPr>
            <w:tcW w:w="3611" w:type="dxa"/>
            <w:shd w:val="clear" w:color="auto" w:fill="FFFFFF"/>
            <w:vAlign w:val="center"/>
          </w:tcPr>
          <w:p w14:paraId="2F42C8B5" w14:textId="77777777" w:rsidR="004F0108" w:rsidRDefault="004F0108" w:rsidP="004F0108">
            <w:pPr>
              <w:spacing w:after="0"/>
              <w:rPr>
                <w:rFonts w:ascii="Arial" w:hAnsi="Arial" w:cs="Arial"/>
                <w:sz w:val="18"/>
                <w:szCs w:val="18"/>
              </w:rPr>
            </w:pPr>
            <w:r>
              <w:rPr>
                <w:rFonts w:ascii="Arial" w:hAnsi="Arial" w:cs="Arial"/>
                <w:sz w:val="18"/>
                <w:szCs w:val="18"/>
              </w:rPr>
              <w:t>Júlio Augusto de Castro Pellegrini</w:t>
            </w:r>
          </w:p>
          <w:p w14:paraId="301A8C77" w14:textId="77777777" w:rsidR="004F0108" w:rsidRDefault="004F0108" w:rsidP="004F0108">
            <w:pPr>
              <w:spacing w:after="0"/>
              <w:rPr>
                <w:rFonts w:ascii="Arial" w:hAnsi="Arial" w:cs="Arial"/>
                <w:sz w:val="18"/>
                <w:szCs w:val="18"/>
              </w:rPr>
            </w:pPr>
            <w:r>
              <w:rPr>
                <w:rFonts w:ascii="Arial" w:hAnsi="Arial" w:cs="Arial"/>
                <w:sz w:val="18"/>
                <w:szCs w:val="18"/>
              </w:rPr>
              <w:t>Oceanógrafo/UERJ</w:t>
            </w:r>
          </w:p>
          <w:p w14:paraId="5F22CD24" w14:textId="77777777" w:rsidR="004F0108" w:rsidRDefault="004F0108" w:rsidP="004F0108">
            <w:pPr>
              <w:spacing w:after="0" w:line="288" w:lineRule="auto"/>
              <w:rPr>
                <w:rFonts w:ascii="Arial" w:hAnsi="Arial" w:cs="Arial"/>
                <w:sz w:val="18"/>
                <w:szCs w:val="18"/>
              </w:rPr>
            </w:pPr>
            <w:r>
              <w:rPr>
                <w:rFonts w:ascii="Arial" w:hAnsi="Arial" w:cs="Arial"/>
                <w:sz w:val="18"/>
                <w:szCs w:val="18"/>
              </w:rPr>
              <w:t>D. Sc. Meio Ambiente PPG-MA /UERJ</w:t>
            </w:r>
          </w:p>
          <w:p w14:paraId="0A1BB794" w14:textId="5524C720" w:rsidR="00FC1344" w:rsidRPr="00DB0CD8" w:rsidRDefault="00FC1344" w:rsidP="004F0108">
            <w:pPr>
              <w:spacing w:after="0" w:line="288" w:lineRule="auto"/>
              <w:rPr>
                <w:rFonts w:ascii="Arial" w:eastAsia="Times New Roman" w:hAnsi="Arial" w:cs="Arial"/>
                <w:b/>
                <w:sz w:val="18"/>
                <w:szCs w:val="18"/>
              </w:rPr>
            </w:pPr>
            <w:r w:rsidRPr="00582022">
              <w:rPr>
                <w:rFonts w:ascii="Arial" w:eastAsia="Times New Roman" w:hAnsi="Arial" w:cs="Arial"/>
                <w:b/>
                <w:sz w:val="18"/>
                <w:szCs w:val="18"/>
              </w:rPr>
              <w:t>Prooceano</w:t>
            </w:r>
          </w:p>
        </w:tc>
        <w:tc>
          <w:tcPr>
            <w:tcW w:w="1417" w:type="dxa"/>
            <w:shd w:val="clear" w:color="auto" w:fill="FFFFFF"/>
            <w:vAlign w:val="center"/>
          </w:tcPr>
          <w:p w14:paraId="645E636F" w14:textId="3D5F99A2" w:rsidR="004F0108" w:rsidRPr="00DB0CD8" w:rsidRDefault="004F0108" w:rsidP="004F0108">
            <w:pPr>
              <w:pStyle w:val="FootnoteText"/>
              <w:spacing w:line="288" w:lineRule="auto"/>
              <w:jc w:val="center"/>
              <w:rPr>
                <w:rFonts w:ascii="Arial" w:hAnsi="Arial" w:cs="Arial"/>
                <w:sz w:val="18"/>
                <w:szCs w:val="18"/>
              </w:rPr>
            </w:pPr>
            <w:r>
              <w:rPr>
                <w:rFonts w:ascii="Arial" w:hAnsi="Arial" w:cs="Arial"/>
                <w:sz w:val="18"/>
                <w:szCs w:val="18"/>
              </w:rPr>
              <w:t>Não aplicável</w:t>
            </w:r>
          </w:p>
        </w:tc>
        <w:tc>
          <w:tcPr>
            <w:tcW w:w="1351" w:type="dxa"/>
            <w:shd w:val="clear" w:color="auto" w:fill="FFFFFF"/>
            <w:vAlign w:val="center"/>
          </w:tcPr>
          <w:p w14:paraId="14197BC8" w14:textId="1795C0C8" w:rsidR="004F0108" w:rsidRPr="00DB0CD8" w:rsidRDefault="004F0108" w:rsidP="004F0108">
            <w:pPr>
              <w:spacing w:line="288" w:lineRule="auto"/>
              <w:jc w:val="center"/>
              <w:rPr>
                <w:rFonts w:ascii="Arial" w:hAnsi="Arial" w:cs="Arial"/>
                <w:sz w:val="18"/>
                <w:szCs w:val="18"/>
              </w:rPr>
            </w:pPr>
            <w:r>
              <w:rPr>
                <w:rFonts w:ascii="Arial" w:hAnsi="Arial" w:cs="Arial"/>
                <w:sz w:val="18"/>
                <w:szCs w:val="18"/>
              </w:rPr>
              <w:t>210325</w:t>
            </w:r>
          </w:p>
        </w:tc>
        <w:tc>
          <w:tcPr>
            <w:tcW w:w="3402" w:type="dxa"/>
            <w:shd w:val="clear" w:color="auto" w:fill="FFFFFF"/>
            <w:vAlign w:val="center"/>
          </w:tcPr>
          <w:p w14:paraId="30AE750F" w14:textId="264819AB" w:rsidR="004F0108" w:rsidRPr="001C229F" w:rsidRDefault="0096069F" w:rsidP="004F0108">
            <w:pPr>
              <w:spacing w:line="288" w:lineRule="auto"/>
              <w:jc w:val="center"/>
              <w:rPr>
                <w:rFonts w:ascii="Arial" w:hAnsi="Arial" w:cs="Arial"/>
                <w:sz w:val="18"/>
                <w:szCs w:val="18"/>
              </w:rPr>
            </w:pPr>
            <w:r>
              <w:rPr>
                <w:rFonts w:ascii="Arial" w:hAnsi="Arial" w:cs="Arial"/>
                <w:sz w:val="18"/>
                <w:szCs w:val="18"/>
              </w:rPr>
              <w:pict w14:anchorId="671185D5">
                <v:shape id="_x0000_i1030" type="#_x0000_t75" style="width:114.75pt;height:46.5pt">
                  <v:imagedata r:id="rId26" o:title="assinatura_julio"/>
                </v:shape>
              </w:pict>
            </w:r>
          </w:p>
        </w:tc>
      </w:tr>
      <w:tr w:rsidR="004F0108" w:rsidRPr="00582022" w14:paraId="4F189619" w14:textId="77777777" w:rsidTr="00F10A8A">
        <w:trPr>
          <w:cantSplit/>
        </w:trPr>
        <w:tc>
          <w:tcPr>
            <w:tcW w:w="3611" w:type="dxa"/>
            <w:shd w:val="clear" w:color="auto" w:fill="FFFFFF"/>
            <w:vAlign w:val="center"/>
          </w:tcPr>
          <w:p w14:paraId="52E2000D" w14:textId="77777777" w:rsidR="004F0108" w:rsidRDefault="004F0108" w:rsidP="004F0108">
            <w:pPr>
              <w:spacing w:after="0"/>
              <w:rPr>
                <w:rFonts w:ascii="Arial" w:hAnsi="Arial" w:cs="Arial"/>
                <w:sz w:val="18"/>
                <w:szCs w:val="18"/>
              </w:rPr>
            </w:pPr>
            <w:r>
              <w:rPr>
                <w:rFonts w:ascii="Arial" w:hAnsi="Arial" w:cs="Arial"/>
                <w:sz w:val="18"/>
                <w:szCs w:val="18"/>
              </w:rPr>
              <w:t>Lívia Sant’</w:t>
            </w:r>
            <w:proofErr w:type="spellStart"/>
            <w:r>
              <w:rPr>
                <w:rFonts w:ascii="Arial" w:hAnsi="Arial" w:cs="Arial"/>
                <w:sz w:val="18"/>
                <w:szCs w:val="18"/>
              </w:rPr>
              <w:t>Angelo</w:t>
            </w:r>
            <w:proofErr w:type="spellEnd"/>
            <w:r>
              <w:rPr>
                <w:rFonts w:ascii="Arial" w:hAnsi="Arial" w:cs="Arial"/>
                <w:sz w:val="18"/>
                <w:szCs w:val="18"/>
              </w:rPr>
              <w:t xml:space="preserve"> Mariano</w:t>
            </w:r>
          </w:p>
          <w:p w14:paraId="0C9C6B32" w14:textId="77777777" w:rsidR="004F0108" w:rsidRDefault="004F0108" w:rsidP="004F0108">
            <w:pPr>
              <w:spacing w:after="0" w:line="288" w:lineRule="auto"/>
              <w:rPr>
                <w:rFonts w:ascii="Arial" w:hAnsi="Arial" w:cs="Arial"/>
                <w:sz w:val="18"/>
                <w:szCs w:val="18"/>
              </w:rPr>
            </w:pPr>
            <w:r>
              <w:rPr>
                <w:rFonts w:ascii="Arial" w:hAnsi="Arial" w:cs="Arial"/>
                <w:sz w:val="18"/>
                <w:szCs w:val="18"/>
              </w:rPr>
              <w:t>Oceanógrafa/UERJ</w:t>
            </w:r>
          </w:p>
          <w:p w14:paraId="4D96B43C" w14:textId="67C90459" w:rsidR="00FC1344" w:rsidRPr="00DB0CD8" w:rsidRDefault="00FC1344" w:rsidP="004F0108">
            <w:pPr>
              <w:spacing w:after="0" w:line="288" w:lineRule="auto"/>
              <w:rPr>
                <w:rFonts w:ascii="Arial" w:eastAsia="Times New Roman" w:hAnsi="Arial" w:cs="Arial"/>
                <w:b/>
                <w:sz w:val="18"/>
                <w:szCs w:val="18"/>
              </w:rPr>
            </w:pPr>
            <w:r w:rsidRPr="00582022">
              <w:rPr>
                <w:rFonts w:ascii="Arial" w:eastAsia="Times New Roman" w:hAnsi="Arial" w:cs="Arial"/>
                <w:b/>
                <w:sz w:val="18"/>
                <w:szCs w:val="18"/>
              </w:rPr>
              <w:t>Prooceano</w:t>
            </w:r>
          </w:p>
        </w:tc>
        <w:tc>
          <w:tcPr>
            <w:tcW w:w="1417" w:type="dxa"/>
            <w:shd w:val="clear" w:color="auto" w:fill="FFFFFF"/>
            <w:vAlign w:val="center"/>
          </w:tcPr>
          <w:p w14:paraId="298D3EB6" w14:textId="370D6E11" w:rsidR="004F0108" w:rsidRPr="00DB0CD8" w:rsidRDefault="004F0108" w:rsidP="004F0108">
            <w:pPr>
              <w:pStyle w:val="FootnoteText"/>
              <w:spacing w:line="288" w:lineRule="auto"/>
              <w:jc w:val="center"/>
              <w:rPr>
                <w:rFonts w:ascii="Arial" w:hAnsi="Arial" w:cs="Arial"/>
                <w:sz w:val="18"/>
                <w:szCs w:val="18"/>
              </w:rPr>
            </w:pPr>
            <w:r>
              <w:rPr>
                <w:rFonts w:ascii="Arial" w:hAnsi="Arial" w:cs="Arial"/>
                <w:sz w:val="18"/>
                <w:szCs w:val="18"/>
              </w:rPr>
              <w:t>Não aplicável</w:t>
            </w:r>
          </w:p>
        </w:tc>
        <w:tc>
          <w:tcPr>
            <w:tcW w:w="1351" w:type="dxa"/>
            <w:shd w:val="clear" w:color="auto" w:fill="FFFFFF"/>
            <w:vAlign w:val="center"/>
          </w:tcPr>
          <w:p w14:paraId="2AAB8896" w14:textId="19445DD1" w:rsidR="004F0108" w:rsidRPr="00DB0CD8" w:rsidRDefault="004F0108" w:rsidP="004F0108">
            <w:pPr>
              <w:spacing w:line="288" w:lineRule="auto"/>
              <w:jc w:val="center"/>
              <w:rPr>
                <w:rFonts w:ascii="Arial" w:hAnsi="Arial" w:cs="Arial"/>
                <w:sz w:val="18"/>
                <w:szCs w:val="18"/>
              </w:rPr>
            </w:pPr>
            <w:r>
              <w:rPr>
                <w:rFonts w:ascii="Arial" w:hAnsi="Arial" w:cs="Arial"/>
                <w:sz w:val="18"/>
                <w:szCs w:val="18"/>
              </w:rPr>
              <w:t>6005736</w:t>
            </w:r>
          </w:p>
        </w:tc>
        <w:tc>
          <w:tcPr>
            <w:tcW w:w="3402" w:type="dxa"/>
            <w:shd w:val="clear" w:color="auto" w:fill="FFFFFF"/>
            <w:vAlign w:val="center"/>
          </w:tcPr>
          <w:p w14:paraId="11A3AC60" w14:textId="3605AD64" w:rsidR="004F0108" w:rsidRPr="001C229F" w:rsidRDefault="0096069F" w:rsidP="004F0108">
            <w:pPr>
              <w:spacing w:line="288" w:lineRule="auto"/>
              <w:jc w:val="center"/>
              <w:rPr>
                <w:rFonts w:ascii="Arial" w:hAnsi="Arial" w:cs="Arial"/>
                <w:sz w:val="18"/>
                <w:szCs w:val="18"/>
              </w:rPr>
            </w:pPr>
            <w:r>
              <w:rPr>
                <w:rFonts w:ascii="Arial" w:hAnsi="Arial" w:cs="Arial"/>
                <w:sz w:val="18"/>
                <w:szCs w:val="18"/>
              </w:rPr>
              <w:pict w14:anchorId="6ECFD405">
                <v:shape id="_x0000_i1031" type="#_x0000_t75" style="width:162.75pt;height:30pt">
                  <v:imagedata r:id="rId27" o:title="assinatura_livia"/>
                </v:shape>
              </w:pict>
            </w:r>
          </w:p>
        </w:tc>
      </w:tr>
      <w:tr w:rsidR="004F0108" w:rsidRPr="00582022" w14:paraId="7763EA8B" w14:textId="77777777" w:rsidTr="00F10A8A">
        <w:trPr>
          <w:cantSplit/>
        </w:trPr>
        <w:tc>
          <w:tcPr>
            <w:tcW w:w="3611" w:type="dxa"/>
            <w:shd w:val="clear" w:color="auto" w:fill="FFFFFF"/>
            <w:vAlign w:val="center"/>
          </w:tcPr>
          <w:p w14:paraId="0EE925BD" w14:textId="77777777" w:rsidR="004F0108" w:rsidRDefault="004F0108" w:rsidP="004F0108">
            <w:pPr>
              <w:spacing w:after="0"/>
              <w:rPr>
                <w:rFonts w:ascii="Arial" w:hAnsi="Arial" w:cs="Arial"/>
                <w:sz w:val="18"/>
                <w:szCs w:val="18"/>
              </w:rPr>
            </w:pPr>
            <w:r>
              <w:rPr>
                <w:rFonts w:ascii="Arial" w:hAnsi="Arial" w:cs="Arial"/>
                <w:sz w:val="18"/>
                <w:szCs w:val="18"/>
              </w:rPr>
              <w:t>Marcelo Montenegro Cabral</w:t>
            </w:r>
          </w:p>
          <w:p w14:paraId="21597B1C" w14:textId="77777777" w:rsidR="004F0108" w:rsidRDefault="004F0108" w:rsidP="004F0108">
            <w:pPr>
              <w:spacing w:after="0"/>
              <w:rPr>
                <w:rFonts w:ascii="Arial" w:hAnsi="Arial" w:cs="Arial"/>
                <w:sz w:val="18"/>
                <w:szCs w:val="18"/>
              </w:rPr>
            </w:pPr>
            <w:r>
              <w:rPr>
                <w:rFonts w:ascii="Arial" w:hAnsi="Arial" w:cs="Arial"/>
                <w:sz w:val="18"/>
                <w:szCs w:val="18"/>
              </w:rPr>
              <w:t>Engenheiro Civil/UFPE</w:t>
            </w:r>
          </w:p>
          <w:p w14:paraId="1D469F4C" w14:textId="77777777" w:rsidR="004F0108" w:rsidRDefault="004F0108" w:rsidP="004F0108">
            <w:pPr>
              <w:spacing w:after="0" w:line="288" w:lineRule="auto"/>
              <w:rPr>
                <w:rFonts w:ascii="Arial" w:hAnsi="Arial" w:cs="Arial"/>
                <w:sz w:val="18"/>
                <w:szCs w:val="18"/>
              </w:rPr>
            </w:pPr>
            <w:r>
              <w:rPr>
                <w:rFonts w:ascii="Arial" w:hAnsi="Arial" w:cs="Arial"/>
                <w:sz w:val="18"/>
                <w:szCs w:val="18"/>
              </w:rPr>
              <w:t>D. Sc. Engenharia Oceânica COPPE/UFRJ</w:t>
            </w:r>
          </w:p>
          <w:p w14:paraId="0801058B" w14:textId="3959E639" w:rsidR="00292D09" w:rsidRPr="00DB0CD8" w:rsidRDefault="00292D09" w:rsidP="004F0108">
            <w:pPr>
              <w:spacing w:after="0" w:line="288" w:lineRule="auto"/>
              <w:rPr>
                <w:rFonts w:ascii="Arial" w:eastAsia="Times New Roman" w:hAnsi="Arial" w:cs="Arial"/>
                <w:b/>
                <w:sz w:val="18"/>
                <w:szCs w:val="18"/>
              </w:rPr>
            </w:pPr>
            <w:r w:rsidRPr="00582022">
              <w:rPr>
                <w:rFonts w:ascii="Arial" w:eastAsia="Times New Roman" w:hAnsi="Arial" w:cs="Arial"/>
                <w:b/>
                <w:sz w:val="18"/>
                <w:szCs w:val="18"/>
              </w:rPr>
              <w:t>Prooceano</w:t>
            </w:r>
          </w:p>
        </w:tc>
        <w:tc>
          <w:tcPr>
            <w:tcW w:w="1417" w:type="dxa"/>
            <w:shd w:val="clear" w:color="auto" w:fill="FFFFFF"/>
            <w:vAlign w:val="center"/>
          </w:tcPr>
          <w:p w14:paraId="2A3E4AF6" w14:textId="12D9AC9F" w:rsidR="004F0108" w:rsidRPr="00DB0CD8" w:rsidRDefault="004F0108" w:rsidP="004F0108">
            <w:pPr>
              <w:pStyle w:val="FootnoteText"/>
              <w:spacing w:line="288" w:lineRule="auto"/>
              <w:jc w:val="center"/>
              <w:rPr>
                <w:rFonts w:ascii="Arial" w:hAnsi="Arial" w:cs="Arial"/>
                <w:sz w:val="18"/>
                <w:szCs w:val="18"/>
              </w:rPr>
            </w:pPr>
            <w:r>
              <w:rPr>
                <w:rFonts w:ascii="Arial" w:hAnsi="Arial" w:cs="Arial"/>
                <w:sz w:val="18"/>
                <w:szCs w:val="18"/>
              </w:rPr>
              <w:t>CREA/RJ 2010110225</w:t>
            </w:r>
          </w:p>
        </w:tc>
        <w:tc>
          <w:tcPr>
            <w:tcW w:w="1351" w:type="dxa"/>
            <w:shd w:val="clear" w:color="auto" w:fill="FFFFFF"/>
            <w:vAlign w:val="center"/>
          </w:tcPr>
          <w:p w14:paraId="32CE9250" w14:textId="43C01AB1" w:rsidR="004F0108" w:rsidRPr="00DB0CD8" w:rsidRDefault="004F0108" w:rsidP="004F0108">
            <w:pPr>
              <w:spacing w:line="288" w:lineRule="auto"/>
              <w:jc w:val="center"/>
              <w:rPr>
                <w:rFonts w:ascii="Arial" w:hAnsi="Arial" w:cs="Arial"/>
                <w:sz w:val="18"/>
                <w:szCs w:val="18"/>
              </w:rPr>
            </w:pPr>
            <w:r>
              <w:rPr>
                <w:rFonts w:ascii="Arial" w:hAnsi="Arial" w:cs="Arial"/>
                <w:sz w:val="18"/>
                <w:szCs w:val="18"/>
              </w:rPr>
              <w:t>5621594</w:t>
            </w:r>
          </w:p>
        </w:tc>
        <w:tc>
          <w:tcPr>
            <w:tcW w:w="3402" w:type="dxa"/>
            <w:shd w:val="clear" w:color="auto" w:fill="FFFFFF"/>
            <w:vAlign w:val="center"/>
          </w:tcPr>
          <w:p w14:paraId="39CFE3D3" w14:textId="3995988C" w:rsidR="004F0108" w:rsidRPr="001C229F" w:rsidRDefault="0096069F" w:rsidP="004F0108">
            <w:pPr>
              <w:spacing w:line="288" w:lineRule="auto"/>
              <w:jc w:val="center"/>
              <w:rPr>
                <w:rFonts w:ascii="Arial" w:hAnsi="Arial" w:cs="Arial"/>
                <w:sz w:val="18"/>
                <w:szCs w:val="18"/>
              </w:rPr>
            </w:pPr>
            <w:r>
              <w:rPr>
                <w:rFonts w:ascii="Arial" w:hAnsi="Arial" w:cs="Arial"/>
                <w:sz w:val="18"/>
                <w:szCs w:val="18"/>
              </w:rPr>
              <w:pict w14:anchorId="3BCCC45B">
                <v:shape id="_x0000_i1032" type="#_x0000_t75" style="width:154.5pt;height:52.5pt">
                  <v:imagedata r:id="rId28" o:title="assinatura_marcelo"/>
                </v:shape>
              </w:pict>
            </w:r>
          </w:p>
        </w:tc>
      </w:tr>
    </w:tbl>
    <w:p w14:paraId="6580F046" w14:textId="5DB48BD2" w:rsidR="00772086" w:rsidRPr="00237B91" w:rsidRDefault="00772086">
      <w:pPr>
        <w:rPr>
          <w:rFonts w:ascii="Times New Roman" w:hAnsi="Times New Roman" w:cs="Times New Roman"/>
          <w:b/>
        </w:rPr>
      </w:pPr>
      <w:r w:rsidRPr="00237B91">
        <w:rPr>
          <w:rFonts w:ascii="Times New Roman" w:hAnsi="Times New Roman" w:cs="Times New Roman"/>
          <w:b/>
        </w:rPr>
        <w:br w:type="page"/>
      </w:r>
    </w:p>
    <w:p w14:paraId="54081187" w14:textId="26DF7464" w:rsidR="00324ACC" w:rsidRPr="004F0108" w:rsidRDefault="00042EF4" w:rsidP="00324ACC">
      <w:pPr>
        <w:autoSpaceDE w:val="0"/>
        <w:spacing w:before="240" w:after="0" w:line="288" w:lineRule="auto"/>
        <w:jc w:val="both"/>
        <w:rPr>
          <w:rFonts w:ascii="Arial" w:hAnsi="Arial" w:cs="Arial"/>
        </w:rPr>
      </w:pPr>
      <w:r w:rsidRPr="004F0108">
        <w:rPr>
          <w:rFonts w:ascii="Arial" w:hAnsi="Arial" w:cs="Arial"/>
          <w:b/>
        </w:rPr>
        <w:lastRenderedPageBreak/>
        <w:t>R</w:t>
      </w:r>
      <w:r w:rsidR="007200F8" w:rsidRPr="004F0108">
        <w:rPr>
          <w:rFonts w:ascii="Arial" w:hAnsi="Arial" w:cs="Arial"/>
          <w:b/>
        </w:rPr>
        <w:t>EFERÊNCIA</w:t>
      </w:r>
      <w:r w:rsidR="009E3A76" w:rsidRPr="004F0108">
        <w:rPr>
          <w:rFonts w:ascii="Arial" w:hAnsi="Arial" w:cs="Arial"/>
          <w:b/>
        </w:rPr>
        <w:t>S</w:t>
      </w:r>
      <w:r w:rsidR="007200F8" w:rsidRPr="004F0108">
        <w:rPr>
          <w:rFonts w:ascii="Arial" w:hAnsi="Arial" w:cs="Arial"/>
          <w:b/>
        </w:rPr>
        <w:t xml:space="preserve"> BIBLIOGRÁFICA</w:t>
      </w:r>
      <w:r w:rsidR="009E3A76" w:rsidRPr="004F0108">
        <w:rPr>
          <w:rFonts w:ascii="Arial" w:hAnsi="Arial" w:cs="Arial"/>
          <w:b/>
        </w:rPr>
        <w:t>S</w:t>
      </w:r>
    </w:p>
    <w:p w14:paraId="2F43B9AC" w14:textId="77777777" w:rsidR="00CE2E90" w:rsidRPr="004F0108" w:rsidRDefault="00CE2E90" w:rsidP="00CE2E90">
      <w:pPr>
        <w:widowControl w:val="0"/>
        <w:spacing w:before="240" w:line="288" w:lineRule="auto"/>
        <w:jc w:val="both"/>
        <w:rPr>
          <w:rFonts w:ascii="Times New Roman" w:hAnsi="Times New Roman" w:cs="Times New Roman"/>
        </w:rPr>
      </w:pPr>
      <w:r w:rsidRPr="004F0108">
        <w:rPr>
          <w:rFonts w:ascii="Times New Roman" w:hAnsi="Times New Roman" w:cs="Times New Roman"/>
        </w:rPr>
        <w:t>DNV (</w:t>
      </w:r>
      <w:r w:rsidRPr="004F0108">
        <w:rPr>
          <w:rFonts w:ascii="Times New Roman" w:hAnsi="Times New Roman" w:cs="Times New Roman"/>
          <w:caps/>
        </w:rPr>
        <w:t>Det Norske Veritas</w:t>
      </w:r>
      <w:r w:rsidRPr="004F0108">
        <w:rPr>
          <w:rFonts w:ascii="Times New Roman" w:hAnsi="Times New Roman" w:cs="Times New Roman"/>
        </w:rPr>
        <w:t xml:space="preserve">). </w:t>
      </w:r>
      <w:r w:rsidRPr="004F0108">
        <w:rPr>
          <w:rFonts w:ascii="Times New Roman" w:hAnsi="Times New Roman" w:cs="Times New Roman"/>
          <w:lang w:val="en-US"/>
        </w:rPr>
        <w:t xml:space="preserve">WOAD – World Offshore Accident Database, </w:t>
      </w:r>
      <w:r w:rsidRPr="004F0108">
        <w:rPr>
          <w:rFonts w:ascii="Times New Roman" w:hAnsi="Times New Roman" w:cs="Times New Roman"/>
          <w:b/>
          <w:lang w:val="en-US"/>
        </w:rPr>
        <w:t>Statistical Report</w:t>
      </w:r>
      <w:r w:rsidRPr="004F0108">
        <w:rPr>
          <w:rFonts w:ascii="Times New Roman" w:hAnsi="Times New Roman" w:cs="Times New Roman"/>
          <w:lang w:val="en-US"/>
        </w:rPr>
        <w:t xml:space="preserve"> 1998. </w:t>
      </w:r>
      <w:r w:rsidRPr="004F0108">
        <w:rPr>
          <w:rFonts w:ascii="Times New Roman" w:hAnsi="Times New Roman" w:cs="Times New Roman"/>
        </w:rPr>
        <w:t>1999.</w:t>
      </w:r>
    </w:p>
    <w:p w14:paraId="5436BDA5" w14:textId="77777777" w:rsidR="00CE2E90" w:rsidRPr="004F0108" w:rsidRDefault="00CE2E90" w:rsidP="00702D64">
      <w:pPr>
        <w:spacing w:before="240" w:after="0" w:line="288" w:lineRule="auto"/>
        <w:jc w:val="both"/>
        <w:rPr>
          <w:rFonts w:ascii="Times New Roman" w:hAnsi="Times New Roman" w:cs="Times New Roman"/>
          <w:lang w:val="en-US"/>
        </w:rPr>
      </w:pPr>
      <w:r w:rsidRPr="004F0108">
        <w:rPr>
          <w:rFonts w:ascii="Times New Roman" w:hAnsi="Times New Roman" w:cs="Times New Roman"/>
          <w:lang w:val="en-US"/>
        </w:rPr>
        <w:t xml:space="preserve">HAUGE, S.; KRÄKENES, T.; </w:t>
      </w:r>
      <w:proofErr w:type="gramStart"/>
      <w:r w:rsidRPr="004F0108">
        <w:rPr>
          <w:rFonts w:ascii="Times New Roman" w:hAnsi="Times New Roman" w:cs="Times New Roman"/>
          <w:lang w:val="en-US"/>
        </w:rPr>
        <w:t>HÄBREKKE,S.</w:t>
      </w:r>
      <w:proofErr w:type="gramEnd"/>
      <w:r w:rsidRPr="004F0108">
        <w:rPr>
          <w:rFonts w:ascii="Times New Roman" w:hAnsi="Times New Roman" w:cs="Times New Roman"/>
          <w:lang w:val="en-US"/>
        </w:rPr>
        <w:t>; JOHANSEN, G.; MERZ, M.; ONSHUS, T. 2011. Barriers to prevent and limit acute releases to sea. Environmental risk acceptance criteria and requirements to safety systems</w:t>
      </w:r>
      <w:r w:rsidRPr="004F0108">
        <w:rPr>
          <w:rFonts w:ascii="Times New Roman" w:hAnsi="Times New Roman" w:cs="Times New Roman"/>
          <w:b/>
          <w:lang w:val="en-US"/>
        </w:rPr>
        <w:t>. SINTEF</w:t>
      </w:r>
      <w:r w:rsidRPr="004F0108">
        <w:rPr>
          <w:rFonts w:ascii="Times New Roman" w:hAnsi="Times New Roman" w:cs="Times New Roman"/>
          <w:lang w:val="en-US"/>
        </w:rPr>
        <w:t xml:space="preserve"> - Outubro de 2011.</w:t>
      </w:r>
    </w:p>
    <w:p w14:paraId="53164BB1" w14:textId="77777777" w:rsidR="00CE2E90" w:rsidRPr="004F0108" w:rsidRDefault="00CE2E90" w:rsidP="00702D64">
      <w:pPr>
        <w:spacing w:before="240" w:after="0" w:line="288" w:lineRule="auto"/>
        <w:jc w:val="both"/>
        <w:rPr>
          <w:rFonts w:ascii="Times New Roman" w:hAnsi="Times New Roman" w:cs="Times New Roman"/>
        </w:rPr>
      </w:pPr>
      <w:r w:rsidRPr="004F0108">
        <w:rPr>
          <w:rFonts w:ascii="Times New Roman" w:hAnsi="Times New Roman" w:cs="Times New Roman"/>
          <w:lang w:val="en-US"/>
        </w:rPr>
        <w:t xml:space="preserve">IPIECA- INTERNATIONAL PETROLEUM INDUSTRY ENVIRONMENTAL CONSERVATION ASSOCIATION. 1993. Dispersants and Their Role in Oil Spill Response. </w:t>
      </w:r>
      <w:r w:rsidRPr="004F0108">
        <w:rPr>
          <w:rFonts w:ascii="Times New Roman" w:hAnsi="Times New Roman" w:cs="Times New Roman"/>
        </w:rPr>
        <w:t xml:space="preserve">IPIECA </w:t>
      </w:r>
      <w:r w:rsidRPr="004F0108">
        <w:rPr>
          <w:rFonts w:ascii="Times New Roman" w:hAnsi="Times New Roman" w:cs="Times New Roman"/>
          <w:b/>
        </w:rPr>
        <w:t>Report Series</w:t>
      </w:r>
      <w:r w:rsidRPr="004F0108">
        <w:rPr>
          <w:rFonts w:ascii="Times New Roman" w:hAnsi="Times New Roman" w:cs="Times New Roman"/>
        </w:rPr>
        <w:t>. V.5.</w:t>
      </w:r>
    </w:p>
    <w:p w14:paraId="19629C98" w14:textId="77777777" w:rsidR="00CE2E90" w:rsidRPr="004F0108" w:rsidRDefault="00CE2E90" w:rsidP="00CE2E90">
      <w:pPr>
        <w:spacing w:before="240" w:line="288" w:lineRule="auto"/>
        <w:jc w:val="both"/>
        <w:rPr>
          <w:rFonts w:ascii="Times New Roman" w:hAnsi="Times New Roman" w:cs="Times New Roman"/>
        </w:rPr>
      </w:pPr>
      <w:r w:rsidRPr="004F0108">
        <w:rPr>
          <w:rFonts w:ascii="Times New Roman" w:hAnsi="Times New Roman" w:cs="Times New Roman"/>
        </w:rPr>
        <w:t xml:space="preserve">MINERAL ENGENHARIA/PETROBRAS. </w:t>
      </w:r>
      <w:r w:rsidRPr="004F0108">
        <w:rPr>
          <w:rFonts w:ascii="Times New Roman" w:hAnsi="Times New Roman" w:cs="Times New Roman"/>
          <w:b/>
        </w:rPr>
        <w:t>EIA/RIMA para a Atividade de Produção e Escoamento de Petróleo e Gás Natural do Polo Pré-Sal da Bacia de Santos – Etapa 2</w:t>
      </w:r>
      <w:r w:rsidRPr="004F0108">
        <w:rPr>
          <w:rFonts w:ascii="Times New Roman" w:hAnsi="Times New Roman" w:cs="Times New Roman"/>
        </w:rPr>
        <w:t>. Rev. 0 do Etapa 2. São Paulo: 2013.</w:t>
      </w:r>
    </w:p>
    <w:p w14:paraId="771E3E25" w14:textId="77777777" w:rsidR="00CE2E90" w:rsidRPr="004F0108" w:rsidRDefault="00CE2E90" w:rsidP="00CE2E90">
      <w:pPr>
        <w:spacing w:before="240" w:line="288" w:lineRule="auto"/>
        <w:jc w:val="both"/>
        <w:rPr>
          <w:rFonts w:ascii="Times New Roman" w:hAnsi="Times New Roman" w:cs="Times New Roman"/>
        </w:rPr>
      </w:pPr>
      <w:r w:rsidRPr="004F0108">
        <w:rPr>
          <w:rFonts w:ascii="Times New Roman" w:hAnsi="Times New Roman" w:cs="Times New Roman"/>
        </w:rPr>
        <w:t xml:space="preserve">MINERAL ENGENHARIA/PETROBRAS. </w:t>
      </w:r>
      <w:r w:rsidRPr="004F0108">
        <w:rPr>
          <w:rFonts w:ascii="Times New Roman" w:hAnsi="Times New Roman" w:cs="Times New Roman"/>
          <w:b/>
        </w:rPr>
        <w:t>EIA/RIMA para a Atividade de Produção e Escoamento de Petróleo e Gás Natural do Polo Pré-Sal da Bacia de Santos – Etapa 3</w:t>
      </w:r>
      <w:r w:rsidRPr="004F0108">
        <w:rPr>
          <w:rFonts w:ascii="Times New Roman" w:hAnsi="Times New Roman" w:cs="Times New Roman"/>
        </w:rPr>
        <w:t>. Rev. 0 do Etapa 3. São Paulo: 2017.</w:t>
      </w:r>
    </w:p>
    <w:p w14:paraId="5E4303DB" w14:textId="77777777" w:rsidR="00CE2E90" w:rsidRPr="004F0108" w:rsidRDefault="00CE2E90" w:rsidP="00702D64">
      <w:pPr>
        <w:spacing w:before="240" w:after="0" w:line="288" w:lineRule="auto"/>
        <w:jc w:val="both"/>
        <w:rPr>
          <w:rFonts w:ascii="Times New Roman" w:hAnsi="Times New Roman" w:cs="Times New Roman"/>
        </w:rPr>
      </w:pPr>
      <w:bookmarkStart w:id="5" w:name="_Hlk518034489"/>
      <w:r w:rsidRPr="004F0108">
        <w:rPr>
          <w:rFonts w:ascii="Times New Roman" w:hAnsi="Times New Roman" w:cs="Times New Roman"/>
        </w:rPr>
        <w:t xml:space="preserve">MMA (MINISTÉRIO DO MEIO AMBIENTE), 2007. </w:t>
      </w:r>
      <w:r w:rsidRPr="004F0108">
        <w:rPr>
          <w:rFonts w:ascii="Times New Roman" w:hAnsi="Times New Roman" w:cs="Times New Roman"/>
          <w:b/>
        </w:rPr>
        <w:t>Áreas Prioritárias para Conservação, Uso Sustentável e Repartição dos Benefícios da Biodiversidade Brasileira – Zona Marinha</w:t>
      </w:r>
      <w:r w:rsidRPr="004F0108">
        <w:rPr>
          <w:rFonts w:ascii="Times New Roman" w:hAnsi="Times New Roman" w:cs="Times New Roman"/>
        </w:rPr>
        <w:t>. 102 p.</w:t>
      </w:r>
    </w:p>
    <w:p w14:paraId="4BF7D07C" w14:textId="51F7C96C" w:rsidR="00CE2E90" w:rsidRPr="004F0108" w:rsidRDefault="00CE2E90" w:rsidP="00702D64">
      <w:pPr>
        <w:spacing w:before="240" w:after="0" w:line="288" w:lineRule="auto"/>
        <w:jc w:val="both"/>
        <w:rPr>
          <w:rFonts w:ascii="Times New Roman" w:hAnsi="Times New Roman" w:cs="Times New Roman"/>
          <w:lang w:val="en-US"/>
        </w:rPr>
      </w:pPr>
      <w:r w:rsidRPr="004F0108">
        <w:rPr>
          <w:rFonts w:ascii="Times New Roman" w:hAnsi="Times New Roman" w:cs="Times New Roman"/>
        </w:rPr>
        <w:t xml:space="preserve">MOURA, R. L.; AMADO-FILHO, G. M.; MORAES, F. C.; BRASILEIRO, P. S.; SALOMON, P.S.; MAHIQUES, M. M.; BASTOS, A. C.; ALMEIDA, M. G.; SILVA JR., J. M.; ARAUJO, B. F.; BRITO, F. P.; RANGEL, T. P.; OLIVEIRA, B. C. V.; BAHIA, R. G.; PARANHOS, R. P.; DIAS, R. J. S.; SIEGLE, E.; FIGUEIREDO JR., A. G.; PEREIRA, R. C.; LEAL, C. V.; HAJDU, E.; ASP, N. E.; GREGORACCI, G. B.; NEUMANN-LEITÃO, S.; YAGER, P. L.; FRANCINI-FILHO, R. B.; FRÓES, A.; CAMPEÃO, M.; SILVA, B. S. 2016. </w:t>
      </w:r>
      <w:r w:rsidRPr="004F0108">
        <w:rPr>
          <w:rFonts w:ascii="Times New Roman" w:hAnsi="Times New Roman" w:cs="Times New Roman"/>
          <w:lang w:val="en-US"/>
        </w:rPr>
        <w:t xml:space="preserve">An extensive reef system at the Amazon River mouth. </w:t>
      </w:r>
      <w:r w:rsidRPr="004F0108">
        <w:rPr>
          <w:rFonts w:ascii="Times New Roman" w:hAnsi="Times New Roman" w:cs="Times New Roman"/>
          <w:b/>
          <w:lang w:val="en-US"/>
        </w:rPr>
        <w:t>American Association for the Advancement of Science</w:t>
      </w:r>
      <w:r w:rsidRPr="004F0108">
        <w:rPr>
          <w:rFonts w:ascii="Times New Roman" w:hAnsi="Times New Roman" w:cs="Times New Roman"/>
          <w:lang w:val="en-US"/>
        </w:rPr>
        <w:t>, 1-11.</w:t>
      </w:r>
    </w:p>
    <w:p w14:paraId="0559C6C9" w14:textId="77777777" w:rsidR="004343F8" w:rsidRPr="004F0108" w:rsidRDefault="004343F8" w:rsidP="004343F8">
      <w:pPr>
        <w:spacing w:before="240" w:after="0" w:line="288" w:lineRule="auto"/>
        <w:jc w:val="both"/>
        <w:rPr>
          <w:rFonts w:ascii="Times New Roman" w:hAnsi="Times New Roman" w:cs="Times New Roman"/>
          <w:lang w:val="en-US"/>
        </w:rPr>
      </w:pPr>
      <w:r w:rsidRPr="004F0108">
        <w:rPr>
          <w:rFonts w:ascii="Times New Roman" w:hAnsi="Times New Roman" w:cs="Times New Roman"/>
          <w:lang w:val="en-US"/>
        </w:rPr>
        <w:t>NTS - NORWEGIAN TECHNOLO</w:t>
      </w:r>
      <w:bookmarkStart w:id="6" w:name="_GoBack"/>
      <w:bookmarkEnd w:id="6"/>
      <w:r w:rsidRPr="004F0108">
        <w:rPr>
          <w:rFonts w:ascii="Times New Roman" w:hAnsi="Times New Roman" w:cs="Times New Roman"/>
          <w:lang w:val="en-US"/>
        </w:rPr>
        <w:t xml:space="preserve">GY STANDARDS INSTITUTION. 1998. Risk and Emergency Preparedness Analysis. </w:t>
      </w:r>
      <w:r w:rsidRPr="004F0108">
        <w:rPr>
          <w:rFonts w:ascii="Times New Roman" w:hAnsi="Times New Roman" w:cs="Times New Roman"/>
          <w:b/>
          <w:lang w:val="en-US"/>
        </w:rPr>
        <w:t>Norsok Standard</w:t>
      </w:r>
      <w:r w:rsidRPr="004F0108">
        <w:rPr>
          <w:rFonts w:ascii="Times New Roman" w:hAnsi="Times New Roman" w:cs="Times New Roman"/>
          <w:lang w:val="en-US"/>
        </w:rPr>
        <w:t>. Z-013, Rev.1, March 1998.</w:t>
      </w:r>
    </w:p>
    <w:p w14:paraId="7E973E48" w14:textId="205095E2" w:rsidR="00CE2E90" w:rsidRPr="00D67DA1" w:rsidRDefault="00CE2E90" w:rsidP="00D67DA1">
      <w:pPr>
        <w:spacing w:before="240" w:line="288" w:lineRule="auto"/>
        <w:jc w:val="both"/>
        <w:rPr>
          <w:rFonts w:ascii="Times New Roman" w:hAnsi="Times New Roman" w:cs="Times New Roman"/>
          <w:lang w:val="en-US"/>
        </w:rPr>
      </w:pPr>
      <w:r w:rsidRPr="004F0108">
        <w:rPr>
          <w:rFonts w:ascii="Times New Roman" w:hAnsi="Times New Roman" w:cs="Times New Roman"/>
          <w:lang w:val="en-US"/>
        </w:rPr>
        <w:t xml:space="preserve">RIVM (National Institute of Public Health and the Environment). </w:t>
      </w:r>
      <w:r w:rsidRPr="004F0108">
        <w:rPr>
          <w:rFonts w:ascii="Times New Roman" w:hAnsi="Times New Roman" w:cs="Times New Roman"/>
          <w:b/>
          <w:lang w:val="en-US"/>
        </w:rPr>
        <w:t>Reference Manual Bevi Risk Assessment</w:t>
      </w:r>
      <w:r w:rsidRPr="004F0108">
        <w:rPr>
          <w:rFonts w:ascii="Times New Roman" w:hAnsi="Times New Roman" w:cs="Times New Roman"/>
          <w:lang w:val="en-US"/>
        </w:rPr>
        <w:t>. Versão 3.2. 2009</w:t>
      </w:r>
      <w:bookmarkEnd w:id="5"/>
      <w:r w:rsidR="00D67DA1">
        <w:rPr>
          <w:rFonts w:ascii="Times New Roman" w:hAnsi="Times New Roman" w:cs="Times New Roman"/>
          <w:lang w:val="en-US"/>
        </w:rPr>
        <w:t>.</w:t>
      </w:r>
    </w:p>
    <w:sectPr w:rsidR="00CE2E90" w:rsidRPr="00D67DA1" w:rsidSect="00CC61C2">
      <w:headerReference w:type="default" r:id="rId29"/>
      <w:footerReference w:type="default" r:id="rId30"/>
      <w:pgSz w:w="11906" w:h="16838" w:code="9"/>
      <w:pgMar w:top="1985"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B21DF0" w14:textId="77777777" w:rsidR="009E768C" w:rsidRDefault="009E768C" w:rsidP="00B529AF">
      <w:pPr>
        <w:spacing w:after="0" w:line="240" w:lineRule="auto"/>
      </w:pPr>
      <w:r>
        <w:separator/>
      </w:r>
    </w:p>
  </w:endnote>
  <w:endnote w:type="continuationSeparator" w:id="0">
    <w:p w14:paraId="256D09B3" w14:textId="77777777" w:rsidR="009E768C" w:rsidRDefault="009E768C" w:rsidP="00B529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ndalus">
    <w:altName w:val="Arial"/>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Arial Narrow">
    <w:altName w:val="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333399"/>
      </w:tblBorders>
      <w:tblCellMar>
        <w:left w:w="70" w:type="dxa"/>
        <w:right w:w="70" w:type="dxa"/>
      </w:tblCellMar>
      <w:tblLook w:val="0000" w:firstRow="0" w:lastRow="0" w:firstColumn="0" w:lastColumn="0" w:noHBand="0" w:noVBand="0"/>
    </w:tblPr>
    <w:tblGrid>
      <w:gridCol w:w="2677"/>
      <w:gridCol w:w="4640"/>
      <w:gridCol w:w="2321"/>
    </w:tblGrid>
    <w:tr w:rsidR="009E768C" w:rsidRPr="008A3C16" w14:paraId="192DC747" w14:textId="77777777" w:rsidTr="00B50BF7">
      <w:tc>
        <w:tcPr>
          <w:tcW w:w="1389" w:type="pct"/>
          <w:tcBorders>
            <w:top w:val="single" w:sz="4" w:space="0" w:color="auto"/>
          </w:tcBorders>
        </w:tcPr>
        <w:p w14:paraId="11AFCB4D" w14:textId="1D4B688A" w:rsidR="009E768C" w:rsidRPr="008A3C16" w:rsidRDefault="00EE24C2" w:rsidP="000C0AA9">
          <w:pPr>
            <w:pStyle w:val="Footer"/>
            <w:ind w:right="360"/>
            <w:rPr>
              <w:rFonts w:ascii="Arial" w:hAnsi="Arial" w:cs="Arial"/>
              <w:sz w:val="20"/>
            </w:rPr>
          </w:pPr>
          <w:r>
            <w:rPr>
              <w:rFonts w:ascii="Arial" w:hAnsi="Arial" w:cs="Arial"/>
              <w:sz w:val="20"/>
            </w:rPr>
            <w:t>Setembro</w:t>
          </w:r>
          <w:r w:rsidR="009E768C">
            <w:rPr>
              <w:rFonts w:ascii="Arial" w:hAnsi="Arial" w:cs="Arial"/>
              <w:sz w:val="20"/>
            </w:rPr>
            <w:t>/2018</w:t>
          </w:r>
        </w:p>
      </w:tc>
      <w:tc>
        <w:tcPr>
          <w:tcW w:w="2407" w:type="pct"/>
          <w:tcBorders>
            <w:top w:val="single" w:sz="4" w:space="0" w:color="auto"/>
          </w:tcBorders>
        </w:tcPr>
        <w:p w14:paraId="7A711145" w14:textId="77777777" w:rsidR="009E768C" w:rsidRDefault="007D602D" w:rsidP="00A03225">
          <w:pPr>
            <w:pStyle w:val="Footer"/>
            <w:jc w:val="center"/>
            <w:rPr>
              <w:rFonts w:ascii="Arial" w:hAnsi="Arial" w:cs="Arial"/>
              <w:sz w:val="20"/>
            </w:rPr>
          </w:pPr>
          <w:r>
            <w:rPr>
              <w:rFonts w:ascii="Arial" w:hAnsi="Arial" w:cs="Arial"/>
              <w:sz w:val="20"/>
            </w:rPr>
            <w:t>Esclarecimentos Complementares à</w:t>
          </w:r>
        </w:p>
        <w:p w14:paraId="2016F795" w14:textId="3D305EE5" w:rsidR="007D602D" w:rsidRPr="008A3C16" w:rsidRDefault="007D602D" w:rsidP="00A03225">
          <w:pPr>
            <w:pStyle w:val="Footer"/>
            <w:jc w:val="center"/>
            <w:rPr>
              <w:rFonts w:ascii="Arial" w:hAnsi="Arial" w:cs="Arial"/>
              <w:sz w:val="20"/>
            </w:rPr>
          </w:pPr>
          <w:r>
            <w:rPr>
              <w:rFonts w:ascii="Arial" w:hAnsi="Arial" w:cs="Arial"/>
              <w:sz w:val="20"/>
            </w:rPr>
            <w:t>Resposta ao PAR N</w:t>
          </w:r>
          <w:r w:rsidRPr="007D602D">
            <w:rPr>
              <w:rFonts w:ascii="Arial" w:hAnsi="Arial" w:cs="Arial"/>
              <w:sz w:val="20"/>
              <w:vertAlign w:val="superscript"/>
            </w:rPr>
            <w:t>o</w:t>
          </w:r>
          <w:r>
            <w:rPr>
              <w:rFonts w:ascii="Arial" w:hAnsi="Arial" w:cs="Arial"/>
              <w:sz w:val="20"/>
            </w:rPr>
            <w:t xml:space="preserve"> 106/17</w:t>
          </w:r>
        </w:p>
      </w:tc>
      <w:tc>
        <w:tcPr>
          <w:tcW w:w="1204" w:type="pct"/>
          <w:tcBorders>
            <w:top w:val="single" w:sz="4" w:space="0" w:color="auto"/>
          </w:tcBorders>
        </w:tcPr>
        <w:p w14:paraId="2C24C1DB" w14:textId="70AA130C" w:rsidR="009E768C" w:rsidRPr="008A3C16" w:rsidRDefault="009E768C" w:rsidP="00B50BF7">
          <w:pPr>
            <w:pStyle w:val="Footer"/>
            <w:jc w:val="right"/>
            <w:rPr>
              <w:rFonts w:ascii="Arial" w:hAnsi="Arial" w:cs="Arial"/>
              <w:sz w:val="20"/>
            </w:rPr>
          </w:pPr>
          <w:r>
            <w:rPr>
              <w:rFonts w:ascii="Arial" w:hAnsi="Arial" w:cs="Arial"/>
              <w:sz w:val="20"/>
            </w:rPr>
            <w:t>II.12</w:t>
          </w:r>
          <w:r w:rsidRPr="008A3C16">
            <w:rP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PAGE </w:instrText>
          </w:r>
          <w:r w:rsidRPr="008A3C16">
            <w:rPr>
              <w:rStyle w:val="PageNumber"/>
              <w:rFonts w:ascii="Arial" w:hAnsi="Arial" w:cs="Arial"/>
              <w:sz w:val="20"/>
            </w:rPr>
            <w:fldChar w:fldCharType="separate"/>
          </w:r>
          <w:r>
            <w:rPr>
              <w:rStyle w:val="PageNumber"/>
              <w:rFonts w:ascii="Arial" w:hAnsi="Arial" w:cs="Arial"/>
              <w:noProof/>
              <w:sz w:val="20"/>
            </w:rPr>
            <w:t>1</w:t>
          </w:r>
          <w:r w:rsidRPr="008A3C16">
            <w:rPr>
              <w:rStyle w:val="PageNumber"/>
              <w:rFonts w:ascii="Arial" w:hAnsi="Arial" w:cs="Arial"/>
              <w:sz w:val="20"/>
            </w:rPr>
            <w:fldChar w:fldCharType="end"/>
          </w:r>
          <w:r w:rsidRPr="008A3C16">
            <w:rPr>
              <w:rStyle w:val="PageNumbe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NUMPAGES </w:instrText>
          </w:r>
          <w:r w:rsidRPr="008A3C16">
            <w:rPr>
              <w:rStyle w:val="PageNumber"/>
              <w:rFonts w:ascii="Arial" w:hAnsi="Arial" w:cs="Arial"/>
              <w:sz w:val="20"/>
            </w:rPr>
            <w:fldChar w:fldCharType="separate"/>
          </w:r>
          <w:r>
            <w:rPr>
              <w:rStyle w:val="PageNumber"/>
              <w:rFonts w:ascii="Arial" w:hAnsi="Arial" w:cs="Arial"/>
              <w:noProof/>
              <w:sz w:val="20"/>
            </w:rPr>
            <w:t>19</w:t>
          </w:r>
          <w:r w:rsidRPr="008A3C16">
            <w:rPr>
              <w:rStyle w:val="PageNumber"/>
              <w:rFonts w:ascii="Arial" w:hAnsi="Arial" w:cs="Arial"/>
              <w:sz w:val="20"/>
            </w:rPr>
            <w:fldChar w:fldCharType="end"/>
          </w:r>
        </w:p>
      </w:tc>
    </w:tr>
  </w:tbl>
  <w:p w14:paraId="0C42A4AB" w14:textId="77777777" w:rsidR="009E768C" w:rsidRPr="00042EF4" w:rsidRDefault="009E768C">
    <w:pPr>
      <w:pStyle w:val="Footer"/>
      <w:rPr>
        <w:sz w:val="10"/>
        <w:szCs w:val="1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333399"/>
      </w:tblBorders>
      <w:tblCellMar>
        <w:left w:w="70" w:type="dxa"/>
        <w:right w:w="70" w:type="dxa"/>
      </w:tblCellMar>
      <w:tblLook w:val="0000" w:firstRow="0" w:lastRow="0" w:firstColumn="0" w:lastColumn="0" w:noHBand="0" w:noVBand="0"/>
    </w:tblPr>
    <w:tblGrid>
      <w:gridCol w:w="4048"/>
      <w:gridCol w:w="7014"/>
      <w:gridCol w:w="3508"/>
    </w:tblGrid>
    <w:tr w:rsidR="009E768C" w:rsidRPr="008A3C16" w14:paraId="6084FF12" w14:textId="77777777" w:rsidTr="00B50BF7">
      <w:tc>
        <w:tcPr>
          <w:tcW w:w="1389" w:type="pct"/>
          <w:tcBorders>
            <w:top w:val="single" w:sz="4" w:space="0" w:color="auto"/>
          </w:tcBorders>
        </w:tcPr>
        <w:p w14:paraId="38596C79" w14:textId="6B6304A3" w:rsidR="009E768C" w:rsidRPr="008A3C16" w:rsidRDefault="00EE24C2" w:rsidP="000C0AA9">
          <w:pPr>
            <w:pStyle w:val="Footer"/>
            <w:ind w:right="360"/>
            <w:rPr>
              <w:rFonts w:ascii="Arial" w:hAnsi="Arial" w:cs="Arial"/>
              <w:sz w:val="20"/>
            </w:rPr>
          </w:pPr>
          <w:r>
            <w:rPr>
              <w:rFonts w:ascii="Arial" w:hAnsi="Arial" w:cs="Arial"/>
              <w:sz w:val="20"/>
            </w:rPr>
            <w:t>Setembro</w:t>
          </w:r>
          <w:r w:rsidR="009E768C">
            <w:rPr>
              <w:rFonts w:ascii="Arial" w:hAnsi="Arial" w:cs="Arial"/>
              <w:sz w:val="20"/>
            </w:rPr>
            <w:t>/2018</w:t>
          </w:r>
        </w:p>
      </w:tc>
      <w:tc>
        <w:tcPr>
          <w:tcW w:w="2407" w:type="pct"/>
          <w:tcBorders>
            <w:top w:val="single" w:sz="4" w:space="0" w:color="auto"/>
          </w:tcBorders>
        </w:tcPr>
        <w:p w14:paraId="1D643E4C" w14:textId="77777777" w:rsidR="007D602D" w:rsidRDefault="007D602D" w:rsidP="00A03225">
          <w:pPr>
            <w:pStyle w:val="Footer"/>
            <w:jc w:val="center"/>
            <w:rPr>
              <w:rFonts w:ascii="Arial" w:hAnsi="Arial" w:cs="Arial"/>
              <w:sz w:val="20"/>
            </w:rPr>
          </w:pPr>
          <w:r>
            <w:rPr>
              <w:rFonts w:ascii="Arial" w:hAnsi="Arial" w:cs="Arial"/>
              <w:sz w:val="20"/>
            </w:rPr>
            <w:t>Esclarecimentos Complementares à</w:t>
          </w:r>
        </w:p>
        <w:p w14:paraId="59A32AC2" w14:textId="1E101774" w:rsidR="009E768C" w:rsidRPr="008A3C16" w:rsidRDefault="007D602D" w:rsidP="00A03225">
          <w:pPr>
            <w:pStyle w:val="Footer"/>
            <w:jc w:val="center"/>
            <w:rPr>
              <w:rFonts w:ascii="Arial" w:hAnsi="Arial" w:cs="Arial"/>
              <w:sz w:val="20"/>
            </w:rPr>
          </w:pPr>
          <w:r>
            <w:rPr>
              <w:rFonts w:ascii="Arial" w:hAnsi="Arial" w:cs="Arial"/>
              <w:sz w:val="20"/>
            </w:rPr>
            <w:t>Resposta ao PAR N</w:t>
          </w:r>
          <w:r w:rsidRPr="00EE24C2">
            <w:rPr>
              <w:rFonts w:ascii="Arial" w:hAnsi="Arial" w:cs="Arial"/>
              <w:sz w:val="20"/>
              <w:vertAlign w:val="superscript"/>
            </w:rPr>
            <w:t>o</w:t>
          </w:r>
          <w:r>
            <w:rPr>
              <w:rFonts w:ascii="Arial" w:hAnsi="Arial" w:cs="Arial"/>
              <w:sz w:val="20"/>
            </w:rPr>
            <w:t xml:space="preserve"> 106/17</w:t>
          </w:r>
        </w:p>
      </w:tc>
      <w:tc>
        <w:tcPr>
          <w:tcW w:w="1204" w:type="pct"/>
          <w:tcBorders>
            <w:top w:val="single" w:sz="4" w:space="0" w:color="auto"/>
          </w:tcBorders>
        </w:tcPr>
        <w:p w14:paraId="63AC3548" w14:textId="77777777" w:rsidR="009E768C" w:rsidRPr="008A3C16" w:rsidRDefault="009E768C" w:rsidP="00B50BF7">
          <w:pPr>
            <w:pStyle w:val="Footer"/>
            <w:jc w:val="right"/>
            <w:rPr>
              <w:rFonts w:ascii="Arial" w:hAnsi="Arial" w:cs="Arial"/>
              <w:sz w:val="20"/>
            </w:rPr>
          </w:pPr>
          <w:r>
            <w:rPr>
              <w:rFonts w:ascii="Arial" w:hAnsi="Arial" w:cs="Arial"/>
              <w:sz w:val="20"/>
            </w:rPr>
            <w:t>II.12</w:t>
          </w:r>
          <w:r w:rsidRPr="008A3C16">
            <w:rP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PAGE </w:instrText>
          </w:r>
          <w:r w:rsidRPr="008A3C16">
            <w:rPr>
              <w:rStyle w:val="PageNumber"/>
              <w:rFonts w:ascii="Arial" w:hAnsi="Arial" w:cs="Arial"/>
              <w:sz w:val="20"/>
            </w:rPr>
            <w:fldChar w:fldCharType="separate"/>
          </w:r>
          <w:r>
            <w:rPr>
              <w:rStyle w:val="PageNumber"/>
              <w:rFonts w:ascii="Arial" w:hAnsi="Arial" w:cs="Arial"/>
              <w:noProof/>
              <w:sz w:val="20"/>
            </w:rPr>
            <w:t>3</w:t>
          </w:r>
          <w:r w:rsidRPr="008A3C16">
            <w:rPr>
              <w:rStyle w:val="PageNumber"/>
              <w:rFonts w:ascii="Arial" w:hAnsi="Arial" w:cs="Arial"/>
              <w:sz w:val="20"/>
            </w:rPr>
            <w:fldChar w:fldCharType="end"/>
          </w:r>
          <w:r w:rsidRPr="008A3C16">
            <w:rPr>
              <w:rStyle w:val="PageNumbe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NUMPAGES </w:instrText>
          </w:r>
          <w:r w:rsidRPr="008A3C16">
            <w:rPr>
              <w:rStyle w:val="PageNumber"/>
              <w:rFonts w:ascii="Arial" w:hAnsi="Arial" w:cs="Arial"/>
              <w:sz w:val="20"/>
            </w:rPr>
            <w:fldChar w:fldCharType="separate"/>
          </w:r>
          <w:r>
            <w:rPr>
              <w:rStyle w:val="PageNumber"/>
              <w:rFonts w:ascii="Arial" w:hAnsi="Arial" w:cs="Arial"/>
              <w:noProof/>
              <w:sz w:val="20"/>
            </w:rPr>
            <w:t>3</w:t>
          </w:r>
          <w:r w:rsidRPr="008A3C16">
            <w:rPr>
              <w:rStyle w:val="PageNumber"/>
              <w:rFonts w:ascii="Arial" w:hAnsi="Arial" w:cs="Arial"/>
              <w:sz w:val="20"/>
            </w:rPr>
            <w:fldChar w:fldCharType="end"/>
          </w:r>
        </w:p>
      </w:tc>
    </w:tr>
  </w:tbl>
  <w:p w14:paraId="693A2F4D" w14:textId="77777777" w:rsidR="009E768C" w:rsidRPr="00CC61C2" w:rsidRDefault="009E768C">
    <w:pPr>
      <w:pStyle w:val="Footer"/>
      <w:rPr>
        <w:sz w:val="10"/>
        <w:szCs w:val="1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333399"/>
      </w:tblBorders>
      <w:tblCellMar>
        <w:left w:w="70" w:type="dxa"/>
        <w:right w:w="70" w:type="dxa"/>
      </w:tblCellMar>
      <w:tblLook w:val="0000" w:firstRow="0" w:lastRow="0" w:firstColumn="0" w:lastColumn="0" w:noHBand="0" w:noVBand="0"/>
    </w:tblPr>
    <w:tblGrid>
      <w:gridCol w:w="2677"/>
      <w:gridCol w:w="4640"/>
      <w:gridCol w:w="2321"/>
    </w:tblGrid>
    <w:tr w:rsidR="009E768C" w:rsidRPr="008A3C16" w14:paraId="38347732" w14:textId="77777777" w:rsidTr="00B50BF7">
      <w:tc>
        <w:tcPr>
          <w:tcW w:w="1389" w:type="pct"/>
          <w:tcBorders>
            <w:top w:val="single" w:sz="4" w:space="0" w:color="auto"/>
          </w:tcBorders>
        </w:tcPr>
        <w:p w14:paraId="76F3D77B" w14:textId="010E3EF7" w:rsidR="009E768C" w:rsidRPr="008A3C16" w:rsidRDefault="00EE24C2" w:rsidP="000C0AA9">
          <w:pPr>
            <w:pStyle w:val="Footer"/>
            <w:ind w:right="360"/>
            <w:rPr>
              <w:rFonts w:ascii="Arial" w:hAnsi="Arial" w:cs="Arial"/>
              <w:sz w:val="20"/>
            </w:rPr>
          </w:pPr>
          <w:r>
            <w:rPr>
              <w:rFonts w:ascii="Arial" w:hAnsi="Arial" w:cs="Arial"/>
              <w:sz w:val="20"/>
            </w:rPr>
            <w:t>Setembro</w:t>
          </w:r>
          <w:r w:rsidR="009E768C">
            <w:rPr>
              <w:rFonts w:ascii="Arial" w:hAnsi="Arial" w:cs="Arial"/>
              <w:sz w:val="20"/>
            </w:rPr>
            <w:t>/2018</w:t>
          </w:r>
        </w:p>
      </w:tc>
      <w:tc>
        <w:tcPr>
          <w:tcW w:w="2407" w:type="pct"/>
          <w:tcBorders>
            <w:top w:val="single" w:sz="4" w:space="0" w:color="auto"/>
          </w:tcBorders>
        </w:tcPr>
        <w:p w14:paraId="5CE0950D" w14:textId="77777777" w:rsidR="009E768C" w:rsidRDefault="007D602D" w:rsidP="00A03225">
          <w:pPr>
            <w:pStyle w:val="Footer"/>
            <w:jc w:val="center"/>
            <w:rPr>
              <w:rFonts w:ascii="Arial" w:hAnsi="Arial" w:cs="Arial"/>
              <w:sz w:val="20"/>
            </w:rPr>
          </w:pPr>
          <w:r>
            <w:rPr>
              <w:rFonts w:ascii="Arial" w:hAnsi="Arial" w:cs="Arial"/>
              <w:sz w:val="20"/>
            </w:rPr>
            <w:t>Esclarecimentos Complementares à</w:t>
          </w:r>
        </w:p>
        <w:p w14:paraId="039E77D5" w14:textId="25CBB425" w:rsidR="007D602D" w:rsidRPr="008A3C16" w:rsidRDefault="007D602D" w:rsidP="00A03225">
          <w:pPr>
            <w:pStyle w:val="Footer"/>
            <w:jc w:val="center"/>
            <w:rPr>
              <w:rFonts w:ascii="Arial" w:hAnsi="Arial" w:cs="Arial"/>
              <w:sz w:val="20"/>
            </w:rPr>
          </w:pPr>
          <w:r>
            <w:rPr>
              <w:rFonts w:ascii="Arial" w:hAnsi="Arial" w:cs="Arial"/>
              <w:sz w:val="20"/>
            </w:rPr>
            <w:t>Resposta ao PAR N</w:t>
          </w:r>
          <w:r w:rsidRPr="00EE24C2">
            <w:rPr>
              <w:rFonts w:ascii="Arial" w:hAnsi="Arial" w:cs="Arial"/>
              <w:sz w:val="20"/>
              <w:vertAlign w:val="superscript"/>
            </w:rPr>
            <w:t>o</w:t>
          </w:r>
          <w:r>
            <w:rPr>
              <w:rFonts w:ascii="Arial" w:hAnsi="Arial" w:cs="Arial"/>
              <w:sz w:val="20"/>
            </w:rPr>
            <w:t xml:space="preserve"> 106/17</w:t>
          </w:r>
        </w:p>
      </w:tc>
      <w:tc>
        <w:tcPr>
          <w:tcW w:w="1204" w:type="pct"/>
          <w:tcBorders>
            <w:top w:val="single" w:sz="4" w:space="0" w:color="auto"/>
          </w:tcBorders>
        </w:tcPr>
        <w:p w14:paraId="7167DA74" w14:textId="77777777" w:rsidR="009E768C" w:rsidRPr="008A3C16" w:rsidRDefault="009E768C" w:rsidP="00B50BF7">
          <w:pPr>
            <w:pStyle w:val="Footer"/>
            <w:jc w:val="right"/>
            <w:rPr>
              <w:rFonts w:ascii="Arial" w:hAnsi="Arial" w:cs="Arial"/>
              <w:sz w:val="20"/>
            </w:rPr>
          </w:pPr>
          <w:r>
            <w:rPr>
              <w:rFonts w:ascii="Arial" w:hAnsi="Arial" w:cs="Arial"/>
              <w:sz w:val="20"/>
            </w:rPr>
            <w:t>II.12</w:t>
          </w:r>
          <w:r w:rsidRPr="008A3C16">
            <w:rP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PAGE </w:instrText>
          </w:r>
          <w:r w:rsidRPr="008A3C16">
            <w:rPr>
              <w:rStyle w:val="PageNumber"/>
              <w:rFonts w:ascii="Arial" w:hAnsi="Arial" w:cs="Arial"/>
              <w:sz w:val="20"/>
            </w:rPr>
            <w:fldChar w:fldCharType="separate"/>
          </w:r>
          <w:r>
            <w:rPr>
              <w:rStyle w:val="PageNumber"/>
              <w:rFonts w:ascii="Arial" w:hAnsi="Arial" w:cs="Arial"/>
              <w:noProof/>
              <w:sz w:val="20"/>
            </w:rPr>
            <w:t>7</w:t>
          </w:r>
          <w:r w:rsidRPr="008A3C16">
            <w:rPr>
              <w:rStyle w:val="PageNumber"/>
              <w:rFonts w:ascii="Arial" w:hAnsi="Arial" w:cs="Arial"/>
              <w:sz w:val="20"/>
            </w:rPr>
            <w:fldChar w:fldCharType="end"/>
          </w:r>
          <w:r w:rsidRPr="008A3C16">
            <w:rPr>
              <w:rStyle w:val="PageNumbe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NUMPAGES </w:instrText>
          </w:r>
          <w:r w:rsidRPr="008A3C16">
            <w:rPr>
              <w:rStyle w:val="PageNumber"/>
              <w:rFonts w:ascii="Arial" w:hAnsi="Arial" w:cs="Arial"/>
              <w:sz w:val="20"/>
            </w:rPr>
            <w:fldChar w:fldCharType="separate"/>
          </w:r>
          <w:r>
            <w:rPr>
              <w:rStyle w:val="PageNumber"/>
              <w:rFonts w:ascii="Arial" w:hAnsi="Arial" w:cs="Arial"/>
              <w:noProof/>
              <w:sz w:val="20"/>
            </w:rPr>
            <w:t>7</w:t>
          </w:r>
          <w:r w:rsidRPr="008A3C16">
            <w:rPr>
              <w:rStyle w:val="PageNumber"/>
              <w:rFonts w:ascii="Arial" w:hAnsi="Arial" w:cs="Arial"/>
              <w:sz w:val="20"/>
            </w:rPr>
            <w:fldChar w:fldCharType="end"/>
          </w:r>
        </w:p>
      </w:tc>
    </w:tr>
  </w:tbl>
  <w:p w14:paraId="4FCD9819" w14:textId="77777777" w:rsidR="009E768C" w:rsidRPr="00042EF4" w:rsidRDefault="009E768C">
    <w:pPr>
      <w:pStyle w:val="Footer"/>
      <w:rPr>
        <w:sz w:val="10"/>
        <w:szCs w:val="1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333399"/>
      </w:tblBorders>
      <w:tblCellMar>
        <w:left w:w="70" w:type="dxa"/>
        <w:right w:w="70" w:type="dxa"/>
      </w:tblCellMar>
      <w:tblLook w:val="0000" w:firstRow="0" w:lastRow="0" w:firstColumn="0" w:lastColumn="0" w:noHBand="0" w:noVBand="0"/>
    </w:tblPr>
    <w:tblGrid>
      <w:gridCol w:w="4048"/>
      <w:gridCol w:w="7014"/>
      <w:gridCol w:w="3508"/>
    </w:tblGrid>
    <w:tr w:rsidR="009E768C" w:rsidRPr="008A3C16" w14:paraId="0A723981" w14:textId="77777777" w:rsidTr="00B50BF7">
      <w:tc>
        <w:tcPr>
          <w:tcW w:w="1389" w:type="pct"/>
          <w:tcBorders>
            <w:top w:val="single" w:sz="4" w:space="0" w:color="auto"/>
          </w:tcBorders>
        </w:tcPr>
        <w:p w14:paraId="72BEAA90" w14:textId="42D3ED3A" w:rsidR="009E768C" w:rsidRPr="008A3C16" w:rsidRDefault="00EE24C2" w:rsidP="000C0AA9">
          <w:pPr>
            <w:pStyle w:val="Footer"/>
            <w:ind w:right="360"/>
            <w:rPr>
              <w:rFonts w:ascii="Arial" w:hAnsi="Arial" w:cs="Arial"/>
              <w:sz w:val="20"/>
            </w:rPr>
          </w:pPr>
          <w:r>
            <w:rPr>
              <w:rFonts w:ascii="Arial" w:hAnsi="Arial" w:cs="Arial"/>
              <w:sz w:val="20"/>
            </w:rPr>
            <w:t>Setembro</w:t>
          </w:r>
          <w:r w:rsidR="009E768C">
            <w:rPr>
              <w:rFonts w:ascii="Arial" w:hAnsi="Arial" w:cs="Arial"/>
              <w:sz w:val="20"/>
            </w:rPr>
            <w:t>/2018</w:t>
          </w:r>
        </w:p>
      </w:tc>
      <w:tc>
        <w:tcPr>
          <w:tcW w:w="2407" w:type="pct"/>
          <w:tcBorders>
            <w:top w:val="single" w:sz="4" w:space="0" w:color="auto"/>
          </w:tcBorders>
        </w:tcPr>
        <w:p w14:paraId="49B91E26" w14:textId="77777777" w:rsidR="007D602D" w:rsidRDefault="007D602D" w:rsidP="00A03225">
          <w:pPr>
            <w:pStyle w:val="Footer"/>
            <w:jc w:val="center"/>
            <w:rPr>
              <w:rFonts w:ascii="Arial" w:hAnsi="Arial" w:cs="Arial"/>
              <w:sz w:val="20"/>
            </w:rPr>
          </w:pPr>
          <w:r>
            <w:rPr>
              <w:rFonts w:ascii="Arial" w:hAnsi="Arial" w:cs="Arial"/>
              <w:sz w:val="20"/>
            </w:rPr>
            <w:t>Esclarecimentos Complementares à</w:t>
          </w:r>
        </w:p>
        <w:p w14:paraId="17A243EF" w14:textId="7F9B961C" w:rsidR="009E768C" w:rsidRPr="008A3C16" w:rsidRDefault="009E768C" w:rsidP="00A03225">
          <w:pPr>
            <w:pStyle w:val="Footer"/>
            <w:jc w:val="center"/>
            <w:rPr>
              <w:rFonts w:ascii="Arial" w:hAnsi="Arial" w:cs="Arial"/>
              <w:sz w:val="20"/>
            </w:rPr>
          </w:pPr>
          <w:r>
            <w:rPr>
              <w:rFonts w:ascii="Arial" w:hAnsi="Arial" w:cs="Arial"/>
              <w:sz w:val="20"/>
            </w:rPr>
            <w:t xml:space="preserve">Resposta ao PAR N.º </w:t>
          </w:r>
          <w:r w:rsidR="007D602D">
            <w:rPr>
              <w:rFonts w:ascii="Arial" w:hAnsi="Arial" w:cs="Arial"/>
              <w:sz w:val="20"/>
            </w:rPr>
            <w:t>106</w:t>
          </w:r>
          <w:r>
            <w:rPr>
              <w:rFonts w:ascii="Arial" w:hAnsi="Arial" w:cs="Arial"/>
              <w:sz w:val="20"/>
            </w:rPr>
            <w:t>/1</w:t>
          </w:r>
          <w:r w:rsidR="007D602D">
            <w:rPr>
              <w:rFonts w:ascii="Arial" w:hAnsi="Arial" w:cs="Arial"/>
              <w:sz w:val="20"/>
            </w:rPr>
            <w:t>7</w:t>
          </w:r>
        </w:p>
      </w:tc>
      <w:tc>
        <w:tcPr>
          <w:tcW w:w="1204" w:type="pct"/>
          <w:tcBorders>
            <w:top w:val="single" w:sz="4" w:space="0" w:color="auto"/>
          </w:tcBorders>
        </w:tcPr>
        <w:p w14:paraId="4714F7C6" w14:textId="77777777" w:rsidR="009E768C" w:rsidRPr="008A3C16" w:rsidRDefault="009E768C" w:rsidP="00B50BF7">
          <w:pPr>
            <w:pStyle w:val="Footer"/>
            <w:jc w:val="right"/>
            <w:rPr>
              <w:rFonts w:ascii="Arial" w:hAnsi="Arial" w:cs="Arial"/>
              <w:sz w:val="20"/>
            </w:rPr>
          </w:pPr>
          <w:r>
            <w:rPr>
              <w:rFonts w:ascii="Arial" w:hAnsi="Arial" w:cs="Arial"/>
              <w:sz w:val="20"/>
            </w:rPr>
            <w:t>II.12</w:t>
          </w:r>
          <w:r w:rsidRPr="008A3C16">
            <w:rP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PAGE </w:instrText>
          </w:r>
          <w:r w:rsidRPr="008A3C16">
            <w:rPr>
              <w:rStyle w:val="PageNumber"/>
              <w:rFonts w:ascii="Arial" w:hAnsi="Arial" w:cs="Arial"/>
              <w:sz w:val="20"/>
            </w:rPr>
            <w:fldChar w:fldCharType="separate"/>
          </w:r>
          <w:r>
            <w:rPr>
              <w:rStyle w:val="PageNumber"/>
              <w:rFonts w:ascii="Arial" w:hAnsi="Arial" w:cs="Arial"/>
              <w:noProof/>
              <w:sz w:val="20"/>
            </w:rPr>
            <w:t>8</w:t>
          </w:r>
          <w:r w:rsidRPr="008A3C16">
            <w:rPr>
              <w:rStyle w:val="PageNumber"/>
              <w:rFonts w:ascii="Arial" w:hAnsi="Arial" w:cs="Arial"/>
              <w:sz w:val="20"/>
            </w:rPr>
            <w:fldChar w:fldCharType="end"/>
          </w:r>
          <w:r w:rsidRPr="008A3C16">
            <w:rPr>
              <w:rStyle w:val="PageNumbe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NUMPAGES </w:instrText>
          </w:r>
          <w:r w:rsidRPr="008A3C16">
            <w:rPr>
              <w:rStyle w:val="PageNumber"/>
              <w:rFonts w:ascii="Arial" w:hAnsi="Arial" w:cs="Arial"/>
              <w:sz w:val="20"/>
            </w:rPr>
            <w:fldChar w:fldCharType="separate"/>
          </w:r>
          <w:r>
            <w:rPr>
              <w:rStyle w:val="PageNumber"/>
              <w:rFonts w:ascii="Arial" w:hAnsi="Arial" w:cs="Arial"/>
              <w:noProof/>
              <w:sz w:val="20"/>
            </w:rPr>
            <w:t>8</w:t>
          </w:r>
          <w:r w:rsidRPr="008A3C16">
            <w:rPr>
              <w:rStyle w:val="PageNumber"/>
              <w:rFonts w:ascii="Arial" w:hAnsi="Arial" w:cs="Arial"/>
              <w:sz w:val="20"/>
            </w:rPr>
            <w:fldChar w:fldCharType="end"/>
          </w:r>
        </w:p>
      </w:tc>
    </w:tr>
  </w:tbl>
  <w:p w14:paraId="5B14C3C8" w14:textId="77777777" w:rsidR="009E768C" w:rsidRPr="00042EF4" w:rsidRDefault="009E768C">
    <w:pPr>
      <w:pStyle w:val="Footer"/>
      <w:rPr>
        <w:sz w:val="10"/>
        <w:szCs w:val="1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333399"/>
      </w:tblBorders>
      <w:tblCellMar>
        <w:left w:w="70" w:type="dxa"/>
        <w:right w:w="70" w:type="dxa"/>
      </w:tblCellMar>
      <w:tblLook w:val="0000" w:firstRow="0" w:lastRow="0" w:firstColumn="0" w:lastColumn="0" w:noHBand="0" w:noVBand="0"/>
    </w:tblPr>
    <w:tblGrid>
      <w:gridCol w:w="2677"/>
      <w:gridCol w:w="4640"/>
      <w:gridCol w:w="2321"/>
    </w:tblGrid>
    <w:tr w:rsidR="00CC61C2" w:rsidRPr="008A3C16" w14:paraId="070942A0" w14:textId="77777777" w:rsidTr="003E2DFE">
      <w:tc>
        <w:tcPr>
          <w:tcW w:w="1389" w:type="pct"/>
          <w:tcBorders>
            <w:top w:val="single" w:sz="4" w:space="0" w:color="auto"/>
          </w:tcBorders>
        </w:tcPr>
        <w:p w14:paraId="4EE00DB8" w14:textId="2128700B" w:rsidR="00CC61C2" w:rsidRPr="008A3C16" w:rsidRDefault="0096069F" w:rsidP="00CC61C2">
          <w:pPr>
            <w:pStyle w:val="Footer"/>
            <w:ind w:right="360"/>
            <w:rPr>
              <w:rFonts w:ascii="Arial" w:hAnsi="Arial" w:cs="Arial"/>
              <w:sz w:val="20"/>
            </w:rPr>
          </w:pPr>
          <w:r>
            <w:rPr>
              <w:rFonts w:ascii="Arial" w:hAnsi="Arial" w:cs="Arial"/>
              <w:sz w:val="20"/>
            </w:rPr>
            <w:t>Setembro</w:t>
          </w:r>
          <w:r w:rsidR="00CC61C2">
            <w:rPr>
              <w:rFonts w:ascii="Arial" w:hAnsi="Arial" w:cs="Arial"/>
              <w:sz w:val="20"/>
            </w:rPr>
            <w:t>/2018</w:t>
          </w:r>
        </w:p>
      </w:tc>
      <w:tc>
        <w:tcPr>
          <w:tcW w:w="2407" w:type="pct"/>
          <w:tcBorders>
            <w:top w:val="single" w:sz="4" w:space="0" w:color="auto"/>
          </w:tcBorders>
        </w:tcPr>
        <w:p w14:paraId="047B1AD2" w14:textId="77777777" w:rsidR="00CC61C2" w:rsidRDefault="00CC61C2" w:rsidP="00CC61C2">
          <w:pPr>
            <w:pStyle w:val="Footer"/>
            <w:jc w:val="center"/>
            <w:rPr>
              <w:rFonts w:ascii="Arial" w:hAnsi="Arial" w:cs="Arial"/>
              <w:sz w:val="20"/>
            </w:rPr>
          </w:pPr>
          <w:r>
            <w:rPr>
              <w:rFonts w:ascii="Arial" w:hAnsi="Arial" w:cs="Arial"/>
              <w:sz w:val="20"/>
            </w:rPr>
            <w:t>Esclarecimentos Complementares à</w:t>
          </w:r>
        </w:p>
        <w:p w14:paraId="01C0AF01" w14:textId="77777777" w:rsidR="00CC61C2" w:rsidRPr="008A3C16" w:rsidRDefault="00CC61C2" w:rsidP="00CC61C2">
          <w:pPr>
            <w:pStyle w:val="Footer"/>
            <w:jc w:val="center"/>
            <w:rPr>
              <w:rFonts w:ascii="Arial" w:hAnsi="Arial" w:cs="Arial"/>
              <w:sz w:val="20"/>
            </w:rPr>
          </w:pPr>
          <w:r>
            <w:rPr>
              <w:rFonts w:ascii="Arial" w:hAnsi="Arial" w:cs="Arial"/>
              <w:sz w:val="20"/>
            </w:rPr>
            <w:t>Resposta ao PAR N</w:t>
          </w:r>
          <w:r w:rsidRPr="0096069F">
            <w:rPr>
              <w:rFonts w:ascii="Arial" w:hAnsi="Arial" w:cs="Arial"/>
              <w:sz w:val="20"/>
              <w:vertAlign w:val="superscript"/>
            </w:rPr>
            <w:t>o</w:t>
          </w:r>
          <w:r>
            <w:rPr>
              <w:rFonts w:ascii="Arial" w:hAnsi="Arial" w:cs="Arial"/>
              <w:sz w:val="20"/>
            </w:rPr>
            <w:t xml:space="preserve"> 106/17</w:t>
          </w:r>
        </w:p>
      </w:tc>
      <w:tc>
        <w:tcPr>
          <w:tcW w:w="1204" w:type="pct"/>
          <w:tcBorders>
            <w:top w:val="single" w:sz="4" w:space="0" w:color="auto"/>
          </w:tcBorders>
        </w:tcPr>
        <w:p w14:paraId="58065C21" w14:textId="77777777" w:rsidR="00CC61C2" w:rsidRPr="008A3C16" w:rsidRDefault="00CC61C2" w:rsidP="00CC61C2">
          <w:pPr>
            <w:pStyle w:val="Footer"/>
            <w:jc w:val="right"/>
            <w:rPr>
              <w:rFonts w:ascii="Arial" w:hAnsi="Arial" w:cs="Arial"/>
              <w:sz w:val="20"/>
            </w:rPr>
          </w:pPr>
          <w:r>
            <w:rPr>
              <w:rFonts w:ascii="Arial" w:hAnsi="Arial" w:cs="Arial"/>
              <w:sz w:val="20"/>
            </w:rPr>
            <w:t>II.12</w:t>
          </w:r>
          <w:r w:rsidRPr="008A3C16">
            <w:rP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PAGE </w:instrText>
          </w:r>
          <w:r w:rsidRPr="008A3C16">
            <w:rPr>
              <w:rStyle w:val="PageNumber"/>
              <w:rFonts w:ascii="Arial" w:hAnsi="Arial" w:cs="Arial"/>
              <w:sz w:val="20"/>
            </w:rPr>
            <w:fldChar w:fldCharType="separate"/>
          </w:r>
          <w:r>
            <w:rPr>
              <w:rStyle w:val="PageNumber"/>
              <w:rFonts w:ascii="Arial" w:hAnsi="Arial" w:cs="Arial"/>
              <w:noProof/>
              <w:sz w:val="20"/>
            </w:rPr>
            <w:t>7</w:t>
          </w:r>
          <w:r w:rsidRPr="008A3C16">
            <w:rPr>
              <w:rStyle w:val="PageNumber"/>
              <w:rFonts w:ascii="Arial" w:hAnsi="Arial" w:cs="Arial"/>
              <w:sz w:val="20"/>
            </w:rPr>
            <w:fldChar w:fldCharType="end"/>
          </w:r>
          <w:r w:rsidRPr="008A3C16">
            <w:rPr>
              <w:rStyle w:val="PageNumbe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NUMPAGES </w:instrText>
          </w:r>
          <w:r w:rsidRPr="008A3C16">
            <w:rPr>
              <w:rStyle w:val="PageNumber"/>
              <w:rFonts w:ascii="Arial" w:hAnsi="Arial" w:cs="Arial"/>
              <w:sz w:val="20"/>
            </w:rPr>
            <w:fldChar w:fldCharType="separate"/>
          </w:r>
          <w:r>
            <w:rPr>
              <w:rStyle w:val="PageNumber"/>
              <w:rFonts w:ascii="Arial" w:hAnsi="Arial" w:cs="Arial"/>
              <w:noProof/>
              <w:sz w:val="20"/>
            </w:rPr>
            <w:t>7</w:t>
          </w:r>
          <w:r w:rsidRPr="008A3C16">
            <w:rPr>
              <w:rStyle w:val="PageNumber"/>
              <w:rFonts w:ascii="Arial" w:hAnsi="Arial" w:cs="Arial"/>
              <w:sz w:val="20"/>
            </w:rPr>
            <w:fldChar w:fldCharType="end"/>
          </w:r>
        </w:p>
      </w:tc>
    </w:tr>
  </w:tbl>
  <w:p w14:paraId="1BB3985D" w14:textId="77777777" w:rsidR="009E768C" w:rsidRPr="00CC61C2" w:rsidRDefault="009E768C" w:rsidP="00CC61C2">
    <w:pPr>
      <w:pStyle w:val="Footer"/>
      <w:rPr>
        <w:sz w:val="10"/>
        <w:szCs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331A6E" w14:textId="77777777" w:rsidR="009E768C" w:rsidRDefault="009E768C" w:rsidP="00B529AF">
      <w:pPr>
        <w:spacing w:after="0" w:line="240" w:lineRule="auto"/>
      </w:pPr>
      <w:r>
        <w:separator/>
      </w:r>
    </w:p>
  </w:footnote>
  <w:footnote w:type="continuationSeparator" w:id="0">
    <w:p w14:paraId="59A1303F" w14:textId="77777777" w:rsidR="009E768C" w:rsidRDefault="009E768C" w:rsidP="00B529AF">
      <w:pPr>
        <w:spacing w:after="0" w:line="240" w:lineRule="auto"/>
      </w:pPr>
      <w:r>
        <w:continuationSeparator/>
      </w:r>
    </w:p>
  </w:footnote>
  <w:footnote w:id="1">
    <w:p w14:paraId="10C3D2D2" w14:textId="77777777" w:rsidR="009E768C" w:rsidRPr="00292D09" w:rsidRDefault="009E768C" w:rsidP="007023CB">
      <w:pPr>
        <w:pStyle w:val="FootnoteText"/>
        <w:rPr>
          <w:rFonts w:ascii="Times New Roman" w:hAnsi="Times New Roman" w:cs="Times New Roman"/>
          <w:sz w:val="18"/>
          <w:szCs w:val="18"/>
        </w:rPr>
      </w:pPr>
      <w:r w:rsidRPr="00292D09">
        <w:rPr>
          <w:rStyle w:val="FootnoteReference"/>
          <w:rFonts w:ascii="Times New Roman" w:hAnsi="Times New Roman" w:cs="Times New Roman"/>
          <w:sz w:val="18"/>
          <w:szCs w:val="18"/>
        </w:rPr>
        <w:footnoteRef/>
      </w:r>
      <w:r w:rsidRPr="00292D09">
        <w:rPr>
          <w:rFonts w:ascii="Times New Roman" w:hAnsi="Times New Roman" w:cs="Times New Roman"/>
          <w:sz w:val="18"/>
          <w:szCs w:val="18"/>
        </w:rPr>
        <w:t xml:space="preserve"> Sigla para Método para Análise de Riscos Ambientais em Norueguês.</w:t>
      </w:r>
    </w:p>
  </w:footnote>
  <w:footnote w:id="2">
    <w:p w14:paraId="12541F0D" w14:textId="77777777" w:rsidR="009E768C" w:rsidRPr="00292D09" w:rsidRDefault="009E768C" w:rsidP="00081E87">
      <w:pPr>
        <w:pStyle w:val="FootnoteText"/>
        <w:rPr>
          <w:rFonts w:ascii="Times New Roman" w:hAnsi="Times New Roman" w:cs="Times New Roman"/>
          <w:sz w:val="18"/>
          <w:szCs w:val="18"/>
          <w:lang w:val="en-US"/>
        </w:rPr>
      </w:pPr>
      <w:r w:rsidRPr="00292D09">
        <w:rPr>
          <w:rStyle w:val="FootnoteReference"/>
          <w:rFonts w:ascii="Times New Roman" w:hAnsi="Times New Roman" w:cs="Times New Roman"/>
          <w:sz w:val="18"/>
          <w:szCs w:val="18"/>
          <w:lang w:val="en-US"/>
        </w:rPr>
        <w:t>[1]</w:t>
      </w:r>
      <w:r w:rsidRPr="00292D09">
        <w:rPr>
          <w:rFonts w:ascii="Times New Roman" w:hAnsi="Times New Roman" w:cs="Times New Roman"/>
          <w:sz w:val="18"/>
          <w:szCs w:val="18"/>
          <w:lang w:val="en-US"/>
        </w:rPr>
        <w:t xml:space="preserve"> Blowout and Well Release Frequencies – Based on SINTEF Offshore Blowout Database, 2005 – Scandpower, 2006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767"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1593"/>
      <w:gridCol w:w="6096"/>
      <w:gridCol w:w="1842"/>
    </w:tblGrid>
    <w:tr w:rsidR="009E768C" w14:paraId="1BE678E5" w14:textId="77777777" w:rsidTr="004319A6">
      <w:trPr>
        <w:trHeight w:val="558"/>
      </w:trPr>
      <w:tc>
        <w:tcPr>
          <w:tcW w:w="236" w:type="dxa"/>
        </w:tcPr>
        <w:p w14:paraId="5E25D17B" w14:textId="77777777" w:rsidR="009E768C" w:rsidRDefault="009E768C" w:rsidP="004319A6">
          <w:pPr>
            <w:pStyle w:val="Header"/>
          </w:pPr>
        </w:p>
      </w:tc>
      <w:tc>
        <w:tcPr>
          <w:tcW w:w="1593" w:type="dxa"/>
          <w:vAlign w:val="center"/>
        </w:tcPr>
        <w:p w14:paraId="6BE24674" w14:textId="77777777" w:rsidR="009E768C" w:rsidRDefault="009E768C" w:rsidP="004319A6">
          <w:pPr>
            <w:pStyle w:val="Header"/>
            <w:jc w:val="center"/>
          </w:pPr>
          <w:r>
            <w:rPr>
              <w:noProof/>
            </w:rPr>
            <w:drawing>
              <wp:inline distT="0" distB="0" distL="0" distR="0" wp14:anchorId="40ADC767" wp14:editId="471AF299">
                <wp:extent cx="409575" cy="539893"/>
                <wp:effectExtent l="0" t="0" r="0" b="0"/>
                <wp:docPr id="9" name="Imagem 0" descr="logo_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bp.jpg"/>
                        <pic:cNvPicPr/>
                      </pic:nvPicPr>
                      <pic:blipFill>
                        <a:blip r:embed="rId1"/>
                        <a:stretch>
                          <a:fillRect/>
                        </a:stretch>
                      </pic:blipFill>
                      <pic:spPr>
                        <a:xfrm>
                          <a:off x="0" y="0"/>
                          <a:ext cx="418346" cy="551455"/>
                        </a:xfrm>
                        <a:prstGeom prst="rect">
                          <a:avLst/>
                        </a:prstGeom>
                      </pic:spPr>
                    </pic:pic>
                  </a:graphicData>
                </a:graphic>
              </wp:inline>
            </w:drawing>
          </w:r>
        </w:p>
      </w:tc>
      <w:tc>
        <w:tcPr>
          <w:tcW w:w="6096" w:type="dxa"/>
          <w:vAlign w:val="center"/>
        </w:tcPr>
        <w:p w14:paraId="62B5CA1F" w14:textId="77777777" w:rsidR="009E768C" w:rsidRPr="00795627" w:rsidRDefault="009E768C" w:rsidP="004319A6">
          <w:pPr>
            <w:pStyle w:val="Header"/>
            <w:jc w:val="center"/>
            <w:rPr>
              <w:rFonts w:ascii="Arial" w:hAnsi="Arial" w:cs="Arial"/>
              <w:sz w:val="18"/>
              <w:szCs w:val="18"/>
            </w:rPr>
          </w:pPr>
          <w:r w:rsidRPr="00795627">
            <w:rPr>
              <w:rFonts w:ascii="Arial" w:hAnsi="Arial" w:cs="Arial"/>
              <w:sz w:val="18"/>
              <w:szCs w:val="18"/>
            </w:rPr>
            <w:t>Estudo de Impacto Ambiental</w:t>
          </w:r>
        </w:p>
        <w:p w14:paraId="7317FC5F" w14:textId="77777777" w:rsidR="009E768C" w:rsidRDefault="009E768C" w:rsidP="004319A6">
          <w:pPr>
            <w:pStyle w:val="Header"/>
            <w:jc w:val="center"/>
            <w:rPr>
              <w:rFonts w:ascii="Arial" w:hAnsi="Arial" w:cs="Arial"/>
              <w:sz w:val="18"/>
              <w:szCs w:val="18"/>
            </w:rPr>
          </w:pPr>
          <w:r w:rsidRPr="00795627">
            <w:rPr>
              <w:rFonts w:ascii="Arial" w:hAnsi="Arial" w:cs="Arial"/>
              <w:sz w:val="18"/>
              <w:szCs w:val="18"/>
            </w:rPr>
            <w:t xml:space="preserve">Atividade de Perfuração Marítima de Poços no </w:t>
          </w:r>
        </w:p>
        <w:p w14:paraId="7A39C50A" w14:textId="77777777" w:rsidR="009E768C" w:rsidRDefault="009E768C" w:rsidP="004319A6">
          <w:pPr>
            <w:pStyle w:val="Header"/>
            <w:jc w:val="center"/>
          </w:pPr>
          <w:r w:rsidRPr="00795627">
            <w:rPr>
              <w:rFonts w:ascii="Arial" w:hAnsi="Arial" w:cs="Arial"/>
              <w:sz w:val="18"/>
              <w:szCs w:val="18"/>
            </w:rPr>
            <w:t>Bloco FZA-M-59,</w:t>
          </w:r>
          <w:r>
            <w:rPr>
              <w:rFonts w:ascii="Arial" w:hAnsi="Arial" w:cs="Arial"/>
              <w:sz w:val="18"/>
              <w:szCs w:val="18"/>
            </w:rPr>
            <w:t xml:space="preserve"> </w:t>
          </w:r>
          <w:r w:rsidRPr="00795627">
            <w:rPr>
              <w:rFonts w:ascii="Arial" w:hAnsi="Arial" w:cs="Arial"/>
              <w:sz w:val="18"/>
              <w:szCs w:val="18"/>
            </w:rPr>
            <w:t>Bacia da Foz do Amazonas</w:t>
          </w:r>
        </w:p>
      </w:tc>
      <w:tc>
        <w:tcPr>
          <w:tcW w:w="1842" w:type="dxa"/>
          <w:vAlign w:val="center"/>
        </w:tcPr>
        <w:p w14:paraId="2BE50B47" w14:textId="77777777" w:rsidR="009E768C" w:rsidRDefault="009E768C" w:rsidP="004319A6">
          <w:pPr>
            <w:pStyle w:val="Header"/>
            <w:ind w:left="-365" w:right="-114"/>
            <w:jc w:val="right"/>
          </w:pPr>
          <w:r w:rsidRPr="003B64CC">
            <w:rPr>
              <w:rFonts w:ascii="Calibri" w:eastAsia="Times New Roman" w:hAnsi="Calibri" w:cs="Calibri"/>
              <w:noProof/>
              <w:sz w:val="20"/>
              <w:szCs w:val="20"/>
              <w:lang w:val="en-US"/>
            </w:rPr>
            <w:drawing>
              <wp:inline distT="0" distB="0" distL="0" distR="0" wp14:anchorId="654EFB19" wp14:editId="2203D170">
                <wp:extent cx="1085850" cy="182496"/>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7" descr="cid:image001.png@01D38F79.723D2160"/>
                        <pic:cNvPicPr>
                          <a:picLocks noChangeAspect="1" noChangeArrowheads="1"/>
                        </pic:cNvPicPr>
                      </pic:nvPicPr>
                      <pic:blipFill rotWithShape="1">
                        <a:blip r:embed="rId2"/>
                        <a:srcRect l="9078" t="27528" r="7821" b="26591"/>
                        <a:stretch/>
                      </pic:blipFill>
                      <pic:spPr bwMode="auto">
                        <a:xfrm>
                          <a:off x="0" y="0"/>
                          <a:ext cx="1155078" cy="194131"/>
                        </a:xfrm>
                        <a:prstGeom prst="rect">
                          <a:avLst/>
                        </a:prstGeom>
                        <a:noFill/>
                        <a:ln>
                          <a:noFill/>
                        </a:ln>
                        <a:extLst>
                          <a:ext uri="{53640926-AAD7-44D8-BBD7-CCE9431645EC}">
                            <a14:shadowObscured xmlns:a14="http://schemas.microsoft.com/office/drawing/2010/main"/>
                          </a:ext>
                        </a:extLst>
                      </pic:spPr>
                    </pic:pic>
                  </a:graphicData>
                </a:graphic>
              </wp:inline>
            </w:drawing>
          </w:r>
        </w:p>
        <w:p w14:paraId="0CEE7930" w14:textId="77777777" w:rsidR="009E768C" w:rsidRDefault="009E768C" w:rsidP="004319A6">
          <w:pPr>
            <w:pStyle w:val="Header"/>
            <w:ind w:left="-365" w:right="-114"/>
            <w:jc w:val="right"/>
          </w:pPr>
          <w:r w:rsidRPr="009C12FD">
            <w:rPr>
              <w:rFonts w:ascii="Arial Narrow" w:hAnsi="Arial Narrow" w:cs="Arial"/>
              <w:noProof/>
              <w:szCs w:val="20"/>
              <w:lang w:val="en-US"/>
            </w:rPr>
            <w:drawing>
              <wp:inline distT="0" distB="0" distL="0" distR="0" wp14:anchorId="078689FC" wp14:editId="4F684949">
                <wp:extent cx="1073389" cy="230775"/>
                <wp:effectExtent l="0" t="0" r="0" b="0"/>
                <wp:docPr id="11" name="Imagem 11" descr="marca_prooce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a_prooceano"/>
                        <pic:cNvPicPr>
                          <a:picLocks noChangeAspect="1" noChangeArrowheads="1"/>
                        </pic:cNvPicPr>
                      </pic:nvPicPr>
                      <pic:blipFill rotWithShape="1">
                        <a:blip r:embed="rId3">
                          <a:extLst>
                            <a:ext uri="{28A0092B-C50C-407E-A947-70E740481C1C}">
                              <a14:useLocalDpi xmlns:a14="http://schemas.microsoft.com/office/drawing/2010/main" val="0"/>
                            </a:ext>
                          </a:extLst>
                        </a:blip>
                        <a:srcRect l="7218" t="14735" r="-1" b="18136"/>
                        <a:stretch/>
                      </pic:blipFill>
                      <pic:spPr bwMode="auto">
                        <a:xfrm>
                          <a:off x="0" y="0"/>
                          <a:ext cx="1229481" cy="264334"/>
                        </a:xfrm>
                        <a:prstGeom prst="rect">
                          <a:avLst/>
                        </a:prstGeom>
                        <a:noFill/>
                        <a:ln>
                          <a:noFill/>
                        </a:ln>
                        <a:extLst>
                          <a:ext uri="{53640926-AAD7-44D8-BBD7-CCE9431645EC}">
                            <a14:shadowObscured xmlns:a14="http://schemas.microsoft.com/office/drawing/2010/main"/>
                          </a:ext>
                        </a:extLst>
                      </pic:spPr>
                    </pic:pic>
                  </a:graphicData>
                </a:graphic>
              </wp:inline>
            </w:drawing>
          </w:r>
        </w:p>
        <w:p w14:paraId="2E76BABC" w14:textId="33ABEA79" w:rsidR="009E768C" w:rsidRDefault="009E768C" w:rsidP="004319A6">
          <w:pPr>
            <w:pStyle w:val="Header"/>
            <w:tabs>
              <w:tab w:val="left" w:pos="1005"/>
            </w:tabs>
            <w:ind w:left="-365"/>
            <w:jc w:val="right"/>
          </w:pPr>
          <w:r>
            <w:rPr>
              <w:noProof/>
              <w:lang w:val="en-US"/>
            </w:rPr>
            <w:drawing>
              <wp:inline distT="0" distB="0" distL="0" distR="0" wp14:anchorId="6ED04CF5" wp14:editId="4825523B">
                <wp:extent cx="558153" cy="128766"/>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6362" cy="142195"/>
                        </a:xfrm>
                        <a:prstGeom prst="rect">
                          <a:avLst/>
                        </a:prstGeom>
                        <a:noFill/>
                      </pic:spPr>
                    </pic:pic>
                  </a:graphicData>
                </a:graphic>
              </wp:inline>
            </w:drawing>
          </w:r>
        </w:p>
      </w:tc>
    </w:tr>
    <w:tr w:rsidR="009E768C" w14:paraId="3213E7BB" w14:textId="77777777" w:rsidTr="004319A6">
      <w:trPr>
        <w:trHeight w:val="20"/>
      </w:trPr>
      <w:tc>
        <w:tcPr>
          <w:tcW w:w="236" w:type="dxa"/>
        </w:tcPr>
        <w:p w14:paraId="73B89E50" w14:textId="77777777" w:rsidR="009E768C" w:rsidRDefault="009E768C" w:rsidP="004319A6">
          <w:pPr>
            <w:pStyle w:val="Header"/>
            <w:rPr>
              <w:noProof/>
              <w:lang w:eastAsia="pt-BR"/>
            </w:rPr>
          </w:pPr>
        </w:p>
      </w:tc>
      <w:tc>
        <w:tcPr>
          <w:tcW w:w="9531" w:type="dxa"/>
          <w:gridSpan w:val="3"/>
        </w:tcPr>
        <w:p w14:paraId="0C9E5AF4" w14:textId="77777777" w:rsidR="009E768C" w:rsidRDefault="009E768C" w:rsidP="004319A6">
          <w:pPr>
            <w:pStyle w:val="Header"/>
            <w:ind w:left="-365"/>
          </w:pPr>
          <w:r>
            <w:rPr>
              <w:noProof/>
            </w:rPr>
            <w:drawing>
              <wp:anchor distT="0" distB="0" distL="114300" distR="114300" simplePos="0" relativeHeight="251663360" behindDoc="0" locked="0" layoutInCell="1" allowOverlap="1" wp14:anchorId="5D365FEF" wp14:editId="73738093">
                <wp:simplePos x="0" y="0"/>
                <wp:positionH relativeFrom="margin">
                  <wp:align>center</wp:align>
                </wp:positionH>
                <wp:positionV relativeFrom="margin">
                  <wp:posOffset>60960</wp:posOffset>
                </wp:positionV>
                <wp:extent cx="9255600" cy="46800"/>
                <wp:effectExtent l="0" t="0" r="0" b="0"/>
                <wp:wrapSquare wrapText="bothSides"/>
                <wp:docPr id="13" name="Imagem 9"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5">
                          <a:duotone>
                            <a:prstClr val="black"/>
                            <a:schemeClr val="accent3">
                              <a:tint val="45000"/>
                              <a:satMod val="400000"/>
                            </a:schemeClr>
                          </a:duotone>
                          <a:extLst>
                            <a:ext uri="{BEBA8EAE-BF5A-486C-A8C5-ECC9F3942E4B}">
                              <a14:imgProps xmlns:a14="http://schemas.microsoft.com/office/drawing/2010/main">
                                <a14:imgLayer r:embed="rId6">
                                  <a14:imgEffect>
                                    <a14:colorTemperature colorTemp="1500"/>
                                  </a14:imgEffect>
                                  <a14:imgEffect>
                                    <a14:saturation sat="191000"/>
                                  </a14:imgEffect>
                                </a14:imgLayer>
                              </a14:imgProps>
                            </a:ext>
                          </a:extLst>
                        </a:blip>
                        <a:stretch>
                          <a:fillRect/>
                        </a:stretch>
                      </pic:blipFill>
                      <pic:spPr>
                        <a:xfrm>
                          <a:off x="0" y="0"/>
                          <a:ext cx="9255600" cy="46800"/>
                        </a:xfrm>
                        <a:prstGeom prst="rect">
                          <a:avLst/>
                        </a:prstGeom>
                      </pic:spPr>
                    </pic:pic>
                  </a:graphicData>
                </a:graphic>
                <wp14:sizeRelH relativeFrom="margin">
                  <wp14:pctWidth>0</wp14:pctWidth>
                </wp14:sizeRelH>
                <wp14:sizeRelV relativeFrom="margin">
                  <wp14:pctHeight>0</wp14:pctHeight>
                </wp14:sizeRelV>
              </wp:anchor>
            </w:drawing>
          </w:r>
        </w:p>
      </w:tc>
    </w:tr>
  </w:tbl>
  <w:p w14:paraId="15AA623A" w14:textId="77777777" w:rsidR="009E768C" w:rsidRPr="00DD54AB" w:rsidRDefault="009E768C" w:rsidP="002E2097">
    <w:pPr>
      <w:spacing w:after="0"/>
      <w:rPr>
        <w:sz w:val="6"/>
        <w:szCs w:val="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1320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1593"/>
      <w:gridCol w:w="9228"/>
      <w:gridCol w:w="2144"/>
    </w:tblGrid>
    <w:tr w:rsidR="009E768C" w14:paraId="15D074EF" w14:textId="77777777" w:rsidTr="004319A6">
      <w:trPr>
        <w:trHeight w:val="558"/>
        <w:jc w:val="center"/>
      </w:trPr>
      <w:tc>
        <w:tcPr>
          <w:tcW w:w="236" w:type="dxa"/>
        </w:tcPr>
        <w:p w14:paraId="3910A57B" w14:textId="77777777" w:rsidR="009E768C" w:rsidRDefault="009E768C" w:rsidP="004319A6">
          <w:pPr>
            <w:pStyle w:val="Header"/>
          </w:pPr>
        </w:p>
      </w:tc>
      <w:tc>
        <w:tcPr>
          <w:tcW w:w="1593" w:type="dxa"/>
          <w:vAlign w:val="center"/>
        </w:tcPr>
        <w:p w14:paraId="4EA92777" w14:textId="77777777" w:rsidR="009E768C" w:rsidRDefault="009E768C" w:rsidP="004319A6">
          <w:pPr>
            <w:pStyle w:val="Header"/>
            <w:jc w:val="center"/>
          </w:pPr>
          <w:r>
            <w:rPr>
              <w:noProof/>
            </w:rPr>
            <w:drawing>
              <wp:inline distT="0" distB="0" distL="0" distR="0" wp14:anchorId="5035C820" wp14:editId="3A4B5FBF">
                <wp:extent cx="409575" cy="539893"/>
                <wp:effectExtent l="0" t="0" r="0" b="0"/>
                <wp:docPr id="14" name="Imagem 0" descr="logo_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bp.jpg"/>
                        <pic:cNvPicPr/>
                      </pic:nvPicPr>
                      <pic:blipFill>
                        <a:blip r:embed="rId1"/>
                        <a:stretch>
                          <a:fillRect/>
                        </a:stretch>
                      </pic:blipFill>
                      <pic:spPr>
                        <a:xfrm>
                          <a:off x="0" y="0"/>
                          <a:ext cx="418346" cy="551455"/>
                        </a:xfrm>
                        <a:prstGeom prst="rect">
                          <a:avLst/>
                        </a:prstGeom>
                      </pic:spPr>
                    </pic:pic>
                  </a:graphicData>
                </a:graphic>
              </wp:inline>
            </w:drawing>
          </w:r>
        </w:p>
      </w:tc>
      <w:tc>
        <w:tcPr>
          <w:tcW w:w="9228" w:type="dxa"/>
          <w:vAlign w:val="center"/>
        </w:tcPr>
        <w:p w14:paraId="4A5BDA85" w14:textId="77777777" w:rsidR="009E768C" w:rsidRPr="00795627" w:rsidRDefault="009E768C" w:rsidP="004319A6">
          <w:pPr>
            <w:pStyle w:val="Header"/>
            <w:jc w:val="center"/>
            <w:rPr>
              <w:rFonts w:ascii="Arial" w:hAnsi="Arial" w:cs="Arial"/>
              <w:sz w:val="18"/>
              <w:szCs w:val="18"/>
            </w:rPr>
          </w:pPr>
          <w:r w:rsidRPr="00795627">
            <w:rPr>
              <w:rFonts w:ascii="Arial" w:hAnsi="Arial" w:cs="Arial"/>
              <w:sz w:val="18"/>
              <w:szCs w:val="18"/>
            </w:rPr>
            <w:t>Estudo de Impacto Ambiental</w:t>
          </w:r>
        </w:p>
        <w:p w14:paraId="40DAF56F" w14:textId="77777777" w:rsidR="009E768C" w:rsidRDefault="009E768C" w:rsidP="004319A6">
          <w:pPr>
            <w:pStyle w:val="Header"/>
            <w:jc w:val="center"/>
            <w:rPr>
              <w:rFonts w:ascii="Arial" w:hAnsi="Arial" w:cs="Arial"/>
              <w:sz w:val="18"/>
              <w:szCs w:val="18"/>
            </w:rPr>
          </w:pPr>
          <w:r w:rsidRPr="00795627">
            <w:rPr>
              <w:rFonts w:ascii="Arial" w:hAnsi="Arial" w:cs="Arial"/>
              <w:sz w:val="18"/>
              <w:szCs w:val="18"/>
            </w:rPr>
            <w:t xml:space="preserve">Atividade de Perfuração Marítima de Poços no </w:t>
          </w:r>
        </w:p>
        <w:p w14:paraId="2B068A5A" w14:textId="77777777" w:rsidR="009E768C" w:rsidRDefault="009E768C" w:rsidP="004319A6">
          <w:pPr>
            <w:pStyle w:val="Header"/>
            <w:jc w:val="center"/>
          </w:pPr>
          <w:r w:rsidRPr="00795627">
            <w:rPr>
              <w:rFonts w:ascii="Arial" w:hAnsi="Arial" w:cs="Arial"/>
              <w:sz w:val="18"/>
              <w:szCs w:val="18"/>
            </w:rPr>
            <w:t>Bloco FZA-M-59,</w:t>
          </w:r>
          <w:r>
            <w:rPr>
              <w:rFonts w:ascii="Arial" w:hAnsi="Arial" w:cs="Arial"/>
              <w:sz w:val="18"/>
              <w:szCs w:val="18"/>
            </w:rPr>
            <w:t xml:space="preserve"> </w:t>
          </w:r>
          <w:r w:rsidRPr="00795627">
            <w:rPr>
              <w:rFonts w:ascii="Arial" w:hAnsi="Arial" w:cs="Arial"/>
              <w:sz w:val="18"/>
              <w:szCs w:val="18"/>
            </w:rPr>
            <w:t>Bacia da Foz do Amazonas</w:t>
          </w:r>
        </w:p>
      </w:tc>
      <w:tc>
        <w:tcPr>
          <w:tcW w:w="2144" w:type="dxa"/>
          <w:vAlign w:val="center"/>
        </w:tcPr>
        <w:p w14:paraId="34F66F2B" w14:textId="77777777" w:rsidR="009E768C" w:rsidRDefault="009E768C" w:rsidP="004319A6">
          <w:pPr>
            <w:pStyle w:val="Header"/>
            <w:ind w:left="-365" w:right="-114"/>
            <w:jc w:val="right"/>
          </w:pPr>
          <w:r w:rsidRPr="003B64CC">
            <w:rPr>
              <w:rFonts w:ascii="Calibri" w:eastAsia="Times New Roman" w:hAnsi="Calibri" w:cs="Calibri"/>
              <w:noProof/>
              <w:sz w:val="20"/>
              <w:szCs w:val="20"/>
              <w:lang w:val="en-US"/>
            </w:rPr>
            <w:drawing>
              <wp:inline distT="0" distB="0" distL="0" distR="0" wp14:anchorId="78A50058" wp14:editId="6D0B27A0">
                <wp:extent cx="1085850" cy="182496"/>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7" descr="cid:image001.png@01D38F79.723D2160"/>
                        <pic:cNvPicPr>
                          <a:picLocks noChangeAspect="1" noChangeArrowheads="1"/>
                        </pic:cNvPicPr>
                      </pic:nvPicPr>
                      <pic:blipFill rotWithShape="1">
                        <a:blip r:embed="rId2"/>
                        <a:srcRect l="9078" t="27528" r="7821" b="26591"/>
                        <a:stretch/>
                      </pic:blipFill>
                      <pic:spPr bwMode="auto">
                        <a:xfrm>
                          <a:off x="0" y="0"/>
                          <a:ext cx="1155078" cy="194131"/>
                        </a:xfrm>
                        <a:prstGeom prst="rect">
                          <a:avLst/>
                        </a:prstGeom>
                        <a:noFill/>
                        <a:ln>
                          <a:noFill/>
                        </a:ln>
                        <a:extLst>
                          <a:ext uri="{53640926-AAD7-44D8-BBD7-CCE9431645EC}">
                            <a14:shadowObscured xmlns:a14="http://schemas.microsoft.com/office/drawing/2010/main"/>
                          </a:ext>
                        </a:extLst>
                      </pic:spPr>
                    </pic:pic>
                  </a:graphicData>
                </a:graphic>
              </wp:inline>
            </w:drawing>
          </w:r>
        </w:p>
        <w:p w14:paraId="6D13A19B" w14:textId="77777777" w:rsidR="009E768C" w:rsidRDefault="009E768C" w:rsidP="004319A6">
          <w:pPr>
            <w:pStyle w:val="Header"/>
            <w:ind w:left="-365" w:right="-114"/>
            <w:jc w:val="right"/>
          </w:pPr>
          <w:r w:rsidRPr="009C12FD">
            <w:rPr>
              <w:rFonts w:ascii="Arial Narrow" w:hAnsi="Arial Narrow" w:cs="Arial"/>
              <w:noProof/>
              <w:szCs w:val="20"/>
              <w:lang w:val="en-US"/>
            </w:rPr>
            <w:drawing>
              <wp:inline distT="0" distB="0" distL="0" distR="0" wp14:anchorId="5FFC2879" wp14:editId="67A993D4">
                <wp:extent cx="1073389" cy="230775"/>
                <wp:effectExtent l="0" t="0" r="0" b="0"/>
                <wp:docPr id="16" name="Imagem 16" descr="marca_prooce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a_prooceano"/>
                        <pic:cNvPicPr>
                          <a:picLocks noChangeAspect="1" noChangeArrowheads="1"/>
                        </pic:cNvPicPr>
                      </pic:nvPicPr>
                      <pic:blipFill rotWithShape="1">
                        <a:blip r:embed="rId3">
                          <a:extLst>
                            <a:ext uri="{28A0092B-C50C-407E-A947-70E740481C1C}">
                              <a14:useLocalDpi xmlns:a14="http://schemas.microsoft.com/office/drawing/2010/main" val="0"/>
                            </a:ext>
                          </a:extLst>
                        </a:blip>
                        <a:srcRect l="7218" t="14735" r="-1" b="18136"/>
                        <a:stretch/>
                      </pic:blipFill>
                      <pic:spPr bwMode="auto">
                        <a:xfrm>
                          <a:off x="0" y="0"/>
                          <a:ext cx="1229481" cy="264334"/>
                        </a:xfrm>
                        <a:prstGeom prst="rect">
                          <a:avLst/>
                        </a:prstGeom>
                        <a:noFill/>
                        <a:ln>
                          <a:noFill/>
                        </a:ln>
                        <a:extLst>
                          <a:ext uri="{53640926-AAD7-44D8-BBD7-CCE9431645EC}">
                            <a14:shadowObscured xmlns:a14="http://schemas.microsoft.com/office/drawing/2010/main"/>
                          </a:ext>
                        </a:extLst>
                      </pic:spPr>
                    </pic:pic>
                  </a:graphicData>
                </a:graphic>
              </wp:inline>
            </w:drawing>
          </w:r>
        </w:p>
        <w:p w14:paraId="252BA11C" w14:textId="77777777" w:rsidR="009E768C" w:rsidRDefault="009E768C" w:rsidP="004319A6">
          <w:pPr>
            <w:pStyle w:val="Header"/>
            <w:tabs>
              <w:tab w:val="left" w:pos="1005"/>
            </w:tabs>
            <w:ind w:left="-365"/>
            <w:jc w:val="right"/>
          </w:pPr>
          <w:r>
            <w:rPr>
              <w:noProof/>
              <w:lang w:val="en-US"/>
            </w:rPr>
            <w:drawing>
              <wp:inline distT="0" distB="0" distL="0" distR="0" wp14:anchorId="6F991F1A" wp14:editId="604B28A5">
                <wp:extent cx="558153" cy="128766"/>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6362" cy="142195"/>
                        </a:xfrm>
                        <a:prstGeom prst="rect">
                          <a:avLst/>
                        </a:prstGeom>
                        <a:noFill/>
                      </pic:spPr>
                    </pic:pic>
                  </a:graphicData>
                </a:graphic>
              </wp:inline>
            </w:drawing>
          </w:r>
        </w:p>
      </w:tc>
    </w:tr>
    <w:tr w:rsidR="009E768C" w14:paraId="4BDF4A64" w14:textId="77777777" w:rsidTr="004319A6">
      <w:trPr>
        <w:trHeight w:val="20"/>
        <w:jc w:val="center"/>
      </w:trPr>
      <w:tc>
        <w:tcPr>
          <w:tcW w:w="236" w:type="dxa"/>
        </w:tcPr>
        <w:p w14:paraId="7922AC6B" w14:textId="77777777" w:rsidR="009E768C" w:rsidRDefault="009E768C" w:rsidP="004319A6">
          <w:pPr>
            <w:pStyle w:val="Header"/>
            <w:rPr>
              <w:noProof/>
              <w:lang w:eastAsia="pt-BR"/>
            </w:rPr>
          </w:pPr>
        </w:p>
      </w:tc>
      <w:tc>
        <w:tcPr>
          <w:tcW w:w="12965" w:type="dxa"/>
          <w:gridSpan w:val="3"/>
        </w:tcPr>
        <w:p w14:paraId="423D7C88" w14:textId="77777777" w:rsidR="009E768C" w:rsidRDefault="009E768C" w:rsidP="004319A6">
          <w:pPr>
            <w:pStyle w:val="Header"/>
            <w:ind w:left="-365"/>
          </w:pPr>
          <w:r>
            <w:rPr>
              <w:noProof/>
            </w:rPr>
            <w:drawing>
              <wp:anchor distT="0" distB="0" distL="114300" distR="114300" simplePos="0" relativeHeight="251665408" behindDoc="0" locked="0" layoutInCell="1" allowOverlap="1" wp14:anchorId="3E633A0D" wp14:editId="7FB6E514">
                <wp:simplePos x="0" y="0"/>
                <wp:positionH relativeFrom="margin">
                  <wp:align>center</wp:align>
                </wp:positionH>
                <wp:positionV relativeFrom="margin">
                  <wp:posOffset>60960</wp:posOffset>
                </wp:positionV>
                <wp:extent cx="9255600" cy="46800"/>
                <wp:effectExtent l="0" t="0" r="0" b="0"/>
                <wp:wrapSquare wrapText="bothSides"/>
                <wp:docPr id="18" name="Imagem 9"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5">
                          <a:duotone>
                            <a:prstClr val="black"/>
                            <a:schemeClr val="accent3">
                              <a:tint val="45000"/>
                              <a:satMod val="400000"/>
                            </a:schemeClr>
                          </a:duotone>
                          <a:extLst>
                            <a:ext uri="{BEBA8EAE-BF5A-486C-A8C5-ECC9F3942E4B}">
                              <a14:imgProps xmlns:a14="http://schemas.microsoft.com/office/drawing/2010/main">
                                <a14:imgLayer r:embed="rId6">
                                  <a14:imgEffect>
                                    <a14:colorTemperature colorTemp="1500"/>
                                  </a14:imgEffect>
                                  <a14:imgEffect>
                                    <a14:saturation sat="191000"/>
                                  </a14:imgEffect>
                                </a14:imgLayer>
                              </a14:imgProps>
                            </a:ext>
                          </a:extLst>
                        </a:blip>
                        <a:stretch>
                          <a:fillRect/>
                        </a:stretch>
                      </pic:blipFill>
                      <pic:spPr>
                        <a:xfrm>
                          <a:off x="0" y="0"/>
                          <a:ext cx="9255600" cy="46800"/>
                        </a:xfrm>
                        <a:prstGeom prst="rect">
                          <a:avLst/>
                        </a:prstGeom>
                      </pic:spPr>
                    </pic:pic>
                  </a:graphicData>
                </a:graphic>
                <wp14:sizeRelH relativeFrom="margin">
                  <wp14:pctWidth>0</wp14:pctWidth>
                </wp14:sizeRelH>
                <wp14:sizeRelV relativeFrom="margin">
                  <wp14:pctHeight>0</wp14:pctHeight>
                </wp14:sizeRelV>
              </wp:anchor>
            </w:drawing>
          </w:r>
        </w:p>
      </w:tc>
    </w:tr>
  </w:tbl>
  <w:p w14:paraId="6C170D4C" w14:textId="77777777" w:rsidR="009E768C" w:rsidRPr="00DD54AB" w:rsidRDefault="009E768C" w:rsidP="002231DC">
    <w:pPr>
      <w:spacing w:after="0"/>
      <w:rPr>
        <w:sz w:val="6"/>
        <w:szCs w:val="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767"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1593"/>
      <w:gridCol w:w="6096"/>
      <w:gridCol w:w="1842"/>
    </w:tblGrid>
    <w:tr w:rsidR="009E768C" w14:paraId="31EC106E" w14:textId="77777777" w:rsidTr="00CF2435">
      <w:trPr>
        <w:trHeight w:val="558"/>
      </w:trPr>
      <w:tc>
        <w:tcPr>
          <w:tcW w:w="236" w:type="dxa"/>
        </w:tcPr>
        <w:p w14:paraId="218168B3" w14:textId="77777777" w:rsidR="009E768C" w:rsidRDefault="009E768C" w:rsidP="004319A6">
          <w:pPr>
            <w:pStyle w:val="Header"/>
          </w:pPr>
        </w:p>
      </w:tc>
      <w:tc>
        <w:tcPr>
          <w:tcW w:w="1593" w:type="dxa"/>
          <w:vAlign w:val="center"/>
        </w:tcPr>
        <w:p w14:paraId="7C9A57AE" w14:textId="77777777" w:rsidR="009E768C" w:rsidRDefault="009E768C" w:rsidP="004319A6">
          <w:pPr>
            <w:pStyle w:val="Header"/>
            <w:jc w:val="center"/>
          </w:pPr>
          <w:r>
            <w:rPr>
              <w:noProof/>
            </w:rPr>
            <w:drawing>
              <wp:inline distT="0" distB="0" distL="0" distR="0" wp14:anchorId="72356B12" wp14:editId="06598CA6">
                <wp:extent cx="409575" cy="539893"/>
                <wp:effectExtent l="0" t="0" r="0" b="0"/>
                <wp:docPr id="67" name="Imagem 0" descr="logo_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bp.jpg"/>
                        <pic:cNvPicPr/>
                      </pic:nvPicPr>
                      <pic:blipFill>
                        <a:blip r:embed="rId1"/>
                        <a:stretch>
                          <a:fillRect/>
                        </a:stretch>
                      </pic:blipFill>
                      <pic:spPr>
                        <a:xfrm>
                          <a:off x="0" y="0"/>
                          <a:ext cx="418346" cy="551455"/>
                        </a:xfrm>
                        <a:prstGeom prst="rect">
                          <a:avLst/>
                        </a:prstGeom>
                      </pic:spPr>
                    </pic:pic>
                  </a:graphicData>
                </a:graphic>
              </wp:inline>
            </w:drawing>
          </w:r>
        </w:p>
      </w:tc>
      <w:tc>
        <w:tcPr>
          <w:tcW w:w="6096" w:type="dxa"/>
          <w:vAlign w:val="center"/>
        </w:tcPr>
        <w:p w14:paraId="48229CB1" w14:textId="77777777" w:rsidR="009E768C" w:rsidRPr="00795627" w:rsidRDefault="009E768C" w:rsidP="004319A6">
          <w:pPr>
            <w:pStyle w:val="Header"/>
            <w:jc w:val="center"/>
            <w:rPr>
              <w:rFonts w:ascii="Arial" w:hAnsi="Arial" w:cs="Arial"/>
              <w:sz w:val="18"/>
              <w:szCs w:val="18"/>
            </w:rPr>
          </w:pPr>
          <w:r w:rsidRPr="00795627">
            <w:rPr>
              <w:rFonts w:ascii="Arial" w:hAnsi="Arial" w:cs="Arial"/>
              <w:sz w:val="18"/>
              <w:szCs w:val="18"/>
            </w:rPr>
            <w:t>Estudo de Impacto Ambiental</w:t>
          </w:r>
        </w:p>
        <w:p w14:paraId="72E218E0" w14:textId="77777777" w:rsidR="009E768C" w:rsidRDefault="009E768C" w:rsidP="004319A6">
          <w:pPr>
            <w:pStyle w:val="Header"/>
            <w:jc w:val="center"/>
            <w:rPr>
              <w:rFonts w:ascii="Arial" w:hAnsi="Arial" w:cs="Arial"/>
              <w:sz w:val="18"/>
              <w:szCs w:val="18"/>
            </w:rPr>
          </w:pPr>
          <w:r w:rsidRPr="00795627">
            <w:rPr>
              <w:rFonts w:ascii="Arial" w:hAnsi="Arial" w:cs="Arial"/>
              <w:sz w:val="18"/>
              <w:szCs w:val="18"/>
            </w:rPr>
            <w:t xml:space="preserve">Atividade de Perfuração Marítima de Poços no </w:t>
          </w:r>
        </w:p>
        <w:p w14:paraId="66E13CC3" w14:textId="77777777" w:rsidR="009E768C" w:rsidRDefault="009E768C" w:rsidP="004319A6">
          <w:pPr>
            <w:pStyle w:val="Header"/>
            <w:jc w:val="center"/>
          </w:pPr>
          <w:r w:rsidRPr="00795627">
            <w:rPr>
              <w:rFonts w:ascii="Arial" w:hAnsi="Arial" w:cs="Arial"/>
              <w:sz w:val="18"/>
              <w:szCs w:val="18"/>
            </w:rPr>
            <w:t>Bloco FZA-M-59,</w:t>
          </w:r>
          <w:r>
            <w:rPr>
              <w:rFonts w:ascii="Arial" w:hAnsi="Arial" w:cs="Arial"/>
              <w:sz w:val="18"/>
              <w:szCs w:val="18"/>
            </w:rPr>
            <w:t xml:space="preserve"> </w:t>
          </w:r>
          <w:r w:rsidRPr="00795627">
            <w:rPr>
              <w:rFonts w:ascii="Arial" w:hAnsi="Arial" w:cs="Arial"/>
              <w:sz w:val="18"/>
              <w:szCs w:val="18"/>
            </w:rPr>
            <w:t>Bacia da Foz do Amazonas</w:t>
          </w:r>
        </w:p>
      </w:tc>
      <w:tc>
        <w:tcPr>
          <w:tcW w:w="1842" w:type="dxa"/>
          <w:vAlign w:val="center"/>
        </w:tcPr>
        <w:p w14:paraId="69E4FA8D" w14:textId="77777777" w:rsidR="009E768C" w:rsidRDefault="009E768C" w:rsidP="004319A6">
          <w:pPr>
            <w:pStyle w:val="Header"/>
            <w:ind w:left="-365" w:right="-114"/>
            <w:jc w:val="right"/>
          </w:pPr>
          <w:r w:rsidRPr="003B64CC">
            <w:rPr>
              <w:rFonts w:ascii="Calibri" w:eastAsia="Times New Roman" w:hAnsi="Calibri" w:cs="Calibri"/>
              <w:noProof/>
              <w:sz w:val="20"/>
              <w:szCs w:val="20"/>
              <w:lang w:val="en-US"/>
            </w:rPr>
            <w:drawing>
              <wp:inline distT="0" distB="0" distL="0" distR="0" wp14:anchorId="34758091" wp14:editId="1AD2005D">
                <wp:extent cx="1085850" cy="182496"/>
                <wp:effectExtent l="0" t="0" r="0" b="0"/>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7" descr="cid:image001.png@01D38F79.723D2160"/>
                        <pic:cNvPicPr>
                          <a:picLocks noChangeAspect="1" noChangeArrowheads="1"/>
                        </pic:cNvPicPr>
                      </pic:nvPicPr>
                      <pic:blipFill rotWithShape="1">
                        <a:blip r:embed="rId2"/>
                        <a:srcRect l="9078" t="27528" r="7821" b="26591"/>
                        <a:stretch/>
                      </pic:blipFill>
                      <pic:spPr bwMode="auto">
                        <a:xfrm>
                          <a:off x="0" y="0"/>
                          <a:ext cx="1155078" cy="194131"/>
                        </a:xfrm>
                        <a:prstGeom prst="rect">
                          <a:avLst/>
                        </a:prstGeom>
                        <a:noFill/>
                        <a:ln>
                          <a:noFill/>
                        </a:ln>
                        <a:extLst>
                          <a:ext uri="{53640926-AAD7-44D8-BBD7-CCE9431645EC}">
                            <a14:shadowObscured xmlns:a14="http://schemas.microsoft.com/office/drawing/2010/main"/>
                          </a:ext>
                        </a:extLst>
                      </pic:spPr>
                    </pic:pic>
                  </a:graphicData>
                </a:graphic>
              </wp:inline>
            </w:drawing>
          </w:r>
        </w:p>
        <w:p w14:paraId="106CDAC7" w14:textId="77777777" w:rsidR="009E768C" w:rsidRDefault="009E768C" w:rsidP="004319A6">
          <w:pPr>
            <w:pStyle w:val="Header"/>
            <w:ind w:left="-365" w:right="-114"/>
            <w:jc w:val="right"/>
          </w:pPr>
          <w:r w:rsidRPr="009C12FD">
            <w:rPr>
              <w:rFonts w:ascii="Arial Narrow" w:hAnsi="Arial Narrow" w:cs="Arial"/>
              <w:noProof/>
              <w:szCs w:val="20"/>
              <w:lang w:val="en-US"/>
            </w:rPr>
            <w:drawing>
              <wp:inline distT="0" distB="0" distL="0" distR="0" wp14:anchorId="0564A06B" wp14:editId="006AD7EE">
                <wp:extent cx="1073389" cy="230775"/>
                <wp:effectExtent l="0" t="0" r="0" b="0"/>
                <wp:docPr id="69" name="Imagem 69" descr="marca_prooce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a_prooceano"/>
                        <pic:cNvPicPr>
                          <a:picLocks noChangeAspect="1" noChangeArrowheads="1"/>
                        </pic:cNvPicPr>
                      </pic:nvPicPr>
                      <pic:blipFill rotWithShape="1">
                        <a:blip r:embed="rId3">
                          <a:extLst>
                            <a:ext uri="{28A0092B-C50C-407E-A947-70E740481C1C}">
                              <a14:useLocalDpi xmlns:a14="http://schemas.microsoft.com/office/drawing/2010/main" val="0"/>
                            </a:ext>
                          </a:extLst>
                        </a:blip>
                        <a:srcRect l="7218" t="14735" r="-1" b="18136"/>
                        <a:stretch/>
                      </pic:blipFill>
                      <pic:spPr bwMode="auto">
                        <a:xfrm>
                          <a:off x="0" y="0"/>
                          <a:ext cx="1229481" cy="264334"/>
                        </a:xfrm>
                        <a:prstGeom prst="rect">
                          <a:avLst/>
                        </a:prstGeom>
                        <a:noFill/>
                        <a:ln>
                          <a:noFill/>
                        </a:ln>
                        <a:extLst>
                          <a:ext uri="{53640926-AAD7-44D8-BBD7-CCE9431645EC}">
                            <a14:shadowObscured xmlns:a14="http://schemas.microsoft.com/office/drawing/2010/main"/>
                          </a:ext>
                        </a:extLst>
                      </pic:spPr>
                    </pic:pic>
                  </a:graphicData>
                </a:graphic>
              </wp:inline>
            </w:drawing>
          </w:r>
        </w:p>
        <w:p w14:paraId="3B11B8D1" w14:textId="77777777" w:rsidR="009E768C" w:rsidRDefault="009E768C" w:rsidP="004319A6">
          <w:pPr>
            <w:pStyle w:val="Header"/>
            <w:tabs>
              <w:tab w:val="left" w:pos="1005"/>
            </w:tabs>
            <w:ind w:left="-365"/>
            <w:jc w:val="right"/>
          </w:pPr>
          <w:r>
            <w:rPr>
              <w:noProof/>
              <w:lang w:val="en-US"/>
            </w:rPr>
            <w:drawing>
              <wp:inline distT="0" distB="0" distL="0" distR="0" wp14:anchorId="1DEA7BA3" wp14:editId="4795DC34">
                <wp:extent cx="558153" cy="128766"/>
                <wp:effectExtent l="0" t="0" r="0" b="0"/>
                <wp:docPr id="70"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6362" cy="142195"/>
                        </a:xfrm>
                        <a:prstGeom prst="rect">
                          <a:avLst/>
                        </a:prstGeom>
                        <a:noFill/>
                      </pic:spPr>
                    </pic:pic>
                  </a:graphicData>
                </a:graphic>
              </wp:inline>
            </w:drawing>
          </w:r>
        </w:p>
      </w:tc>
    </w:tr>
    <w:tr w:rsidR="009E768C" w14:paraId="2AA760B3" w14:textId="77777777" w:rsidTr="00CF2435">
      <w:trPr>
        <w:trHeight w:val="20"/>
      </w:trPr>
      <w:tc>
        <w:tcPr>
          <w:tcW w:w="236" w:type="dxa"/>
        </w:tcPr>
        <w:p w14:paraId="483F1205" w14:textId="77777777" w:rsidR="009E768C" w:rsidRDefault="009E768C" w:rsidP="004319A6">
          <w:pPr>
            <w:pStyle w:val="Header"/>
            <w:rPr>
              <w:noProof/>
              <w:lang w:eastAsia="pt-BR"/>
            </w:rPr>
          </w:pPr>
        </w:p>
      </w:tc>
      <w:tc>
        <w:tcPr>
          <w:tcW w:w="9531" w:type="dxa"/>
          <w:gridSpan w:val="3"/>
        </w:tcPr>
        <w:p w14:paraId="36A31D4A" w14:textId="77777777" w:rsidR="009E768C" w:rsidRDefault="009E768C" w:rsidP="004319A6">
          <w:pPr>
            <w:pStyle w:val="Header"/>
            <w:ind w:left="-365"/>
          </w:pPr>
          <w:r>
            <w:rPr>
              <w:noProof/>
            </w:rPr>
            <w:drawing>
              <wp:anchor distT="0" distB="0" distL="114300" distR="114300" simplePos="0" relativeHeight="251671552" behindDoc="0" locked="0" layoutInCell="1" allowOverlap="1" wp14:anchorId="5B2DA0E0" wp14:editId="00819BC7">
                <wp:simplePos x="0" y="0"/>
                <wp:positionH relativeFrom="margin">
                  <wp:align>center</wp:align>
                </wp:positionH>
                <wp:positionV relativeFrom="margin">
                  <wp:posOffset>60960</wp:posOffset>
                </wp:positionV>
                <wp:extent cx="9255600" cy="46800"/>
                <wp:effectExtent l="0" t="0" r="0" b="0"/>
                <wp:wrapSquare wrapText="bothSides"/>
                <wp:docPr id="71" name="Imagem 9"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5">
                          <a:duotone>
                            <a:prstClr val="black"/>
                            <a:schemeClr val="accent3">
                              <a:tint val="45000"/>
                              <a:satMod val="400000"/>
                            </a:schemeClr>
                          </a:duotone>
                          <a:extLst>
                            <a:ext uri="{BEBA8EAE-BF5A-486C-A8C5-ECC9F3942E4B}">
                              <a14:imgProps xmlns:a14="http://schemas.microsoft.com/office/drawing/2010/main">
                                <a14:imgLayer r:embed="rId6">
                                  <a14:imgEffect>
                                    <a14:colorTemperature colorTemp="1500"/>
                                  </a14:imgEffect>
                                  <a14:imgEffect>
                                    <a14:saturation sat="191000"/>
                                  </a14:imgEffect>
                                </a14:imgLayer>
                              </a14:imgProps>
                            </a:ext>
                          </a:extLst>
                        </a:blip>
                        <a:stretch>
                          <a:fillRect/>
                        </a:stretch>
                      </pic:blipFill>
                      <pic:spPr>
                        <a:xfrm>
                          <a:off x="0" y="0"/>
                          <a:ext cx="9255600" cy="46800"/>
                        </a:xfrm>
                        <a:prstGeom prst="rect">
                          <a:avLst/>
                        </a:prstGeom>
                      </pic:spPr>
                    </pic:pic>
                  </a:graphicData>
                </a:graphic>
                <wp14:sizeRelH relativeFrom="margin">
                  <wp14:pctWidth>0</wp14:pctWidth>
                </wp14:sizeRelH>
                <wp14:sizeRelV relativeFrom="margin">
                  <wp14:pctHeight>0</wp14:pctHeight>
                </wp14:sizeRelV>
              </wp:anchor>
            </w:drawing>
          </w:r>
        </w:p>
      </w:tc>
    </w:tr>
  </w:tbl>
  <w:p w14:paraId="7DF5B388" w14:textId="77777777" w:rsidR="009E768C" w:rsidRPr="00DD54AB" w:rsidRDefault="009E768C" w:rsidP="002231DC">
    <w:pPr>
      <w:spacing w:after="0"/>
      <w:rPr>
        <w:sz w:val="6"/>
        <w:szCs w:val="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1320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1593"/>
      <w:gridCol w:w="9228"/>
      <w:gridCol w:w="2144"/>
    </w:tblGrid>
    <w:tr w:rsidR="009E768C" w14:paraId="1B9E9D25" w14:textId="77777777" w:rsidTr="00CF2435">
      <w:trPr>
        <w:trHeight w:val="558"/>
        <w:jc w:val="center"/>
      </w:trPr>
      <w:tc>
        <w:tcPr>
          <w:tcW w:w="236" w:type="dxa"/>
        </w:tcPr>
        <w:p w14:paraId="00E70C41" w14:textId="77777777" w:rsidR="009E768C" w:rsidRDefault="009E768C" w:rsidP="004319A6">
          <w:pPr>
            <w:pStyle w:val="Header"/>
          </w:pPr>
        </w:p>
      </w:tc>
      <w:tc>
        <w:tcPr>
          <w:tcW w:w="1593" w:type="dxa"/>
          <w:vAlign w:val="center"/>
        </w:tcPr>
        <w:p w14:paraId="3ACDB8A2" w14:textId="77777777" w:rsidR="009E768C" w:rsidRDefault="009E768C" w:rsidP="004319A6">
          <w:pPr>
            <w:pStyle w:val="Header"/>
            <w:jc w:val="center"/>
          </w:pPr>
          <w:r>
            <w:rPr>
              <w:noProof/>
            </w:rPr>
            <w:drawing>
              <wp:inline distT="0" distB="0" distL="0" distR="0" wp14:anchorId="7C5401C5" wp14:editId="3DD4CD1D">
                <wp:extent cx="409575" cy="539893"/>
                <wp:effectExtent l="0" t="0" r="0" b="0"/>
                <wp:docPr id="77" name="Imagem 0" descr="logo_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bp.jpg"/>
                        <pic:cNvPicPr/>
                      </pic:nvPicPr>
                      <pic:blipFill>
                        <a:blip r:embed="rId1"/>
                        <a:stretch>
                          <a:fillRect/>
                        </a:stretch>
                      </pic:blipFill>
                      <pic:spPr>
                        <a:xfrm>
                          <a:off x="0" y="0"/>
                          <a:ext cx="418346" cy="551455"/>
                        </a:xfrm>
                        <a:prstGeom prst="rect">
                          <a:avLst/>
                        </a:prstGeom>
                      </pic:spPr>
                    </pic:pic>
                  </a:graphicData>
                </a:graphic>
              </wp:inline>
            </w:drawing>
          </w:r>
        </w:p>
      </w:tc>
      <w:tc>
        <w:tcPr>
          <w:tcW w:w="9228" w:type="dxa"/>
          <w:vAlign w:val="center"/>
        </w:tcPr>
        <w:p w14:paraId="01310057" w14:textId="77777777" w:rsidR="009E768C" w:rsidRPr="00795627" w:rsidRDefault="009E768C" w:rsidP="004319A6">
          <w:pPr>
            <w:pStyle w:val="Header"/>
            <w:jc w:val="center"/>
            <w:rPr>
              <w:rFonts w:ascii="Arial" w:hAnsi="Arial" w:cs="Arial"/>
              <w:sz w:val="18"/>
              <w:szCs w:val="18"/>
            </w:rPr>
          </w:pPr>
          <w:r w:rsidRPr="00795627">
            <w:rPr>
              <w:rFonts w:ascii="Arial" w:hAnsi="Arial" w:cs="Arial"/>
              <w:sz w:val="18"/>
              <w:szCs w:val="18"/>
            </w:rPr>
            <w:t>Estudo de Impacto Ambiental</w:t>
          </w:r>
        </w:p>
        <w:p w14:paraId="4FE6AE3F" w14:textId="77777777" w:rsidR="009E768C" w:rsidRDefault="009E768C" w:rsidP="004319A6">
          <w:pPr>
            <w:pStyle w:val="Header"/>
            <w:jc w:val="center"/>
            <w:rPr>
              <w:rFonts w:ascii="Arial" w:hAnsi="Arial" w:cs="Arial"/>
              <w:sz w:val="18"/>
              <w:szCs w:val="18"/>
            </w:rPr>
          </w:pPr>
          <w:r w:rsidRPr="00795627">
            <w:rPr>
              <w:rFonts w:ascii="Arial" w:hAnsi="Arial" w:cs="Arial"/>
              <w:sz w:val="18"/>
              <w:szCs w:val="18"/>
            </w:rPr>
            <w:t xml:space="preserve">Atividade de Perfuração Marítima de Poços no </w:t>
          </w:r>
        </w:p>
        <w:p w14:paraId="5FB779E8" w14:textId="77777777" w:rsidR="009E768C" w:rsidRDefault="009E768C" w:rsidP="004319A6">
          <w:pPr>
            <w:pStyle w:val="Header"/>
            <w:jc w:val="center"/>
          </w:pPr>
          <w:r w:rsidRPr="00795627">
            <w:rPr>
              <w:rFonts w:ascii="Arial" w:hAnsi="Arial" w:cs="Arial"/>
              <w:sz w:val="18"/>
              <w:szCs w:val="18"/>
            </w:rPr>
            <w:t>Bloco FZA-M-59,</w:t>
          </w:r>
          <w:r>
            <w:rPr>
              <w:rFonts w:ascii="Arial" w:hAnsi="Arial" w:cs="Arial"/>
              <w:sz w:val="18"/>
              <w:szCs w:val="18"/>
            </w:rPr>
            <w:t xml:space="preserve"> </w:t>
          </w:r>
          <w:r w:rsidRPr="00795627">
            <w:rPr>
              <w:rFonts w:ascii="Arial" w:hAnsi="Arial" w:cs="Arial"/>
              <w:sz w:val="18"/>
              <w:szCs w:val="18"/>
            </w:rPr>
            <w:t>Bacia da Foz do Amazonas</w:t>
          </w:r>
        </w:p>
      </w:tc>
      <w:tc>
        <w:tcPr>
          <w:tcW w:w="2144" w:type="dxa"/>
          <w:vAlign w:val="center"/>
        </w:tcPr>
        <w:p w14:paraId="1CCCA87A" w14:textId="77777777" w:rsidR="009E768C" w:rsidRDefault="009E768C" w:rsidP="004319A6">
          <w:pPr>
            <w:pStyle w:val="Header"/>
            <w:ind w:left="-365" w:right="-114"/>
            <w:jc w:val="right"/>
          </w:pPr>
          <w:r w:rsidRPr="003B64CC">
            <w:rPr>
              <w:rFonts w:ascii="Calibri" w:eastAsia="Times New Roman" w:hAnsi="Calibri" w:cs="Calibri"/>
              <w:noProof/>
              <w:sz w:val="20"/>
              <w:szCs w:val="20"/>
              <w:lang w:val="en-US"/>
            </w:rPr>
            <w:drawing>
              <wp:inline distT="0" distB="0" distL="0" distR="0" wp14:anchorId="27CDB6C4" wp14:editId="19E93FE4">
                <wp:extent cx="1085850" cy="182496"/>
                <wp:effectExtent l="0" t="0" r="0" b="0"/>
                <wp:docPr id="78"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7" descr="cid:image001.png@01D38F79.723D2160"/>
                        <pic:cNvPicPr>
                          <a:picLocks noChangeAspect="1" noChangeArrowheads="1"/>
                        </pic:cNvPicPr>
                      </pic:nvPicPr>
                      <pic:blipFill rotWithShape="1">
                        <a:blip r:embed="rId2"/>
                        <a:srcRect l="9078" t="27528" r="7821" b="26591"/>
                        <a:stretch/>
                      </pic:blipFill>
                      <pic:spPr bwMode="auto">
                        <a:xfrm>
                          <a:off x="0" y="0"/>
                          <a:ext cx="1155078" cy="194131"/>
                        </a:xfrm>
                        <a:prstGeom prst="rect">
                          <a:avLst/>
                        </a:prstGeom>
                        <a:noFill/>
                        <a:ln>
                          <a:noFill/>
                        </a:ln>
                        <a:extLst>
                          <a:ext uri="{53640926-AAD7-44D8-BBD7-CCE9431645EC}">
                            <a14:shadowObscured xmlns:a14="http://schemas.microsoft.com/office/drawing/2010/main"/>
                          </a:ext>
                        </a:extLst>
                      </pic:spPr>
                    </pic:pic>
                  </a:graphicData>
                </a:graphic>
              </wp:inline>
            </w:drawing>
          </w:r>
        </w:p>
        <w:p w14:paraId="72681913" w14:textId="77777777" w:rsidR="009E768C" w:rsidRDefault="009E768C" w:rsidP="004319A6">
          <w:pPr>
            <w:pStyle w:val="Header"/>
            <w:ind w:left="-365" w:right="-114"/>
            <w:jc w:val="right"/>
          </w:pPr>
          <w:r w:rsidRPr="009C12FD">
            <w:rPr>
              <w:rFonts w:ascii="Arial Narrow" w:hAnsi="Arial Narrow" w:cs="Arial"/>
              <w:noProof/>
              <w:szCs w:val="20"/>
              <w:lang w:val="en-US"/>
            </w:rPr>
            <w:drawing>
              <wp:inline distT="0" distB="0" distL="0" distR="0" wp14:anchorId="2444DAA2" wp14:editId="0084334D">
                <wp:extent cx="1073389" cy="230775"/>
                <wp:effectExtent l="0" t="0" r="0" b="0"/>
                <wp:docPr id="79" name="Imagem 79" descr="marca_prooce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a_prooceano"/>
                        <pic:cNvPicPr>
                          <a:picLocks noChangeAspect="1" noChangeArrowheads="1"/>
                        </pic:cNvPicPr>
                      </pic:nvPicPr>
                      <pic:blipFill rotWithShape="1">
                        <a:blip r:embed="rId3">
                          <a:extLst>
                            <a:ext uri="{28A0092B-C50C-407E-A947-70E740481C1C}">
                              <a14:useLocalDpi xmlns:a14="http://schemas.microsoft.com/office/drawing/2010/main" val="0"/>
                            </a:ext>
                          </a:extLst>
                        </a:blip>
                        <a:srcRect l="7218" t="14735" r="-1" b="18136"/>
                        <a:stretch/>
                      </pic:blipFill>
                      <pic:spPr bwMode="auto">
                        <a:xfrm>
                          <a:off x="0" y="0"/>
                          <a:ext cx="1229481" cy="264334"/>
                        </a:xfrm>
                        <a:prstGeom prst="rect">
                          <a:avLst/>
                        </a:prstGeom>
                        <a:noFill/>
                        <a:ln>
                          <a:noFill/>
                        </a:ln>
                        <a:extLst>
                          <a:ext uri="{53640926-AAD7-44D8-BBD7-CCE9431645EC}">
                            <a14:shadowObscured xmlns:a14="http://schemas.microsoft.com/office/drawing/2010/main"/>
                          </a:ext>
                        </a:extLst>
                      </pic:spPr>
                    </pic:pic>
                  </a:graphicData>
                </a:graphic>
              </wp:inline>
            </w:drawing>
          </w:r>
        </w:p>
        <w:p w14:paraId="1E96D60E" w14:textId="77777777" w:rsidR="009E768C" w:rsidRDefault="009E768C" w:rsidP="004319A6">
          <w:pPr>
            <w:pStyle w:val="Header"/>
            <w:tabs>
              <w:tab w:val="left" w:pos="1005"/>
            </w:tabs>
            <w:ind w:left="-365"/>
            <w:jc w:val="right"/>
          </w:pPr>
          <w:r>
            <w:rPr>
              <w:noProof/>
              <w:lang w:val="en-US"/>
            </w:rPr>
            <w:drawing>
              <wp:inline distT="0" distB="0" distL="0" distR="0" wp14:anchorId="6AB0B828" wp14:editId="1895D6AA">
                <wp:extent cx="558153" cy="128766"/>
                <wp:effectExtent l="0" t="0" r="0" b="0"/>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6362" cy="142195"/>
                        </a:xfrm>
                        <a:prstGeom prst="rect">
                          <a:avLst/>
                        </a:prstGeom>
                        <a:noFill/>
                      </pic:spPr>
                    </pic:pic>
                  </a:graphicData>
                </a:graphic>
              </wp:inline>
            </w:drawing>
          </w:r>
        </w:p>
      </w:tc>
    </w:tr>
    <w:tr w:rsidR="009E768C" w14:paraId="632422B2" w14:textId="77777777" w:rsidTr="00CF2435">
      <w:trPr>
        <w:trHeight w:val="20"/>
        <w:jc w:val="center"/>
      </w:trPr>
      <w:tc>
        <w:tcPr>
          <w:tcW w:w="236" w:type="dxa"/>
        </w:tcPr>
        <w:p w14:paraId="2EFF67EA" w14:textId="77777777" w:rsidR="009E768C" w:rsidRDefault="009E768C" w:rsidP="004319A6">
          <w:pPr>
            <w:pStyle w:val="Header"/>
            <w:rPr>
              <w:noProof/>
              <w:lang w:eastAsia="pt-BR"/>
            </w:rPr>
          </w:pPr>
        </w:p>
      </w:tc>
      <w:tc>
        <w:tcPr>
          <w:tcW w:w="12965" w:type="dxa"/>
          <w:gridSpan w:val="3"/>
        </w:tcPr>
        <w:p w14:paraId="17423CD3" w14:textId="77777777" w:rsidR="009E768C" w:rsidRDefault="009E768C" w:rsidP="004319A6">
          <w:pPr>
            <w:pStyle w:val="Header"/>
            <w:ind w:left="-365"/>
          </w:pPr>
          <w:r>
            <w:rPr>
              <w:noProof/>
            </w:rPr>
            <w:drawing>
              <wp:anchor distT="0" distB="0" distL="114300" distR="114300" simplePos="0" relativeHeight="251667456" behindDoc="0" locked="0" layoutInCell="1" allowOverlap="1" wp14:anchorId="4758E790" wp14:editId="38B854CE">
                <wp:simplePos x="0" y="0"/>
                <wp:positionH relativeFrom="margin">
                  <wp:align>center</wp:align>
                </wp:positionH>
                <wp:positionV relativeFrom="margin">
                  <wp:posOffset>60960</wp:posOffset>
                </wp:positionV>
                <wp:extent cx="9255600" cy="46800"/>
                <wp:effectExtent l="0" t="0" r="0" b="0"/>
                <wp:wrapSquare wrapText="bothSides"/>
                <wp:docPr id="81" name="Imagem 9"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5">
                          <a:duotone>
                            <a:prstClr val="black"/>
                            <a:schemeClr val="accent3">
                              <a:tint val="45000"/>
                              <a:satMod val="400000"/>
                            </a:schemeClr>
                          </a:duotone>
                          <a:extLst>
                            <a:ext uri="{BEBA8EAE-BF5A-486C-A8C5-ECC9F3942E4B}">
                              <a14:imgProps xmlns:a14="http://schemas.microsoft.com/office/drawing/2010/main">
                                <a14:imgLayer r:embed="rId6">
                                  <a14:imgEffect>
                                    <a14:colorTemperature colorTemp="1500"/>
                                  </a14:imgEffect>
                                  <a14:imgEffect>
                                    <a14:saturation sat="191000"/>
                                  </a14:imgEffect>
                                </a14:imgLayer>
                              </a14:imgProps>
                            </a:ext>
                          </a:extLst>
                        </a:blip>
                        <a:stretch>
                          <a:fillRect/>
                        </a:stretch>
                      </pic:blipFill>
                      <pic:spPr>
                        <a:xfrm>
                          <a:off x="0" y="0"/>
                          <a:ext cx="9255600" cy="46800"/>
                        </a:xfrm>
                        <a:prstGeom prst="rect">
                          <a:avLst/>
                        </a:prstGeom>
                      </pic:spPr>
                    </pic:pic>
                  </a:graphicData>
                </a:graphic>
                <wp14:sizeRelH relativeFrom="margin">
                  <wp14:pctWidth>0</wp14:pctWidth>
                </wp14:sizeRelH>
                <wp14:sizeRelV relativeFrom="margin">
                  <wp14:pctHeight>0</wp14:pctHeight>
                </wp14:sizeRelV>
              </wp:anchor>
            </w:drawing>
          </w:r>
        </w:p>
      </w:tc>
    </w:tr>
  </w:tbl>
  <w:p w14:paraId="2557DB84" w14:textId="77777777" w:rsidR="009E768C" w:rsidRPr="00DD54AB" w:rsidRDefault="009E768C" w:rsidP="002231DC">
    <w:pPr>
      <w:spacing w:after="0"/>
      <w:rPr>
        <w:sz w:val="6"/>
        <w:szCs w:val="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767"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1593"/>
      <w:gridCol w:w="6096"/>
      <w:gridCol w:w="1842"/>
    </w:tblGrid>
    <w:tr w:rsidR="00292D09" w14:paraId="6061E9CD" w14:textId="77777777" w:rsidTr="003E2DFE">
      <w:trPr>
        <w:trHeight w:val="558"/>
      </w:trPr>
      <w:tc>
        <w:tcPr>
          <w:tcW w:w="236" w:type="dxa"/>
        </w:tcPr>
        <w:p w14:paraId="577726D0" w14:textId="77777777" w:rsidR="00292D09" w:rsidRDefault="00292D09" w:rsidP="00292D09">
          <w:pPr>
            <w:pStyle w:val="Header"/>
          </w:pPr>
        </w:p>
      </w:tc>
      <w:tc>
        <w:tcPr>
          <w:tcW w:w="1593" w:type="dxa"/>
          <w:vAlign w:val="center"/>
        </w:tcPr>
        <w:p w14:paraId="1118D37B" w14:textId="77777777" w:rsidR="00292D09" w:rsidRDefault="00292D09" w:rsidP="00292D09">
          <w:pPr>
            <w:pStyle w:val="Header"/>
            <w:jc w:val="center"/>
          </w:pPr>
          <w:r>
            <w:rPr>
              <w:noProof/>
            </w:rPr>
            <w:drawing>
              <wp:inline distT="0" distB="0" distL="0" distR="0" wp14:anchorId="036580CB" wp14:editId="680AA344">
                <wp:extent cx="409575" cy="539893"/>
                <wp:effectExtent l="0" t="0" r="0" b="0"/>
                <wp:docPr id="6" name="Imagem 0" descr="logo_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bp.jpg"/>
                        <pic:cNvPicPr/>
                      </pic:nvPicPr>
                      <pic:blipFill>
                        <a:blip r:embed="rId1"/>
                        <a:stretch>
                          <a:fillRect/>
                        </a:stretch>
                      </pic:blipFill>
                      <pic:spPr>
                        <a:xfrm>
                          <a:off x="0" y="0"/>
                          <a:ext cx="418346" cy="551455"/>
                        </a:xfrm>
                        <a:prstGeom prst="rect">
                          <a:avLst/>
                        </a:prstGeom>
                      </pic:spPr>
                    </pic:pic>
                  </a:graphicData>
                </a:graphic>
              </wp:inline>
            </w:drawing>
          </w:r>
        </w:p>
      </w:tc>
      <w:tc>
        <w:tcPr>
          <w:tcW w:w="6096" w:type="dxa"/>
          <w:vAlign w:val="center"/>
        </w:tcPr>
        <w:p w14:paraId="0075C7F7" w14:textId="77777777" w:rsidR="00292D09" w:rsidRPr="00795627" w:rsidRDefault="00292D09" w:rsidP="00292D09">
          <w:pPr>
            <w:pStyle w:val="Header"/>
            <w:jc w:val="center"/>
            <w:rPr>
              <w:rFonts w:ascii="Arial" w:hAnsi="Arial" w:cs="Arial"/>
              <w:sz w:val="18"/>
              <w:szCs w:val="18"/>
            </w:rPr>
          </w:pPr>
          <w:r w:rsidRPr="00795627">
            <w:rPr>
              <w:rFonts w:ascii="Arial" w:hAnsi="Arial" w:cs="Arial"/>
              <w:sz w:val="18"/>
              <w:szCs w:val="18"/>
            </w:rPr>
            <w:t>Estudo de Impacto Ambiental</w:t>
          </w:r>
        </w:p>
        <w:p w14:paraId="4184FDA3" w14:textId="77777777" w:rsidR="00292D09" w:rsidRDefault="00292D09" w:rsidP="00292D09">
          <w:pPr>
            <w:pStyle w:val="Header"/>
            <w:jc w:val="center"/>
            <w:rPr>
              <w:rFonts w:ascii="Arial" w:hAnsi="Arial" w:cs="Arial"/>
              <w:sz w:val="18"/>
              <w:szCs w:val="18"/>
            </w:rPr>
          </w:pPr>
          <w:r w:rsidRPr="00795627">
            <w:rPr>
              <w:rFonts w:ascii="Arial" w:hAnsi="Arial" w:cs="Arial"/>
              <w:sz w:val="18"/>
              <w:szCs w:val="18"/>
            </w:rPr>
            <w:t xml:space="preserve">Atividade de Perfuração Marítima de Poços no </w:t>
          </w:r>
        </w:p>
        <w:p w14:paraId="260324D1" w14:textId="77777777" w:rsidR="00292D09" w:rsidRDefault="00292D09" w:rsidP="00292D09">
          <w:pPr>
            <w:pStyle w:val="Header"/>
            <w:jc w:val="center"/>
          </w:pPr>
          <w:r w:rsidRPr="00795627">
            <w:rPr>
              <w:rFonts w:ascii="Arial" w:hAnsi="Arial" w:cs="Arial"/>
              <w:sz w:val="18"/>
              <w:szCs w:val="18"/>
            </w:rPr>
            <w:t>Bloco FZA-M-59,</w:t>
          </w:r>
          <w:r>
            <w:rPr>
              <w:rFonts w:ascii="Arial" w:hAnsi="Arial" w:cs="Arial"/>
              <w:sz w:val="18"/>
              <w:szCs w:val="18"/>
            </w:rPr>
            <w:t xml:space="preserve"> </w:t>
          </w:r>
          <w:r w:rsidRPr="00795627">
            <w:rPr>
              <w:rFonts w:ascii="Arial" w:hAnsi="Arial" w:cs="Arial"/>
              <w:sz w:val="18"/>
              <w:szCs w:val="18"/>
            </w:rPr>
            <w:t>Bacia da Foz do Amazonas</w:t>
          </w:r>
        </w:p>
      </w:tc>
      <w:tc>
        <w:tcPr>
          <w:tcW w:w="1842" w:type="dxa"/>
          <w:vAlign w:val="center"/>
        </w:tcPr>
        <w:p w14:paraId="61A8399E" w14:textId="77777777" w:rsidR="00292D09" w:rsidRDefault="00292D09" w:rsidP="00292D09">
          <w:pPr>
            <w:pStyle w:val="Header"/>
            <w:ind w:left="-365" w:right="-114"/>
            <w:jc w:val="right"/>
          </w:pPr>
          <w:r w:rsidRPr="003B64CC">
            <w:rPr>
              <w:rFonts w:ascii="Calibri" w:eastAsia="Times New Roman" w:hAnsi="Calibri" w:cs="Calibri"/>
              <w:noProof/>
              <w:sz w:val="20"/>
              <w:szCs w:val="20"/>
              <w:lang w:val="en-US"/>
            </w:rPr>
            <w:drawing>
              <wp:inline distT="0" distB="0" distL="0" distR="0" wp14:anchorId="7B265864" wp14:editId="0919FBBA">
                <wp:extent cx="1085850" cy="182496"/>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7" descr="cid:image001.png@01D38F79.723D2160"/>
                        <pic:cNvPicPr>
                          <a:picLocks noChangeAspect="1" noChangeArrowheads="1"/>
                        </pic:cNvPicPr>
                      </pic:nvPicPr>
                      <pic:blipFill rotWithShape="1">
                        <a:blip r:embed="rId2"/>
                        <a:srcRect l="9078" t="27528" r="7821" b="26591"/>
                        <a:stretch/>
                      </pic:blipFill>
                      <pic:spPr bwMode="auto">
                        <a:xfrm>
                          <a:off x="0" y="0"/>
                          <a:ext cx="1155078" cy="194131"/>
                        </a:xfrm>
                        <a:prstGeom prst="rect">
                          <a:avLst/>
                        </a:prstGeom>
                        <a:noFill/>
                        <a:ln>
                          <a:noFill/>
                        </a:ln>
                        <a:extLst>
                          <a:ext uri="{53640926-AAD7-44D8-BBD7-CCE9431645EC}">
                            <a14:shadowObscured xmlns:a14="http://schemas.microsoft.com/office/drawing/2010/main"/>
                          </a:ext>
                        </a:extLst>
                      </pic:spPr>
                    </pic:pic>
                  </a:graphicData>
                </a:graphic>
              </wp:inline>
            </w:drawing>
          </w:r>
        </w:p>
        <w:p w14:paraId="0DB75E7C" w14:textId="77777777" w:rsidR="00292D09" w:rsidRDefault="00292D09" w:rsidP="00292D09">
          <w:pPr>
            <w:pStyle w:val="Header"/>
            <w:ind w:left="-365" w:right="-114"/>
            <w:jc w:val="right"/>
          </w:pPr>
          <w:r w:rsidRPr="009C12FD">
            <w:rPr>
              <w:rFonts w:ascii="Arial Narrow" w:hAnsi="Arial Narrow" w:cs="Arial"/>
              <w:noProof/>
              <w:szCs w:val="20"/>
              <w:lang w:val="en-US"/>
            </w:rPr>
            <w:drawing>
              <wp:inline distT="0" distB="0" distL="0" distR="0" wp14:anchorId="44DACABD" wp14:editId="18A08908">
                <wp:extent cx="1073389" cy="230775"/>
                <wp:effectExtent l="0" t="0" r="0" b="0"/>
                <wp:docPr id="8" name="Imagem 8" descr="marca_prooce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a_prooceano"/>
                        <pic:cNvPicPr>
                          <a:picLocks noChangeAspect="1" noChangeArrowheads="1"/>
                        </pic:cNvPicPr>
                      </pic:nvPicPr>
                      <pic:blipFill rotWithShape="1">
                        <a:blip r:embed="rId3">
                          <a:extLst>
                            <a:ext uri="{28A0092B-C50C-407E-A947-70E740481C1C}">
                              <a14:useLocalDpi xmlns:a14="http://schemas.microsoft.com/office/drawing/2010/main" val="0"/>
                            </a:ext>
                          </a:extLst>
                        </a:blip>
                        <a:srcRect l="7218" t="14735" r="-1" b="18136"/>
                        <a:stretch/>
                      </pic:blipFill>
                      <pic:spPr bwMode="auto">
                        <a:xfrm>
                          <a:off x="0" y="0"/>
                          <a:ext cx="1229481" cy="264334"/>
                        </a:xfrm>
                        <a:prstGeom prst="rect">
                          <a:avLst/>
                        </a:prstGeom>
                        <a:noFill/>
                        <a:ln>
                          <a:noFill/>
                        </a:ln>
                        <a:extLst>
                          <a:ext uri="{53640926-AAD7-44D8-BBD7-CCE9431645EC}">
                            <a14:shadowObscured xmlns:a14="http://schemas.microsoft.com/office/drawing/2010/main"/>
                          </a:ext>
                        </a:extLst>
                      </pic:spPr>
                    </pic:pic>
                  </a:graphicData>
                </a:graphic>
              </wp:inline>
            </w:drawing>
          </w:r>
        </w:p>
        <w:p w14:paraId="4EB066BB" w14:textId="77777777" w:rsidR="00292D09" w:rsidRDefault="00292D09" w:rsidP="00292D09">
          <w:pPr>
            <w:pStyle w:val="Header"/>
            <w:tabs>
              <w:tab w:val="left" w:pos="1005"/>
            </w:tabs>
            <w:ind w:left="-365"/>
            <w:jc w:val="right"/>
          </w:pPr>
          <w:r>
            <w:rPr>
              <w:noProof/>
              <w:lang w:val="en-US"/>
            </w:rPr>
            <w:drawing>
              <wp:inline distT="0" distB="0" distL="0" distR="0" wp14:anchorId="61B5BF9C" wp14:editId="1484BD5C">
                <wp:extent cx="558153" cy="128766"/>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6362" cy="142195"/>
                        </a:xfrm>
                        <a:prstGeom prst="rect">
                          <a:avLst/>
                        </a:prstGeom>
                        <a:noFill/>
                      </pic:spPr>
                    </pic:pic>
                  </a:graphicData>
                </a:graphic>
              </wp:inline>
            </w:drawing>
          </w:r>
        </w:p>
      </w:tc>
    </w:tr>
    <w:tr w:rsidR="00292D09" w14:paraId="4D3EF5B8" w14:textId="77777777" w:rsidTr="003E2DFE">
      <w:trPr>
        <w:trHeight w:val="20"/>
      </w:trPr>
      <w:tc>
        <w:tcPr>
          <w:tcW w:w="236" w:type="dxa"/>
        </w:tcPr>
        <w:p w14:paraId="27533D75" w14:textId="77777777" w:rsidR="00292D09" w:rsidRDefault="00292D09" w:rsidP="00292D09">
          <w:pPr>
            <w:pStyle w:val="Header"/>
            <w:rPr>
              <w:noProof/>
              <w:lang w:eastAsia="pt-BR"/>
            </w:rPr>
          </w:pPr>
        </w:p>
      </w:tc>
      <w:tc>
        <w:tcPr>
          <w:tcW w:w="9531" w:type="dxa"/>
          <w:gridSpan w:val="3"/>
        </w:tcPr>
        <w:p w14:paraId="3F697F21" w14:textId="77777777" w:rsidR="00292D09" w:rsidRDefault="00292D09" w:rsidP="00292D09">
          <w:pPr>
            <w:pStyle w:val="Header"/>
            <w:ind w:left="-365"/>
          </w:pPr>
          <w:r>
            <w:rPr>
              <w:noProof/>
            </w:rPr>
            <w:drawing>
              <wp:anchor distT="0" distB="0" distL="114300" distR="114300" simplePos="0" relativeHeight="251673600" behindDoc="0" locked="0" layoutInCell="1" allowOverlap="1" wp14:anchorId="4361254C" wp14:editId="00E0BB44">
                <wp:simplePos x="0" y="0"/>
                <wp:positionH relativeFrom="margin">
                  <wp:align>center</wp:align>
                </wp:positionH>
                <wp:positionV relativeFrom="margin">
                  <wp:posOffset>60960</wp:posOffset>
                </wp:positionV>
                <wp:extent cx="9255600" cy="46800"/>
                <wp:effectExtent l="0" t="0" r="0" b="0"/>
                <wp:wrapSquare wrapText="bothSides"/>
                <wp:docPr id="20" name="Imagem 9"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5">
                          <a:duotone>
                            <a:prstClr val="black"/>
                            <a:schemeClr val="accent3">
                              <a:tint val="45000"/>
                              <a:satMod val="400000"/>
                            </a:schemeClr>
                          </a:duotone>
                          <a:extLst>
                            <a:ext uri="{BEBA8EAE-BF5A-486C-A8C5-ECC9F3942E4B}">
                              <a14:imgProps xmlns:a14="http://schemas.microsoft.com/office/drawing/2010/main">
                                <a14:imgLayer r:embed="rId6">
                                  <a14:imgEffect>
                                    <a14:colorTemperature colorTemp="1500"/>
                                  </a14:imgEffect>
                                  <a14:imgEffect>
                                    <a14:saturation sat="191000"/>
                                  </a14:imgEffect>
                                </a14:imgLayer>
                              </a14:imgProps>
                            </a:ext>
                          </a:extLst>
                        </a:blip>
                        <a:stretch>
                          <a:fillRect/>
                        </a:stretch>
                      </pic:blipFill>
                      <pic:spPr>
                        <a:xfrm>
                          <a:off x="0" y="0"/>
                          <a:ext cx="9255600" cy="46800"/>
                        </a:xfrm>
                        <a:prstGeom prst="rect">
                          <a:avLst/>
                        </a:prstGeom>
                      </pic:spPr>
                    </pic:pic>
                  </a:graphicData>
                </a:graphic>
                <wp14:sizeRelH relativeFrom="margin">
                  <wp14:pctWidth>0</wp14:pctWidth>
                </wp14:sizeRelH>
                <wp14:sizeRelV relativeFrom="margin">
                  <wp14:pctHeight>0</wp14:pctHeight>
                </wp14:sizeRelV>
              </wp:anchor>
            </w:drawing>
          </w:r>
        </w:p>
      </w:tc>
    </w:tr>
  </w:tbl>
  <w:p w14:paraId="074A3750" w14:textId="77777777" w:rsidR="009E768C" w:rsidRPr="00292D09" w:rsidRDefault="009E768C" w:rsidP="00292D09">
    <w:pPr>
      <w:pStyle w:val="Header"/>
      <w:rPr>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A1A491E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140AF9"/>
    <w:multiLevelType w:val="hybridMultilevel"/>
    <w:tmpl w:val="11265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1155C4"/>
    <w:multiLevelType w:val="hybridMultilevel"/>
    <w:tmpl w:val="DE5C138E"/>
    <w:lvl w:ilvl="0" w:tplc="84CAE104">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A833FE6"/>
    <w:multiLevelType w:val="hybridMultilevel"/>
    <w:tmpl w:val="539E2C66"/>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 w15:restartNumberingAfterBreak="0">
    <w:nsid w:val="38D46C88"/>
    <w:multiLevelType w:val="hybridMultilevel"/>
    <w:tmpl w:val="D7348C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3AAE5E9E"/>
    <w:multiLevelType w:val="hybridMultilevel"/>
    <w:tmpl w:val="3196B6F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42957D93"/>
    <w:multiLevelType w:val="hybridMultilevel"/>
    <w:tmpl w:val="07603A9E"/>
    <w:lvl w:ilvl="0" w:tplc="42B80B28">
      <w:start w:val="1"/>
      <w:numFmt w:val="decimal"/>
      <w:lvlText w:val="%1."/>
      <w:lvlJc w:val="left"/>
      <w:pPr>
        <w:ind w:left="720" w:hanging="360"/>
      </w:pPr>
      <w:rPr>
        <w:rFonts w:hint="default"/>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48B7616C"/>
    <w:multiLevelType w:val="hybridMultilevel"/>
    <w:tmpl w:val="6CF42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1334DC"/>
    <w:multiLevelType w:val="hybridMultilevel"/>
    <w:tmpl w:val="45D69F2A"/>
    <w:lvl w:ilvl="0" w:tplc="8AF41D6E">
      <w:start w:val="3"/>
      <w:numFmt w:val="bullet"/>
      <w:lvlText w:val="-"/>
      <w:lvlJc w:val="left"/>
      <w:pPr>
        <w:tabs>
          <w:tab w:val="num" w:pos="720"/>
        </w:tabs>
        <w:ind w:left="720" w:hanging="360"/>
      </w:pPr>
      <w:rPr>
        <w:rFonts w:ascii="Times New Roman" w:eastAsia="Times New Roman" w:hAnsi="Times New Roman" w:cs="Times New Roman"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AE26299"/>
    <w:multiLevelType w:val="hybridMultilevel"/>
    <w:tmpl w:val="1C6A77E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9B64769"/>
    <w:multiLevelType w:val="hybridMultilevel"/>
    <w:tmpl w:val="E1506516"/>
    <w:lvl w:ilvl="0" w:tplc="334656D6">
      <w:start w:val="900"/>
      <w:numFmt w:val="bullet"/>
      <w:lvlText w:val=""/>
      <w:lvlJc w:val="left"/>
      <w:pPr>
        <w:ind w:left="720" w:hanging="360"/>
      </w:pPr>
      <w:rPr>
        <w:rFonts w:ascii="Symbol" w:eastAsiaTheme="minorHAnsi" w:hAnsi="Symbol" w:cstheme="minorBid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71A472C3"/>
    <w:multiLevelType w:val="hybridMultilevel"/>
    <w:tmpl w:val="E24C08CC"/>
    <w:lvl w:ilvl="0" w:tplc="A2ECBB16">
      <w:start w:val="1"/>
      <w:numFmt w:val="bullet"/>
      <w:lvlText w:val="-"/>
      <w:lvlJc w:val="left"/>
      <w:pPr>
        <w:ind w:left="720" w:hanging="360"/>
      </w:pPr>
      <w:rPr>
        <w:rFonts w:ascii="Andalus" w:hAnsi="Andalu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7804094B"/>
    <w:multiLevelType w:val="hybridMultilevel"/>
    <w:tmpl w:val="6126592E"/>
    <w:lvl w:ilvl="0" w:tplc="A2ECBB16">
      <w:start w:val="1"/>
      <w:numFmt w:val="bullet"/>
      <w:lvlText w:val="-"/>
      <w:lvlJc w:val="left"/>
      <w:pPr>
        <w:ind w:left="720" w:hanging="360"/>
      </w:pPr>
      <w:rPr>
        <w:rFonts w:ascii="Andalus" w:hAnsi="Andalu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7EA9793F"/>
    <w:multiLevelType w:val="hybridMultilevel"/>
    <w:tmpl w:val="5CE2AF06"/>
    <w:lvl w:ilvl="0" w:tplc="84CAE104">
      <w:start w:val="1"/>
      <w:numFmt w:val="bullet"/>
      <w:lvlText w:val=""/>
      <w:lvlJc w:val="left"/>
      <w:pPr>
        <w:tabs>
          <w:tab w:val="num" w:pos="720"/>
        </w:tabs>
        <w:ind w:left="720" w:hanging="360"/>
      </w:pPr>
      <w:rPr>
        <w:rFonts w:ascii="Wingdings" w:hAnsi="Wingdings" w:hint="default"/>
        <w:b/>
        <w:color w:val="auto"/>
        <w:sz w:val="24"/>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num w:numId="1">
    <w:abstractNumId w:val="13"/>
  </w:num>
  <w:num w:numId="2">
    <w:abstractNumId w:val="12"/>
  </w:num>
  <w:num w:numId="3">
    <w:abstractNumId w:val="11"/>
  </w:num>
  <w:num w:numId="4">
    <w:abstractNumId w:val="1"/>
  </w:num>
  <w:num w:numId="5">
    <w:abstractNumId w:val="7"/>
  </w:num>
  <w:num w:numId="6">
    <w:abstractNumId w:val="3"/>
  </w:num>
  <w:num w:numId="7">
    <w:abstractNumId w:val="10"/>
  </w:num>
  <w:num w:numId="8">
    <w:abstractNumId w:val="2"/>
  </w:num>
  <w:num w:numId="9">
    <w:abstractNumId w:val="4"/>
  </w:num>
  <w:num w:numId="10">
    <w:abstractNumId w:val="9"/>
  </w:num>
  <w:num w:numId="11">
    <w:abstractNumId w:val="5"/>
  </w:num>
  <w:num w:numId="12">
    <w:abstractNumId w:val="6"/>
  </w:num>
  <w:num w:numId="13">
    <w:abstractNumId w:val="0"/>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3481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29AF"/>
    <w:rsid w:val="0000039F"/>
    <w:rsid w:val="000009E3"/>
    <w:rsid w:val="00004BA0"/>
    <w:rsid w:val="00004E86"/>
    <w:rsid w:val="00007129"/>
    <w:rsid w:val="00007217"/>
    <w:rsid w:val="00007CA8"/>
    <w:rsid w:val="00012A99"/>
    <w:rsid w:val="000156C2"/>
    <w:rsid w:val="00015748"/>
    <w:rsid w:val="00016875"/>
    <w:rsid w:val="00016988"/>
    <w:rsid w:val="0002049A"/>
    <w:rsid w:val="000213DE"/>
    <w:rsid w:val="00022EDA"/>
    <w:rsid w:val="00023F2A"/>
    <w:rsid w:val="00027336"/>
    <w:rsid w:val="00034A73"/>
    <w:rsid w:val="00034D5F"/>
    <w:rsid w:val="00035909"/>
    <w:rsid w:val="00037C12"/>
    <w:rsid w:val="000402FC"/>
    <w:rsid w:val="0004062C"/>
    <w:rsid w:val="00042EF4"/>
    <w:rsid w:val="000503FD"/>
    <w:rsid w:val="00052B51"/>
    <w:rsid w:val="000539B3"/>
    <w:rsid w:val="000547DF"/>
    <w:rsid w:val="0006066D"/>
    <w:rsid w:val="000634CC"/>
    <w:rsid w:val="000676F9"/>
    <w:rsid w:val="00067787"/>
    <w:rsid w:val="00073FD1"/>
    <w:rsid w:val="0008026F"/>
    <w:rsid w:val="00081E87"/>
    <w:rsid w:val="000908D0"/>
    <w:rsid w:val="00092100"/>
    <w:rsid w:val="00093B8E"/>
    <w:rsid w:val="000A1886"/>
    <w:rsid w:val="000A1E79"/>
    <w:rsid w:val="000A57B7"/>
    <w:rsid w:val="000A5EAF"/>
    <w:rsid w:val="000A7CCA"/>
    <w:rsid w:val="000B13B4"/>
    <w:rsid w:val="000B25EC"/>
    <w:rsid w:val="000B4EFC"/>
    <w:rsid w:val="000C0AA9"/>
    <w:rsid w:val="000C15AA"/>
    <w:rsid w:val="000C3594"/>
    <w:rsid w:val="000C3F9B"/>
    <w:rsid w:val="000C4D05"/>
    <w:rsid w:val="000D0EDC"/>
    <w:rsid w:val="000D19A5"/>
    <w:rsid w:val="000D4FFA"/>
    <w:rsid w:val="000D6AB1"/>
    <w:rsid w:val="000E6602"/>
    <w:rsid w:val="000F2598"/>
    <w:rsid w:val="000F2AB4"/>
    <w:rsid w:val="000F32FE"/>
    <w:rsid w:val="001042CE"/>
    <w:rsid w:val="00107E56"/>
    <w:rsid w:val="00112A79"/>
    <w:rsid w:val="00115C95"/>
    <w:rsid w:val="00121852"/>
    <w:rsid w:val="00123E72"/>
    <w:rsid w:val="00124ACA"/>
    <w:rsid w:val="00127154"/>
    <w:rsid w:val="00132EF0"/>
    <w:rsid w:val="00135975"/>
    <w:rsid w:val="001363C1"/>
    <w:rsid w:val="001365C1"/>
    <w:rsid w:val="00136F6A"/>
    <w:rsid w:val="00140A6E"/>
    <w:rsid w:val="0014374F"/>
    <w:rsid w:val="00143EF2"/>
    <w:rsid w:val="00144E4F"/>
    <w:rsid w:val="00147386"/>
    <w:rsid w:val="00150795"/>
    <w:rsid w:val="00153512"/>
    <w:rsid w:val="00157C5A"/>
    <w:rsid w:val="00157E84"/>
    <w:rsid w:val="00161EE3"/>
    <w:rsid w:val="00162532"/>
    <w:rsid w:val="00162D1E"/>
    <w:rsid w:val="00164E65"/>
    <w:rsid w:val="001670A3"/>
    <w:rsid w:val="00167792"/>
    <w:rsid w:val="00170144"/>
    <w:rsid w:val="0017118E"/>
    <w:rsid w:val="00171C7B"/>
    <w:rsid w:val="00172B96"/>
    <w:rsid w:val="00173313"/>
    <w:rsid w:val="00175EC2"/>
    <w:rsid w:val="0017749E"/>
    <w:rsid w:val="00185884"/>
    <w:rsid w:val="00190BF9"/>
    <w:rsid w:val="00190D78"/>
    <w:rsid w:val="00191BE4"/>
    <w:rsid w:val="001935B4"/>
    <w:rsid w:val="00193D67"/>
    <w:rsid w:val="00196230"/>
    <w:rsid w:val="001A5583"/>
    <w:rsid w:val="001A72E9"/>
    <w:rsid w:val="001C016E"/>
    <w:rsid w:val="001C06CF"/>
    <w:rsid w:val="001C2B52"/>
    <w:rsid w:val="001C2EE4"/>
    <w:rsid w:val="001D0CFF"/>
    <w:rsid w:val="001D1423"/>
    <w:rsid w:val="001D27C0"/>
    <w:rsid w:val="001D29B1"/>
    <w:rsid w:val="001D5B94"/>
    <w:rsid w:val="001E1A62"/>
    <w:rsid w:val="001E30DA"/>
    <w:rsid w:val="001E324D"/>
    <w:rsid w:val="001E3941"/>
    <w:rsid w:val="001E4455"/>
    <w:rsid w:val="001E7758"/>
    <w:rsid w:val="001E79FA"/>
    <w:rsid w:val="001F2E4B"/>
    <w:rsid w:val="001F3967"/>
    <w:rsid w:val="001F76DE"/>
    <w:rsid w:val="00202882"/>
    <w:rsid w:val="0020547D"/>
    <w:rsid w:val="00205E5F"/>
    <w:rsid w:val="00210AF6"/>
    <w:rsid w:val="00210E08"/>
    <w:rsid w:val="00211011"/>
    <w:rsid w:val="00215138"/>
    <w:rsid w:val="002151D4"/>
    <w:rsid w:val="00215A00"/>
    <w:rsid w:val="002178E2"/>
    <w:rsid w:val="00221BC3"/>
    <w:rsid w:val="00222B05"/>
    <w:rsid w:val="002231DC"/>
    <w:rsid w:val="00227451"/>
    <w:rsid w:val="0023146D"/>
    <w:rsid w:val="00232CA1"/>
    <w:rsid w:val="00237B91"/>
    <w:rsid w:val="00237CD2"/>
    <w:rsid w:val="00240AE0"/>
    <w:rsid w:val="002434AF"/>
    <w:rsid w:val="00246854"/>
    <w:rsid w:val="00247709"/>
    <w:rsid w:val="00250A9A"/>
    <w:rsid w:val="002513F1"/>
    <w:rsid w:val="002548BD"/>
    <w:rsid w:val="00256AA0"/>
    <w:rsid w:val="00256B6B"/>
    <w:rsid w:val="00263CC4"/>
    <w:rsid w:val="002641DE"/>
    <w:rsid w:val="002644E7"/>
    <w:rsid w:val="00265DB8"/>
    <w:rsid w:val="00266EAF"/>
    <w:rsid w:val="00267C7A"/>
    <w:rsid w:val="002728EC"/>
    <w:rsid w:val="00281C06"/>
    <w:rsid w:val="00281F02"/>
    <w:rsid w:val="00281FB5"/>
    <w:rsid w:val="00282E53"/>
    <w:rsid w:val="002835AF"/>
    <w:rsid w:val="002846B1"/>
    <w:rsid w:val="00285B47"/>
    <w:rsid w:val="00290F60"/>
    <w:rsid w:val="00292D09"/>
    <w:rsid w:val="00292E87"/>
    <w:rsid w:val="0029331E"/>
    <w:rsid w:val="00294606"/>
    <w:rsid w:val="00295AA2"/>
    <w:rsid w:val="002A0F13"/>
    <w:rsid w:val="002A27CD"/>
    <w:rsid w:val="002B6C32"/>
    <w:rsid w:val="002B74C2"/>
    <w:rsid w:val="002B7777"/>
    <w:rsid w:val="002C038C"/>
    <w:rsid w:val="002C394B"/>
    <w:rsid w:val="002C4A87"/>
    <w:rsid w:val="002C6939"/>
    <w:rsid w:val="002C69CC"/>
    <w:rsid w:val="002D1BA5"/>
    <w:rsid w:val="002D693D"/>
    <w:rsid w:val="002D7F6B"/>
    <w:rsid w:val="002E050E"/>
    <w:rsid w:val="002E159D"/>
    <w:rsid w:val="002E2097"/>
    <w:rsid w:val="002E2347"/>
    <w:rsid w:val="002E5935"/>
    <w:rsid w:val="002F1619"/>
    <w:rsid w:val="002F1F54"/>
    <w:rsid w:val="002F3C48"/>
    <w:rsid w:val="002F5D1E"/>
    <w:rsid w:val="003015A0"/>
    <w:rsid w:val="003016F7"/>
    <w:rsid w:val="00301E58"/>
    <w:rsid w:val="003038C0"/>
    <w:rsid w:val="003058D0"/>
    <w:rsid w:val="003076A9"/>
    <w:rsid w:val="00312603"/>
    <w:rsid w:val="00313B7E"/>
    <w:rsid w:val="00316662"/>
    <w:rsid w:val="003218B1"/>
    <w:rsid w:val="00322702"/>
    <w:rsid w:val="00324ACC"/>
    <w:rsid w:val="00327108"/>
    <w:rsid w:val="003331E8"/>
    <w:rsid w:val="003341D7"/>
    <w:rsid w:val="00334BCF"/>
    <w:rsid w:val="0033721B"/>
    <w:rsid w:val="00337B4C"/>
    <w:rsid w:val="00344A1D"/>
    <w:rsid w:val="00344EC1"/>
    <w:rsid w:val="003453B0"/>
    <w:rsid w:val="003460A8"/>
    <w:rsid w:val="00346E84"/>
    <w:rsid w:val="00347C17"/>
    <w:rsid w:val="00350FF4"/>
    <w:rsid w:val="003516A9"/>
    <w:rsid w:val="0035300C"/>
    <w:rsid w:val="00353637"/>
    <w:rsid w:val="003552B4"/>
    <w:rsid w:val="00356866"/>
    <w:rsid w:val="00356B92"/>
    <w:rsid w:val="00362D92"/>
    <w:rsid w:val="00366312"/>
    <w:rsid w:val="0036674A"/>
    <w:rsid w:val="00371FE7"/>
    <w:rsid w:val="0037477D"/>
    <w:rsid w:val="003756AF"/>
    <w:rsid w:val="003763DE"/>
    <w:rsid w:val="00376969"/>
    <w:rsid w:val="00376DA1"/>
    <w:rsid w:val="00381654"/>
    <w:rsid w:val="00381DD7"/>
    <w:rsid w:val="00383D4E"/>
    <w:rsid w:val="0038517E"/>
    <w:rsid w:val="0039252A"/>
    <w:rsid w:val="0039387F"/>
    <w:rsid w:val="00395EC5"/>
    <w:rsid w:val="0039775F"/>
    <w:rsid w:val="003A3650"/>
    <w:rsid w:val="003A556C"/>
    <w:rsid w:val="003A6C04"/>
    <w:rsid w:val="003B03BA"/>
    <w:rsid w:val="003B31BE"/>
    <w:rsid w:val="003C2444"/>
    <w:rsid w:val="003C3E5C"/>
    <w:rsid w:val="003C4213"/>
    <w:rsid w:val="003C4AFC"/>
    <w:rsid w:val="003C4CC1"/>
    <w:rsid w:val="003C588C"/>
    <w:rsid w:val="003C59A3"/>
    <w:rsid w:val="003C7D19"/>
    <w:rsid w:val="003C7DBA"/>
    <w:rsid w:val="003D4190"/>
    <w:rsid w:val="003D4458"/>
    <w:rsid w:val="003D79B0"/>
    <w:rsid w:val="003D7CFB"/>
    <w:rsid w:val="003E0D5C"/>
    <w:rsid w:val="003E0E29"/>
    <w:rsid w:val="003E1474"/>
    <w:rsid w:val="003E54C6"/>
    <w:rsid w:val="003E5F8C"/>
    <w:rsid w:val="003E6BFF"/>
    <w:rsid w:val="003E74DA"/>
    <w:rsid w:val="003F0C46"/>
    <w:rsid w:val="003F14DB"/>
    <w:rsid w:val="003F2E0B"/>
    <w:rsid w:val="003F30D7"/>
    <w:rsid w:val="003F4B4D"/>
    <w:rsid w:val="003F4D09"/>
    <w:rsid w:val="003F5E18"/>
    <w:rsid w:val="003F7FAC"/>
    <w:rsid w:val="00401337"/>
    <w:rsid w:val="004013FC"/>
    <w:rsid w:val="004070D9"/>
    <w:rsid w:val="004102A6"/>
    <w:rsid w:val="004130CF"/>
    <w:rsid w:val="0041473F"/>
    <w:rsid w:val="00414988"/>
    <w:rsid w:val="00416C51"/>
    <w:rsid w:val="004177DD"/>
    <w:rsid w:val="0042208E"/>
    <w:rsid w:val="00422FC6"/>
    <w:rsid w:val="00430D4C"/>
    <w:rsid w:val="004319A6"/>
    <w:rsid w:val="004343F8"/>
    <w:rsid w:val="00434DCD"/>
    <w:rsid w:val="004374F8"/>
    <w:rsid w:val="00440826"/>
    <w:rsid w:val="00441379"/>
    <w:rsid w:val="00443B06"/>
    <w:rsid w:val="00446677"/>
    <w:rsid w:val="00446C1A"/>
    <w:rsid w:val="004471CC"/>
    <w:rsid w:val="004479DB"/>
    <w:rsid w:val="0045107D"/>
    <w:rsid w:val="00452B5D"/>
    <w:rsid w:val="00454035"/>
    <w:rsid w:val="00456B08"/>
    <w:rsid w:val="00456D31"/>
    <w:rsid w:val="0046215D"/>
    <w:rsid w:val="00463ECF"/>
    <w:rsid w:val="00465B98"/>
    <w:rsid w:val="00467958"/>
    <w:rsid w:val="0047016A"/>
    <w:rsid w:val="00471920"/>
    <w:rsid w:val="004728DB"/>
    <w:rsid w:val="00472B9F"/>
    <w:rsid w:val="00473C1C"/>
    <w:rsid w:val="00475CE7"/>
    <w:rsid w:val="004769C6"/>
    <w:rsid w:val="0048096A"/>
    <w:rsid w:val="00482B1F"/>
    <w:rsid w:val="004838FD"/>
    <w:rsid w:val="00484667"/>
    <w:rsid w:val="004907F2"/>
    <w:rsid w:val="00490DE2"/>
    <w:rsid w:val="00491518"/>
    <w:rsid w:val="00492A7E"/>
    <w:rsid w:val="00493233"/>
    <w:rsid w:val="004A298E"/>
    <w:rsid w:val="004A2EAB"/>
    <w:rsid w:val="004A31BC"/>
    <w:rsid w:val="004A5205"/>
    <w:rsid w:val="004A52B3"/>
    <w:rsid w:val="004B2A6B"/>
    <w:rsid w:val="004B658F"/>
    <w:rsid w:val="004B6816"/>
    <w:rsid w:val="004B73BB"/>
    <w:rsid w:val="004B7ED8"/>
    <w:rsid w:val="004C3181"/>
    <w:rsid w:val="004C3211"/>
    <w:rsid w:val="004C4552"/>
    <w:rsid w:val="004D28BB"/>
    <w:rsid w:val="004D331B"/>
    <w:rsid w:val="004D3D13"/>
    <w:rsid w:val="004D7C7E"/>
    <w:rsid w:val="004E04A0"/>
    <w:rsid w:val="004E2D2D"/>
    <w:rsid w:val="004E456F"/>
    <w:rsid w:val="004E698B"/>
    <w:rsid w:val="004F0108"/>
    <w:rsid w:val="004F148F"/>
    <w:rsid w:val="004F2C64"/>
    <w:rsid w:val="004F5DEC"/>
    <w:rsid w:val="00501C00"/>
    <w:rsid w:val="005040D6"/>
    <w:rsid w:val="00504DC6"/>
    <w:rsid w:val="00506B86"/>
    <w:rsid w:val="00511994"/>
    <w:rsid w:val="005148B7"/>
    <w:rsid w:val="005151B6"/>
    <w:rsid w:val="00522A4F"/>
    <w:rsid w:val="0052413B"/>
    <w:rsid w:val="00526C64"/>
    <w:rsid w:val="00530B9B"/>
    <w:rsid w:val="00532077"/>
    <w:rsid w:val="0053530D"/>
    <w:rsid w:val="005367D4"/>
    <w:rsid w:val="00536E58"/>
    <w:rsid w:val="00537B62"/>
    <w:rsid w:val="00541B7E"/>
    <w:rsid w:val="00547D0E"/>
    <w:rsid w:val="00547EDA"/>
    <w:rsid w:val="00551AD7"/>
    <w:rsid w:val="00556524"/>
    <w:rsid w:val="005604C0"/>
    <w:rsid w:val="0056238F"/>
    <w:rsid w:val="00563318"/>
    <w:rsid w:val="00567662"/>
    <w:rsid w:val="00567689"/>
    <w:rsid w:val="005713A9"/>
    <w:rsid w:val="00571814"/>
    <w:rsid w:val="0057539F"/>
    <w:rsid w:val="0057754E"/>
    <w:rsid w:val="00577C65"/>
    <w:rsid w:val="00581757"/>
    <w:rsid w:val="00583C49"/>
    <w:rsid w:val="00586BB2"/>
    <w:rsid w:val="00590C28"/>
    <w:rsid w:val="00592505"/>
    <w:rsid w:val="00596B34"/>
    <w:rsid w:val="005A338C"/>
    <w:rsid w:val="005A4999"/>
    <w:rsid w:val="005A52B7"/>
    <w:rsid w:val="005A7205"/>
    <w:rsid w:val="005B064C"/>
    <w:rsid w:val="005B1175"/>
    <w:rsid w:val="005B2452"/>
    <w:rsid w:val="005B251D"/>
    <w:rsid w:val="005B346C"/>
    <w:rsid w:val="005B5034"/>
    <w:rsid w:val="005B6042"/>
    <w:rsid w:val="005B6C9A"/>
    <w:rsid w:val="005C1823"/>
    <w:rsid w:val="005C1B13"/>
    <w:rsid w:val="005C334D"/>
    <w:rsid w:val="005C619A"/>
    <w:rsid w:val="005C6D0D"/>
    <w:rsid w:val="005C7FC2"/>
    <w:rsid w:val="005D23EA"/>
    <w:rsid w:val="005D6259"/>
    <w:rsid w:val="005D75A7"/>
    <w:rsid w:val="005E3CBE"/>
    <w:rsid w:val="005E3E85"/>
    <w:rsid w:val="005E62E8"/>
    <w:rsid w:val="005E6E58"/>
    <w:rsid w:val="005E7D1C"/>
    <w:rsid w:val="005F2947"/>
    <w:rsid w:val="005F3C6C"/>
    <w:rsid w:val="005F465B"/>
    <w:rsid w:val="005F471D"/>
    <w:rsid w:val="005F7634"/>
    <w:rsid w:val="00603FBB"/>
    <w:rsid w:val="00605C1F"/>
    <w:rsid w:val="006070F0"/>
    <w:rsid w:val="006072D6"/>
    <w:rsid w:val="0061082C"/>
    <w:rsid w:val="00610B11"/>
    <w:rsid w:val="00611A82"/>
    <w:rsid w:val="00612C39"/>
    <w:rsid w:val="00614341"/>
    <w:rsid w:val="00615AE1"/>
    <w:rsid w:val="0062109D"/>
    <w:rsid w:val="0062197B"/>
    <w:rsid w:val="00621C8B"/>
    <w:rsid w:val="00624C9C"/>
    <w:rsid w:val="0063007C"/>
    <w:rsid w:val="006325C2"/>
    <w:rsid w:val="00632B7F"/>
    <w:rsid w:val="00635125"/>
    <w:rsid w:val="00636F23"/>
    <w:rsid w:val="006378F0"/>
    <w:rsid w:val="0064258B"/>
    <w:rsid w:val="00642A4D"/>
    <w:rsid w:val="00645CFB"/>
    <w:rsid w:val="00646A5A"/>
    <w:rsid w:val="006474A0"/>
    <w:rsid w:val="006500AF"/>
    <w:rsid w:val="00650BF8"/>
    <w:rsid w:val="00651510"/>
    <w:rsid w:val="0065240A"/>
    <w:rsid w:val="00653695"/>
    <w:rsid w:val="0065476B"/>
    <w:rsid w:val="00657B1C"/>
    <w:rsid w:val="00657FE3"/>
    <w:rsid w:val="00664D1C"/>
    <w:rsid w:val="00666255"/>
    <w:rsid w:val="00667D6E"/>
    <w:rsid w:val="00671EF0"/>
    <w:rsid w:val="00673E9E"/>
    <w:rsid w:val="00675009"/>
    <w:rsid w:val="006779D0"/>
    <w:rsid w:val="00680260"/>
    <w:rsid w:val="00681423"/>
    <w:rsid w:val="00684BF1"/>
    <w:rsid w:val="00686C9D"/>
    <w:rsid w:val="006919C6"/>
    <w:rsid w:val="00693562"/>
    <w:rsid w:val="006952E3"/>
    <w:rsid w:val="00696AC3"/>
    <w:rsid w:val="006A27AE"/>
    <w:rsid w:val="006B12BC"/>
    <w:rsid w:val="006B2CC7"/>
    <w:rsid w:val="006B34C8"/>
    <w:rsid w:val="006B38CD"/>
    <w:rsid w:val="006B3E5E"/>
    <w:rsid w:val="006B3E80"/>
    <w:rsid w:val="006B52F4"/>
    <w:rsid w:val="006B59CA"/>
    <w:rsid w:val="006B7254"/>
    <w:rsid w:val="006B7DE0"/>
    <w:rsid w:val="006C0D0C"/>
    <w:rsid w:val="006C250A"/>
    <w:rsid w:val="006C2F67"/>
    <w:rsid w:val="006C3DC9"/>
    <w:rsid w:val="006C411E"/>
    <w:rsid w:val="006C7CDD"/>
    <w:rsid w:val="006D1209"/>
    <w:rsid w:val="006D16D0"/>
    <w:rsid w:val="006D45D3"/>
    <w:rsid w:val="006D58A4"/>
    <w:rsid w:val="006D5F54"/>
    <w:rsid w:val="006D5FCE"/>
    <w:rsid w:val="006D7313"/>
    <w:rsid w:val="006E4665"/>
    <w:rsid w:val="006F0314"/>
    <w:rsid w:val="006F1D58"/>
    <w:rsid w:val="006F528D"/>
    <w:rsid w:val="006F7F6E"/>
    <w:rsid w:val="007019DE"/>
    <w:rsid w:val="007023CB"/>
    <w:rsid w:val="00702D64"/>
    <w:rsid w:val="0070353C"/>
    <w:rsid w:val="007058C3"/>
    <w:rsid w:val="00711F44"/>
    <w:rsid w:val="007120C2"/>
    <w:rsid w:val="00714324"/>
    <w:rsid w:val="00714EAB"/>
    <w:rsid w:val="00715DA7"/>
    <w:rsid w:val="0071600B"/>
    <w:rsid w:val="0071762A"/>
    <w:rsid w:val="007200F8"/>
    <w:rsid w:val="007235E1"/>
    <w:rsid w:val="00723D51"/>
    <w:rsid w:val="00724450"/>
    <w:rsid w:val="00724BBF"/>
    <w:rsid w:val="007259F9"/>
    <w:rsid w:val="00730294"/>
    <w:rsid w:val="00731997"/>
    <w:rsid w:val="00731F42"/>
    <w:rsid w:val="00733819"/>
    <w:rsid w:val="007350D8"/>
    <w:rsid w:val="0073720D"/>
    <w:rsid w:val="0073726D"/>
    <w:rsid w:val="00737C9B"/>
    <w:rsid w:val="00741FCB"/>
    <w:rsid w:val="0074213B"/>
    <w:rsid w:val="00744875"/>
    <w:rsid w:val="00751249"/>
    <w:rsid w:val="007522E3"/>
    <w:rsid w:val="007552A8"/>
    <w:rsid w:val="0076239A"/>
    <w:rsid w:val="00770602"/>
    <w:rsid w:val="007709C7"/>
    <w:rsid w:val="00771280"/>
    <w:rsid w:val="00772086"/>
    <w:rsid w:val="0077223D"/>
    <w:rsid w:val="007757BD"/>
    <w:rsid w:val="00783838"/>
    <w:rsid w:val="00784781"/>
    <w:rsid w:val="00784DA0"/>
    <w:rsid w:val="007853CC"/>
    <w:rsid w:val="007900C3"/>
    <w:rsid w:val="00793728"/>
    <w:rsid w:val="00796275"/>
    <w:rsid w:val="007A0C55"/>
    <w:rsid w:val="007A2897"/>
    <w:rsid w:val="007A71BD"/>
    <w:rsid w:val="007B48AB"/>
    <w:rsid w:val="007B5FDB"/>
    <w:rsid w:val="007B745B"/>
    <w:rsid w:val="007C0196"/>
    <w:rsid w:val="007C1A13"/>
    <w:rsid w:val="007C2243"/>
    <w:rsid w:val="007C5A2B"/>
    <w:rsid w:val="007C7430"/>
    <w:rsid w:val="007D0BC4"/>
    <w:rsid w:val="007D341E"/>
    <w:rsid w:val="007D4E1F"/>
    <w:rsid w:val="007D602D"/>
    <w:rsid w:val="007D7CA5"/>
    <w:rsid w:val="007E2C7F"/>
    <w:rsid w:val="007E38B8"/>
    <w:rsid w:val="007E613F"/>
    <w:rsid w:val="007F1071"/>
    <w:rsid w:val="007F1E63"/>
    <w:rsid w:val="007F3EF8"/>
    <w:rsid w:val="007F796D"/>
    <w:rsid w:val="00802B59"/>
    <w:rsid w:val="00805AA7"/>
    <w:rsid w:val="0081166E"/>
    <w:rsid w:val="0081292E"/>
    <w:rsid w:val="00816492"/>
    <w:rsid w:val="00822038"/>
    <w:rsid w:val="00823173"/>
    <w:rsid w:val="008235A0"/>
    <w:rsid w:val="00823CC9"/>
    <w:rsid w:val="008249B2"/>
    <w:rsid w:val="00826B33"/>
    <w:rsid w:val="00832CE1"/>
    <w:rsid w:val="00841A43"/>
    <w:rsid w:val="00841A52"/>
    <w:rsid w:val="00842715"/>
    <w:rsid w:val="00846406"/>
    <w:rsid w:val="0085088B"/>
    <w:rsid w:val="00850BE3"/>
    <w:rsid w:val="008516A3"/>
    <w:rsid w:val="00851C0B"/>
    <w:rsid w:val="00852A30"/>
    <w:rsid w:val="008534A1"/>
    <w:rsid w:val="00853C0F"/>
    <w:rsid w:val="008550A6"/>
    <w:rsid w:val="00856B90"/>
    <w:rsid w:val="008650AD"/>
    <w:rsid w:val="0086531E"/>
    <w:rsid w:val="008706BB"/>
    <w:rsid w:val="008758D4"/>
    <w:rsid w:val="00876BDE"/>
    <w:rsid w:val="008820F6"/>
    <w:rsid w:val="008840C6"/>
    <w:rsid w:val="0088468D"/>
    <w:rsid w:val="00884C51"/>
    <w:rsid w:val="00892C4C"/>
    <w:rsid w:val="008A0331"/>
    <w:rsid w:val="008A4EAC"/>
    <w:rsid w:val="008A531D"/>
    <w:rsid w:val="008B44BD"/>
    <w:rsid w:val="008B5E30"/>
    <w:rsid w:val="008B663B"/>
    <w:rsid w:val="008B7887"/>
    <w:rsid w:val="008B7AC8"/>
    <w:rsid w:val="008C0574"/>
    <w:rsid w:val="008C0D80"/>
    <w:rsid w:val="008C2010"/>
    <w:rsid w:val="008C2A92"/>
    <w:rsid w:val="008C3C4C"/>
    <w:rsid w:val="008C6A32"/>
    <w:rsid w:val="008D1DC8"/>
    <w:rsid w:val="008D4AA3"/>
    <w:rsid w:val="008D6818"/>
    <w:rsid w:val="008E3D45"/>
    <w:rsid w:val="008E6E79"/>
    <w:rsid w:val="008E75BA"/>
    <w:rsid w:val="008F28BA"/>
    <w:rsid w:val="00901CF7"/>
    <w:rsid w:val="0090345E"/>
    <w:rsid w:val="009058FC"/>
    <w:rsid w:val="00910DDF"/>
    <w:rsid w:val="009132B9"/>
    <w:rsid w:val="009174A1"/>
    <w:rsid w:val="00921F46"/>
    <w:rsid w:val="00923DA9"/>
    <w:rsid w:val="009274CA"/>
    <w:rsid w:val="00930988"/>
    <w:rsid w:val="009369DF"/>
    <w:rsid w:val="009416F6"/>
    <w:rsid w:val="00942982"/>
    <w:rsid w:val="00942FA9"/>
    <w:rsid w:val="009439F3"/>
    <w:rsid w:val="009510BE"/>
    <w:rsid w:val="0096069F"/>
    <w:rsid w:val="009613C9"/>
    <w:rsid w:val="00972DFB"/>
    <w:rsid w:val="00973483"/>
    <w:rsid w:val="00974702"/>
    <w:rsid w:val="0097588A"/>
    <w:rsid w:val="00977B40"/>
    <w:rsid w:val="00983301"/>
    <w:rsid w:val="00983437"/>
    <w:rsid w:val="009837BD"/>
    <w:rsid w:val="00984B5A"/>
    <w:rsid w:val="0098584B"/>
    <w:rsid w:val="00985F7E"/>
    <w:rsid w:val="00986D57"/>
    <w:rsid w:val="00987773"/>
    <w:rsid w:val="009A03F7"/>
    <w:rsid w:val="009A1B95"/>
    <w:rsid w:val="009A47A3"/>
    <w:rsid w:val="009A7C2C"/>
    <w:rsid w:val="009B34B3"/>
    <w:rsid w:val="009B44C1"/>
    <w:rsid w:val="009B4FC5"/>
    <w:rsid w:val="009B5F9D"/>
    <w:rsid w:val="009B7F1B"/>
    <w:rsid w:val="009C1F92"/>
    <w:rsid w:val="009C5E96"/>
    <w:rsid w:val="009C6659"/>
    <w:rsid w:val="009D060A"/>
    <w:rsid w:val="009D538C"/>
    <w:rsid w:val="009D66CB"/>
    <w:rsid w:val="009D6EF8"/>
    <w:rsid w:val="009E0D4E"/>
    <w:rsid w:val="009E2C94"/>
    <w:rsid w:val="009E3A76"/>
    <w:rsid w:val="009E5491"/>
    <w:rsid w:val="009E768C"/>
    <w:rsid w:val="009F1900"/>
    <w:rsid w:val="009F1ADB"/>
    <w:rsid w:val="009F29A6"/>
    <w:rsid w:val="009F2F73"/>
    <w:rsid w:val="00A006E8"/>
    <w:rsid w:val="00A022F9"/>
    <w:rsid w:val="00A02653"/>
    <w:rsid w:val="00A02C9A"/>
    <w:rsid w:val="00A03225"/>
    <w:rsid w:val="00A035A0"/>
    <w:rsid w:val="00A04CAB"/>
    <w:rsid w:val="00A06D80"/>
    <w:rsid w:val="00A06E24"/>
    <w:rsid w:val="00A0726F"/>
    <w:rsid w:val="00A107B7"/>
    <w:rsid w:val="00A16A83"/>
    <w:rsid w:val="00A21D89"/>
    <w:rsid w:val="00A26538"/>
    <w:rsid w:val="00A27EF9"/>
    <w:rsid w:val="00A3277D"/>
    <w:rsid w:val="00A35156"/>
    <w:rsid w:val="00A370AF"/>
    <w:rsid w:val="00A37191"/>
    <w:rsid w:val="00A445A9"/>
    <w:rsid w:val="00A4552C"/>
    <w:rsid w:val="00A50C4B"/>
    <w:rsid w:val="00A51701"/>
    <w:rsid w:val="00A5180B"/>
    <w:rsid w:val="00A51BF4"/>
    <w:rsid w:val="00A53211"/>
    <w:rsid w:val="00A54097"/>
    <w:rsid w:val="00A56A16"/>
    <w:rsid w:val="00A57186"/>
    <w:rsid w:val="00A61E2F"/>
    <w:rsid w:val="00A63AD8"/>
    <w:rsid w:val="00A66055"/>
    <w:rsid w:val="00A810D1"/>
    <w:rsid w:val="00A82824"/>
    <w:rsid w:val="00A83456"/>
    <w:rsid w:val="00A83790"/>
    <w:rsid w:val="00A83A43"/>
    <w:rsid w:val="00A84282"/>
    <w:rsid w:val="00A86CB3"/>
    <w:rsid w:val="00A86F04"/>
    <w:rsid w:val="00A9076B"/>
    <w:rsid w:val="00A934B8"/>
    <w:rsid w:val="00A93542"/>
    <w:rsid w:val="00A95889"/>
    <w:rsid w:val="00A96C0E"/>
    <w:rsid w:val="00AA04A4"/>
    <w:rsid w:val="00AA2B11"/>
    <w:rsid w:val="00AA4962"/>
    <w:rsid w:val="00AA4C70"/>
    <w:rsid w:val="00AA6BF1"/>
    <w:rsid w:val="00AA79A6"/>
    <w:rsid w:val="00AB38A6"/>
    <w:rsid w:val="00AB50B5"/>
    <w:rsid w:val="00AB5CCB"/>
    <w:rsid w:val="00AB76CF"/>
    <w:rsid w:val="00AC3589"/>
    <w:rsid w:val="00AC3A2E"/>
    <w:rsid w:val="00AC5BE2"/>
    <w:rsid w:val="00AC5F7B"/>
    <w:rsid w:val="00AD1E1A"/>
    <w:rsid w:val="00AD3E56"/>
    <w:rsid w:val="00AD44DF"/>
    <w:rsid w:val="00AD47AC"/>
    <w:rsid w:val="00AD54A3"/>
    <w:rsid w:val="00AD6264"/>
    <w:rsid w:val="00AD6EEC"/>
    <w:rsid w:val="00AD776E"/>
    <w:rsid w:val="00AD7C27"/>
    <w:rsid w:val="00AE3BFE"/>
    <w:rsid w:val="00AE5402"/>
    <w:rsid w:val="00AE6842"/>
    <w:rsid w:val="00AE6B8A"/>
    <w:rsid w:val="00AE7AEE"/>
    <w:rsid w:val="00AF05D1"/>
    <w:rsid w:val="00AF3781"/>
    <w:rsid w:val="00AF4B6F"/>
    <w:rsid w:val="00AF520B"/>
    <w:rsid w:val="00B013C9"/>
    <w:rsid w:val="00B05813"/>
    <w:rsid w:val="00B061BE"/>
    <w:rsid w:val="00B072AA"/>
    <w:rsid w:val="00B07771"/>
    <w:rsid w:val="00B1010B"/>
    <w:rsid w:val="00B11214"/>
    <w:rsid w:val="00B1289F"/>
    <w:rsid w:val="00B148E1"/>
    <w:rsid w:val="00B16D22"/>
    <w:rsid w:val="00B242E9"/>
    <w:rsid w:val="00B30393"/>
    <w:rsid w:val="00B33AEC"/>
    <w:rsid w:val="00B35A7B"/>
    <w:rsid w:val="00B360F5"/>
    <w:rsid w:val="00B3622C"/>
    <w:rsid w:val="00B37A1E"/>
    <w:rsid w:val="00B37BE6"/>
    <w:rsid w:val="00B37F6E"/>
    <w:rsid w:val="00B40F36"/>
    <w:rsid w:val="00B41A69"/>
    <w:rsid w:val="00B464C9"/>
    <w:rsid w:val="00B50BF7"/>
    <w:rsid w:val="00B51626"/>
    <w:rsid w:val="00B51897"/>
    <w:rsid w:val="00B529AF"/>
    <w:rsid w:val="00B541F5"/>
    <w:rsid w:val="00B5620E"/>
    <w:rsid w:val="00B57700"/>
    <w:rsid w:val="00B57E23"/>
    <w:rsid w:val="00B57F41"/>
    <w:rsid w:val="00B64D3F"/>
    <w:rsid w:val="00B71FD0"/>
    <w:rsid w:val="00B74452"/>
    <w:rsid w:val="00B77BDA"/>
    <w:rsid w:val="00B83290"/>
    <w:rsid w:val="00B83A40"/>
    <w:rsid w:val="00B846A3"/>
    <w:rsid w:val="00B84CDA"/>
    <w:rsid w:val="00B851DE"/>
    <w:rsid w:val="00B85E26"/>
    <w:rsid w:val="00B861AE"/>
    <w:rsid w:val="00B86A90"/>
    <w:rsid w:val="00B8720B"/>
    <w:rsid w:val="00B87529"/>
    <w:rsid w:val="00B92880"/>
    <w:rsid w:val="00B96B03"/>
    <w:rsid w:val="00B9776D"/>
    <w:rsid w:val="00BA0CE9"/>
    <w:rsid w:val="00BA112F"/>
    <w:rsid w:val="00BA1A95"/>
    <w:rsid w:val="00BB0B9D"/>
    <w:rsid w:val="00BB3F46"/>
    <w:rsid w:val="00BB4971"/>
    <w:rsid w:val="00BB54FF"/>
    <w:rsid w:val="00BC021C"/>
    <w:rsid w:val="00BC1A7E"/>
    <w:rsid w:val="00BC348A"/>
    <w:rsid w:val="00BC44DB"/>
    <w:rsid w:val="00BC4F0F"/>
    <w:rsid w:val="00BC61EB"/>
    <w:rsid w:val="00BC7905"/>
    <w:rsid w:val="00BD376E"/>
    <w:rsid w:val="00BD51DC"/>
    <w:rsid w:val="00BD5F24"/>
    <w:rsid w:val="00BE2830"/>
    <w:rsid w:val="00BE2996"/>
    <w:rsid w:val="00BE64A9"/>
    <w:rsid w:val="00BE7194"/>
    <w:rsid w:val="00BF701E"/>
    <w:rsid w:val="00C00CDE"/>
    <w:rsid w:val="00C01B42"/>
    <w:rsid w:val="00C04491"/>
    <w:rsid w:val="00C05758"/>
    <w:rsid w:val="00C0642E"/>
    <w:rsid w:val="00C07AD5"/>
    <w:rsid w:val="00C07B27"/>
    <w:rsid w:val="00C1187E"/>
    <w:rsid w:val="00C12535"/>
    <w:rsid w:val="00C1439A"/>
    <w:rsid w:val="00C16062"/>
    <w:rsid w:val="00C20A8B"/>
    <w:rsid w:val="00C2354D"/>
    <w:rsid w:val="00C23624"/>
    <w:rsid w:val="00C26A3B"/>
    <w:rsid w:val="00C32BA3"/>
    <w:rsid w:val="00C34162"/>
    <w:rsid w:val="00C34768"/>
    <w:rsid w:val="00C364B0"/>
    <w:rsid w:val="00C37579"/>
    <w:rsid w:val="00C41DE5"/>
    <w:rsid w:val="00C4603C"/>
    <w:rsid w:val="00C46213"/>
    <w:rsid w:val="00C47CEB"/>
    <w:rsid w:val="00C52061"/>
    <w:rsid w:val="00C52096"/>
    <w:rsid w:val="00C5764A"/>
    <w:rsid w:val="00C6058B"/>
    <w:rsid w:val="00C618A0"/>
    <w:rsid w:val="00C619FD"/>
    <w:rsid w:val="00C62A66"/>
    <w:rsid w:val="00C70C42"/>
    <w:rsid w:val="00C70D29"/>
    <w:rsid w:val="00C76534"/>
    <w:rsid w:val="00C77877"/>
    <w:rsid w:val="00C8061E"/>
    <w:rsid w:val="00C80792"/>
    <w:rsid w:val="00C8155F"/>
    <w:rsid w:val="00C860CD"/>
    <w:rsid w:val="00C87F43"/>
    <w:rsid w:val="00C87F63"/>
    <w:rsid w:val="00C919B5"/>
    <w:rsid w:val="00C945DB"/>
    <w:rsid w:val="00C9697C"/>
    <w:rsid w:val="00CA036A"/>
    <w:rsid w:val="00CA1614"/>
    <w:rsid w:val="00CA25CE"/>
    <w:rsid w:val="00CA5D2D"/>
    <w:rsid w:val="00CB0C72"/>
    <w:rsid w:val="00CB1825"/>
    <w:rsid w:val="00CB2D7A"/>
    <w:rsid w:val="00CB3DB2"/>
    <w:rsid w:val="00CB54A6"/>
    <w:rsid w:val="00CB794A"/>
    <w:rsid w:val="00CC1D68"/>
    <w:rsid w:val="00CC3074"/>
    <w:rsid w:val="00CC61C2"/>
    <w:rsid w:val="00CD0FDB"/>
    <w:rsid w:val="00CD1282"/>
    <w:rsid w:val="00CD46DD"/>
    <w:rsid w:val="00CD625F"/>
    <w:rsid w:val="00CE2E90"/>
    <w:rsid w:val="00CE3134"/>
    <w:rsid w:val="00CE39C2"/>
    <w:rsid w:val="00CE46DA"/>
    <w:rsid w:val="00CE6C43"/>
    <w:rsid w:val="00CF2435"/>
    <w:rsid w:val="00CF3AE0"/>
    <w:rsid w:val="00CF4378"/>
    <w:rsid w:val="00CF5342"/>
    <w:rsid w:val="00CF6E02"/>
    <w:rsid w:val="00D00ED1"/>
    <w:rsid w:val="00D01B37"/>
    <w:rsid w:val="00D0369F"/>
    <w:rsid w:val="00D102C0"/>
    <w:rsid w:val="00D21764"/>
    <w:rsid w:val="00D2253B"/>
    <w:rsid w:val="00D239B2"/>
    <w:rsid w:val="00D24EAC"/>
    <w:rsid w:val="00D251CF"/>
    <w:rsid w:val="00D26F1F"/>
    <w:rsid w:val="00D279DD"/>
    <w:rsid w:val="00D316A2"/>
    <w:rsid w:val="00D32C64"/>
    <w:rsid w:val="00D33449"/>
    <w:rsid w:val="00D34F52"/>
    <w:rsid w:val="00D35B1A"/>
    <w:rsid w:val="00D37629"/>
    <w:rsid w:val="00D404F4"/>
    <w:rsid w:val="00D408B4"/>
    <w:rsid w:val="00D41229"/>
    <w:rsid w:val="00D43C17"/>
    <w:rsid w:val="00D43D8A"/>
    <w:rsid w:val="00D46253"/>
    <w:rsid w:val="00D47C05"/>
    <w:rsid w:val="00D54EF3"/>
    <w:rsid w:val="00D558E9"/>
    <w:rsid w:val="00D60D6B"/>
    <w:rsid w:val="00D616CD"/>
    <w:rsid w:val="00D61B11"/>
    <w:rsid w:val="00D67DA1"/>
    <w:rsid w:val="00D717CE"/>
    <w:rsid w:val="00D772E7"/>
    <w:rsid w:val="00D8153C"/>
    <w:rsid w:val="00D84F24"/>
    <w:rsid w:val="00D865FC"/>
    <w:rsid w:val="00D87417"/>
    <w:rsid w:val="00D9105B"/>
    <w:rsid w:val="00D91D7B"/>
    <w:rsid w:val="00D94046"/>
    <w:rsid w:val="00DA1CA5"/>
    <w:rsid w:val="00DA3324"/>
    <w:rsid w:val="00DA42AE"/>
    <w:rsid w:val="00DA46C8"/>
    <w:rsid w:val="00DA584C"/>
    <w:rsid w:val="00DA6C56"/>
    <w:rsid w:val="00DB053B"/>
    <w:rsid w:val="00DB2C20"/>
    <w:rsid w:val="00DB314B"/>
    <w:rsid w:val="00DB7301"/>
    <w:rsid w:val="00DC0660"/>
    <w:rsid w:val="00DC3380"/>
    <w:rsid w:val="00DC5A40"/>
    <w:rsid w:val="00DC65B4"/>
    <w:rsid w:val="00DD4F6E"/>
    <w:rsid w:val="00DD54AB"/>
    <w:rsid w:val="00DD7D64"/>
    <w:rsid w:val="00DE0670"/>
    <w:rsid w:val="00DE36EC"/>
    <w:rsid w:val="00DE617C"/>
    <w:rsid w:val="00DE6CFB"/>
    <w:rsid w:val="00DF01E1"/>
    <w:rsid w:val="00DF052E"/>
    <w:rsid w:val="00DF6BCD"/>
    <w:rsid w:val="00DF742F"/>
    <w:rsid w:val="00E01A71"/>
    <w:rsid w:val="00E04352"/>
    <w:rsid w:val="00E05CF6"/>
    <w:rsid w:val="00E06241"/>
    <w:rsid w:val="00E066AD"/>
    <w:rsid w:val="00E07354"/>
    <w:rsid w:val="00E07F41"/>
    <w:rsid w:val="00E11F61"/>
    <w:rsid w:val="00E1300B"/>
    <w:rsid w:val="00E13023"/>
    <w:rsid w:val="00E13F1F"/>
    <w:rsid w:val="00E1490E"/>
    <w:rsid w:val="00E16084"/>
    <w:rsid w:val="00E17681"/>
    <w:rsid w:val="00E20448"/>
    <w:rsid w:val="00E2117A"/>
    <w:rsid w:val="00E2245A"/>
    <w:rsid w:val="00E235E9"/>
    <w:rsid w:val="00E27A91"/>
    <w:rsid w:val="00E27CD6"/>
    <w:rsid w:val="00E27E97"/>
    <w:rsid w:val="00E305B7"/>
    <w:rsid w:val="00E31064"/>
    <w:rsid w:val="00E3240B"/>
    <w:rsid w:val="00E33404"/>
    <w:rsid w:val="00E40A64"/>
    <w:rsid w:val="00E433F4"/>
    <w:rsid w:val="00E44376"/>
    <w:rsid w:val="00E458DE"/>
    <w:rsid w:val="00E46B89"/>
    <w:rsid w:val="00E51E1D"/>
    <w:rsid w:val="00E53F81"/>
    <w:rsid w:val="00E57B5A"/>
    <w:rsid w:val="00E644F3"/>
    <w:rsid w:val="00E64896"/>
    <w:rsid w:val="00E6489B"/>
    <w:rsid w:val="00E7237E"/>
    <w:rsid w:val="00E72C66"/>
    <w:rsid w:val="00E72C88"/>
    <w:rsid w:val="00E74D66"/>
    <w:rsid w:val="00E757DB"/>
    <w:rsid w:val="00E803A4"/>
    <w:rsid w:val="00E8056F"/>
    <w:rsid w:val="00E842F5"/>
    <w:rsid w:val="00E84324"/>
    <w:rsid w:val="00E93FCA"/>
    <w:rsid w:val="00E96F44"/>
    <w:rsid w:val="00EA0DA9"/>
    <w:rsid w:val="00EA49E6"/>
    <w:rsid w:val="00EA6378"/>
    <w:rsid w:val="00EA680A"/>
    <w:rsid w:val="00EA70BA"/>
    <w:rsid w:val="00EA741A"/>
    <w:rsid w:val="00EB0945"/>
    <w:rsid w:val="00EB249B"/>
    <w:rsid w:val="00EB2500"/>
    <w:rsid w:val="00EB3D10"/>
    <w:rsid w:val="00EB3F9B"/>
    <w:rsid w:val="00EB5C42"/>
    <w:rsid w:val="00EC06BC"/>
    <w:rsid w:val="00ED0EE3"/>
    <w:rsid w:val="00ED363F"/>
    <w:rsid w:val="00ED4D70"/>
    <w:rsid w:val="00ED7128"/>
    <w:rsid w:val="00EE24C2"/>
    <w:rsid w:val="00EE7F15"/>
    <w:rsid w:val="00EF07DE"/>
    <w:rsid w:val="00EF089E"/>
    <w:rsid w:val="00EF5CFA"/>
    <w:rsid w:val="00EF6E81"/>
    <w:rsid w:val="00F001DD"/>
    <w:rsid w:val="00F0234B"/>
    <w:rsid w:val="00F02C01"/>
    <w:rsid w:val="00F058B3"/>
    <w:rsid w:val="00F05B8E"/>
    <w:rsid w:val="00F06942"/>
    <w:rsid w:val="00F079F9"/>
    <w:rsid w:val="00F10AAE"/>
    <w:rsid w:val="00F14F33"/>
    <w:rsid w:val="00F15D58"/>
    <w:rsid w:val="00F170E8"/>
    <w:rsid w:val="00F17736"/>
    <w:rsid w:val="00F2076B"/>
    <w:rsid w:val="00F21A7B"/>
    <w:rsid w:val="00F2449E"/>
    <w:rsid w:val="00F26199"/>
    <w:rsid w:val="00F2638E"/>
    <w:rsid w:val="00F26879"/>
    <w:rsid w:val="00F34272"/>
    <w:rsid w:val="00F36257"/>
    <w:rsid w:val="00F36408"/>
    <w:rsid w:val="00F3663D"/>
    <w:rsid w:val="00F36AFB"/>
    <w:rsid w:val="00F42799"/>
    <w:rsid w:val="00F42A32"/>
    <w:rsid w:val="00F45084"/>
    <w:rsid w:val="00F45AE5"/>
    <w:rsid w:val="00F46C85"/>
    <w:rsid w:val="00F5312E"/>
    <w:rsid w:val="00F55006"/>
    <w:rsid w:val="00F55519"/>
    <w:rsid w:val="00F56831"/>
    <w:rsid w:val="00F576CA"/>
    <w:rsid w:val="00F603D1"/>
    <w:rsid w:val="00F61951"/>
    <w:rsid w:val="00F64060"/>
    <w:rsid w:val="00F6650F"/>
    <w:rsid w:val="00F66F07"/>
    <w:rsid w:val="00F6767B"/>
    <w:rsid w:val="00F70404"/>
    <w:rsid w:val="00F7284B"/>
    <w:rsid w:val="00F8324A"/>
    <w:rsid w:val="00F84282"/>
    <w:rsid w:val="00F85235"/>
    <w:rsid w:val="00F87635"/>
    <w:rsid w:val="00F9077E"/>
    <w:rsid w:val="00F94599"/>
    <w:rsid w:val="00FA1187"/>
    <w:rsid w:val="00FA39DC"/>
    <w:rsid w:val="00FA6B05"/>
    <w:rsid w:val="00FB3D83"/>
    <w:rsid w:val="00FB4103"/>
    <w:rsid w:val="00FB5A93"/>
    <w:rsid w:val="00FB6E03"/>
    <w:rsid w:val="00FC0380"/>
    <w:rsid w:val="00FC0563"/>
    <w:rsid w:val="00FC1156"/>
    <w:rsid w:val="00FC1344"/>
    <w:rsid w:val="00FC2450"/>
    <w:rsid w:val="00FD155C"/>
    <w:rsid w:val="00FD2B01"/>
    <w:rsid w:val="00FD497E"/>
    <w:rsid w:val="00FE04C7"/>
    <w:rsid w:val="00FE0D3E"/>
    <w:rsid w:val="00FE1968"/>
    <w:rsid w:val="00FE3C95"/>
    <w:rsid w:val="00FE4400"/>
    <w:rsid w:val="00FF00A0"/>
    <w:rsid w:val="00FF058E"/>
    <w:rsid w:val="00FF1AF0"/>
    <w:rsid w:val="00FF25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4104E7C8"/>
  <w15:docId w15:val="{24F27DBD-0791-40A5-9D3D-2E294E9BFE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2">
    <w:name w:val="heading 2"/>
    <w:basedOn w:val="Normal"/>
    <w:next w:val="Normal"/>
    <w:link w:val="Heading2Char"/>
    <w:uiPriority w:val="9"/>
    <w:semiHidden/>
    <w:unhideWhenUsed/>
    <w:qFormat/>
    <w:rsid w:val="008F28BA"/>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9D66CB"/>
    <w:pPr>
      <w:keepNext/>
      <w:keepLines/>
      <w:spacing w:before="200" w:after="0"/>
      <w:outlineLvl w:val="2"/>
    </w:pPr>
    <w:rPr>
      <w:rFonts w:asciiTheme="majorHAnsi" w:eastAsiaTheme="majorEastAsia" w:hAnsiTheme="majorHAnsi" w:cstheme="majorBidi"/>
      <w:b/>
      <w:bCs/>
      <w:color w:val="4F81BD" w:themeColor="accent1"/>
    </w:rPr>
  </w:style>
  <w:style w:type="paragraph" w:styleId="Heading8">
    <w:name w:val="heading 8"/>
    <w:basedOn w:val="Normal"/>
    <w:next w:val="Normal"/>
    <w:link w:val="Heading8Char"/>
    <w:uiPriority w:val="99"/>
    <w:qFormat/>
    <w:rsid w:val="00B37F6E"/>
    <w:pPr>
      <w:keepNext/>
      <w:spacing w:after="0" w:line="360" w:lineRule="auto"/>
      <w:jc w:val="both"/>
      <w:outlineLvl w:val="7"/>
    </w:pPr>
    <w:rPr>
      <w:rFonts w:ascii="Arial" w:eastAsia="Times New Roman" w:hAnsi="Arial" w:cs="Times New Roman"/>
      <w:b/>
      <w:bCs/>
      <w:cap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abeçalho superior"/>
    <w:basedOn w:val="Normal"/>
    <w:link w:val="HeaderChar"/>
    <w:uiPriority w:val="99"/>
    <w:unhideWhenUsed/>
    <w:rsid w:val="00B529AF"/>
    <w:pPr>
      <w:tabs>
        <w:tab w:val="center" w:pos="4252"/>
        <w:tab w:val="right" w:pos="8504"/>
      </w:tabs>
      <w:spacing w:after="0" w:line="240" w:lineRule="auto"/>
    </w:pPr>
  </w:style>
  <w:style w:type="character" w:customStyle="1" w:styleId="HeaderChar">
    <w:name w:val="Header Char"/>
    <w:aliases w:val="Cabeçalho superior Char"/>
    <w:basedOn w:val="DefaultParagraphFont"/>
    <w:link w:val="Header"/>
    <w:uiPriority w:val="99"/>
    <w:rsid w:val="00B529AF"/>
  </w:style>
  <w:style w:type="paragraph" w:styleId="Footer">
    <w:name w:val="footer"/>
    <w:basedOn w:val="Normal"/>
    <w:link w:val="FooterChar"/>
    <w:uiPriority w:val="99"/>
    <w:unhideWhenUsed/>
    <w:rsid w:val="00B529AF"/>
    <w:pPr>
      <w:tabs>
        <w:tab w:val="center" w:pos="4252"/>
        <w:tab w:val="right" w:pos="8504"/>
      </w:tabs>
      <w:spacing w:after="0" w:line="240" w:lineRule="auto"/>
    </w:pPr>
  </w:style>
  <w:style w:type="character" w:customStyle="1" w:styleId="FooterChar">
    <w:name w:val="Footer Char"/>
    <w:basedOn w:val="DefaultParagraphFont"/>
    <w:link w:val="Footer"/>
    <w:uiPriority w:val="99"/>
    <w:rsid w:val="00B529AF"/>
  </w:style>
  <w:style w:type="paragraph" w:styleId="BalloonText">
    <w:name w:val="Balloon Text"/>
    <w:basedOn w:val="Normal"/>
    <w:link w:val="BalloonTextChar"/>
    <w:uiPriority w:val="99"/>
    <w:semiHidden/>
    <w:unhideWhenUsed/>
    <w:rsid w:val="00B529A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29AF"/>
    <w:rPr>
      <w:rFonts w:ascii="Tahoma" w:hAnsi="Tahoma" w:cs="Tahoma"/>
      <w:sz w:val="16"/>
      <w:szCs w:val="16"/>
    </w:rPr>
  </w:style>
  <w:style w:type="character" w:styleId="PageNumber">
    <w:name w:val="page number"/>
    <w:basedOn w:val="DefaultParagraphFont"/>
    <w:uiPriority w:val="99"/>
    <w:rsid w:val="00B529AF"/>
  </w:style>
  <w:style w:type="character" w:customStyle="1" w:styleId="Heading8Char">
    <w:name w:val="Heading 8 Char"/>
    <w:basedOn w:val="DefaultParagraphFont"/>
    <w:link w:val="Heading8"/>
    <w:uiPriority w:val="99"/>
    <w:rsid w:val="00B37F6E"/>
    <w:rPr>
      <w:rFonts w:ascii="Arial" w:eastAsia="Times New Roman" w:hAnsi="Arial" w:cs="Times New Roman"/>
      <w:b/>
      <w:bCs/>
      <w:caps/>
      <w:sz w:val="24"/>
      <w:szCs w:val="24"/>
      <w:lang w:eastAsia="pt-BR"/>
    </w:rPr>
  </w:style>
  <w:style w:type="paragraph" w:styleId="ListParagraph">
    <w:name w:val="List Paragraph"/>
    <w:basedOn w:val="Normal"/>
    <w:uiPriority w:val="34"/>
    <w:qFormat/>
    <w:rsid w:val="007853CC"/>
    <w:pPr>
      <w:ind w:left="720"/>
      <w:contextualSpacing/>
    </w:pPr>
  </w:style>
  <w:style w:type="character" w:styleId="CommentReference">
    <w:name w:val="annotation reference"/>
    <w:basedOn w:val="DefaultParagraphFont"/>
    <w:uiPriority w:val="99"/>
    <w:unhideWhenUsed/>
    <w:rsid w:val="00C16062"/>
    <w:rPr>
      <w:sz w:val="16"/>
      <w:szCs w:val="16"/>
    </w:rPr>
  </w:style>
  <w:style w:type="paragraph" w:styleId="CommentText">
    <w:name w:val="annotation text"/>
    <w:basedOn w:val="Normal"/>
    <w:link w:val="CommentTextChar"/>
    <w:uiPriority w:val="99"/>
    <w:unhideWhenUsed/>
    <w:rsid w:val="00C16062"/>
    <w:pPr>
      <w:spacing w:line="240" w:lineRule="auto"/>
    </w:pPr>
    <w:rPr>
      <w:sz w:val="20"/>
      <w:szCs w:val="20"/>
    </w:rPr>
  </w:style>
  <w:style w:type="character" w:customStyle="1" w:styleId="CommentTextChar">
    <w:name w:val="Comment Text Char"/>
    <w:basedOn w:val="DefaultParagraphFont"/>
    <w:link w:val="CommentText"/>
    <w:uiPriority w:val="99"/>
    <w:rsid w:val="00C16062"/>
    <w:rPr>
      <w:sz w:val="20"/>
      <w:szCs w:val="20"/>
    </w:rPr>
  </w:style>
  <w:style w:type="paragraph" w:styleId="CommentSubject">
    <w:name w:val="annotation subject"/>
    <w:basedOn w:val="CommentText"/>
    <w:next w:val="CommentText"/>
    <w:link w:val="CommentSubjectChar"/>
    <w:uiPriority w:val="99"/>
    <w:semiHidden/>
    <w:unhideWhenUsed/>
    <w:rsid w:val="00C16062"/>
    <w:rPr>
      <w:b/>
      <w:bCs/>
    </w:rPr>
  </w:style>
  <w:style w:type="character" w:customStyle="1" w:styleId="CommentSubjectChar">
    <w:name w:val="Comment Subject Char"/>
    <w:basedOn w:val="CommentTextChar"/>
    <w:link w:val="CommentSubject"/>
    <w:uiPriority w:val="99"/>
    <w:semiHidden/>
    <w:rsid w:val="00C16062"/>
    <w:rPr>
      <w:b/>
      <w:bCs/>
      <w:sz w:val="20"/>
      <w:szCs w:val="20"/>
    </w:rPr>
  </w:style>
  <w:style w:type="paragraph" w:styleId="FootnoteText">
    <w:name w:val="footnote text"/>
    <w:basedOn w:val="Normal"/>
    <w:link w:val="FootnoteTextChar"/>
    <w:unhideWhenUsed/>
    <w:rsid w:val="006070F0"/>
    <w:pPr>
      <w:spacing w:after="0" w:line="240" w:lineRule="auto"/>
    </w:pPr>
    <w:rPr>
      <w:sz w:val="20"/>
      <w:szCs w:val="20"/>
    </w:rPr>
  </w:style>
  <w:style w:type="character" w:customStyle="1" w:styleId="FootnoteTextChar">
    <w:name w:val="Footnote Text Char"/>
    <w:basedOn w:val="DefaultParagraphFont"/>
    <w:link w:val="FootnoteText"/>
    <w:rsid w:val="006070F0"/>
    <w:rPr>
      <w:sz w:val="20"/>
      <w:szCs w:val="20"/>
    </w:rPr>
  </w:style>
  <w:style w:type="character" w:styleId="FootnoteReference">
    <w:name w:val="footnote reference"/>
    <w:basedOn w:val="DefaultParagraphFont"/>
    <w:uiPriority w:val="99"/>
    <w:semiHidden/>
    <w:unhideWhenUsed/>
    <w:rsid w:val="006070F0"/>
    <w:rPr>
      <w:vertAlign w:val="superscript"/>
    </w:rPr>
  </w:style>
  <w:style w:type="paragraph" w:customStyle="1" w:styleId="RelCapaA4">
    <w:name w:val="Rel_Capa_A4"/>
    <w:uiPriority w:val="99"/>
    <w:rsid w:val="00FB6E03"/>
    <w:pPr>
      <w:keepNext/>
      <w:keepLines/>
      <w:widowControl w:val="0"/>
      <w:tabs>
        <w:tab w:val="left" w:pos="-850"/>
        <w:tab w:val="left" w:pos="0"/>
        <w:tab w:val="left" w:pos="851"/>
        <w:tab w:val="left" w:pos="1702"/>
        <w:tab w:val="left" w:pos="2553"/>
        <w:tab w:val="left" w:pos="3404"/>
        <w:tab w:val="left" w:pos="4254"/>
        <w:tab w:val="left" w:pos="5105"/>
        <w:tab w:val="left" w:pos="5956"/>
        <w:tab w:val="left" w:pos="6807"/>
        <w:tab w:val="left" w:pos="7658"/>
        <w:tab w:val="left" w:pos="8508"/>
      </w:tabs>
      <w:suppressAutoHyphens/>
      <w:spacing w:after="0" w:line="240" w:lineRule="auto"/>
    </w:pPr>
    <w:rPr>
      <w:rFonts w:ascii="Arial" w:eastAsia="Times New Roman" w:hAnsi="Arial" w:cs="Times New Roman"/>
      <w:szCs w:val="20"/>
    </w:rPr>
  </w:style>
  <w:style w:type="paragraph" w:styleId="NoSpacing">
    <w:name w:val="No Spacing"/>
    <w:link w:val="NoSpacingChar"/>
    <w:uiPriority w:val="1"/>
    <w:qFormat/>
    <w:rsid w:val="00AC5F7B"/>
    <w:pPr>
      <w:spacing w:after="0" w:line="240" w:lineRule="auto"/>
    </w:pPr>
  </w:style>
  <w:style w:type="character" w:customStyle="1" w:styleId="BodyTextChar">
    <w:name w:val="Body Text Char"/>
    <w:aliases w:val="DNV-Body Char,Body Text 31 Char,Corpo de texto2 Char"/>
    <w:basedOn w:val="DefaultParagraphFont"/>
    <w:link w:val="BodyText"/>
    <w:uiPriority w:val="99"/>
    <w:locked/>
    <w:rsid w:val="00B8720B"/>
    <w:rPr>
      <w:sz w:val="24"/>
      <w:szCs w:val="24"/>
    </w:rPr>
  </w:style>
  <w:style w:type="paragraph" w:styleId="BodyText">
    <w:name w:val="Body Text"/>
    <w:aliases w:val="DNV-Body,Body Text 31,Corpo de texto2"/>
    <w:basedOn w:val="Normal"/>
    <w:link w:val="BodyTextChar"/>
    <w:uiPriority w:val="99"/>
    <w:unhideWhenUsed/>
    <w:rsid w:val="00B8720B"/>
    <w:pPr>
      <w:spacing w:after="120" w:line="240" w:lineRule="auto"/>
    </w:pPr>
    <w:rPr>
      <w:sz w:val="24"/>
      <w:szCs w:val="24"/>
    </w:rPr>
  </w:style>
  <w:style w:type="character" w:customStyle="1" w:styleId="CorpodetextoChar1">
    <w:name w:val="Corpo de texto Char1"/>
    <w:basedOn w:val="DefaultParagraphFont"/>
    <w:uiPriority w:val="99"/>
    <w:semiHidden/>
    <w:rsid w:val="00B8720B"/>
  </w:style>
  <w:style w:type="character" w:customStyle="1" w:styleId="A3">
    <w:name w:val="A3"/>
    <w:uiPriority w:val="99"/>
    <w:rsid w:val="000F32FE"/>
    <w:rPr>
      <w:color w:val="211D1E"/>
    </w:rPr>
  </w:style>
  <w:style w:type="paragraph" w:styleId="NormalWeb">
    <w:name w:val="Normal (Web)"/>
    <w:basedOn w:val="Normal"/>
    <w:uiPriority w:val="99"/>
    <w:semiHidden/>
    <w:unhideWhenUsed/>
    <w:rsid w:val="00DF01E1"/>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DF052E"/>
    <w:pPr>
      <w:spacing w:after="0" w:line="240" w:lineRule="auto"/>
    </w:pPr>
  </w:style>
  <w:style w:type="character" w:styleId="IntenseEmphasis">
    <w:name w:val="Intense Emphasis"/>
    <w:basedOn w:val="DefaultParagraphFont"/>
    <w:uiPriority w:val="21"/>
    <w:qFormat/>
    <w:rsid w:val="00A02C9A"/>
    <w:rPr>
      <w:b/>
      <w:bCs/>
      <w:i/>
      <w:iCs/>
      <w:color w:val="4F81BD" w:themeColor="accent1"/>
    </w:rPr>
  </w:style>
  <w:style w:type="character" w:styleId="Hyperlink">
    <w:name w:val="Hyperlink"/>
    <w:basedOn w:val="DefaultParagraphFont"/>
    <w:uiPriority w:val="99"/>
    <w:unhideWhenUsed/>
    <w:rsid w:val="0065240A"/>
    <w:rPr>
      <w:color w:val="0000FF"/>
      <w:u w:val="single"/>
    </w:rPr>
  </w:style>
  <w:style w:type="character" w:customStyle="1" w:styleId="Heading3Char">
    <w:name w:val="Heading 3 Char"/>
    <w:basedOn w:val="DefaultParagraphFont"/>
    <w:link w:val="Heading3"/>
    <w:uiPriority w:val="9"/>
    <w:semiHidden/>
    <w:rsid w:val="009D66CB"/>
    <w:rPr>
      <w:rFonts w:asciiTheme="majorHAnsi" w:eastAsiaTheme="majorEastAsia" w:hAnsiTheme="majorHAnsi" w:cstheme="majorBidi"/>
      <w:b/>
      <w:bCs/>
      <w:color w:val="4F81BD" w:themeColor="accent1"/>
    </w:rPr>
  </w:style>
  <w:style w:type="character" w:customStyle="1" w:styleId="NoSpacingChar">
    <w:name w:val="No Spacing Char"/>
    <w:link w:val="NoSpacing"/>
    <w:uiPriority w:val="1"/>
    <w:rsid w:val="00A934B8"/>
  </w:style>
  <w:style w:type="paragraph" w:customStyle="1" w:styleId="bibliografia">
    <w:name w:val="bibliografia"/>
    <w:basedOn w:val="Normal"/>
    <w:autoRedefine/>
    <w:uiPriority w:val="99"/>
    <w:rsid w:val="00B86A90"/>
    <w:pPr>
      <w:keepLines/>
      <w:tabs>
        <w:tab w:val="left" w:pos="0"/>
      </w:tabs>
      <w:spacing w:beforeLines="240" w:after="0" w:line="288" w:lineRule="auto"/>
      <w:ind w:left="567" w:hanging="567"/>
      <w:jc w:val="both"/>
    </w:pPr>
    <w:rPr>
      <w:rFonts w:ascii="Times New Roman" w:eastAsia="Times New Roman" w:hAnsi="Times New Roman" w:cs="Times New Roman"/>
      <w:snapToGrid w:val="0"/>
      <w:szCs w:val="20"/>
      <w:lang w:val="es-ES_tradnl"/>
    </w:rPr>
  </w:style>
  <w:style w:type="character" w:customStyle="1" w:styleId="apple-converted-space">
    <w:name w:val="apple-converted-space"/>
    <w:basedOn w:val="DefaultParagraphFont"/>
    <w:rsid w:val="00B86A90"/>
  </w:style>
  <w:style w:type="paragraph" w:styleId="Caption">
    <w:name w:val="caption"/>
    <w:aliases w:val="Legenda Char Char"/>
    <w:basedOn w:val="Normal"/>
    <w:next w:val="Normal"/>
    <w:link w:val="CaptionChar"/>
    <w:uiPriority w:val="35"/>
    <w:qFormat/>
    <w:rsid w:val="00185884"/>
    <w:pPr>
      <w:spacing w:after="0" w:line="255" w:lineRule="exact"/>
    </w:pPr>
    <w:rPr>
      <w:rFonts w:ascii="Arial" w:eastAsia="Batang" w:hAnsi="Arial" w:cs="Times New Roman"/>
      <w:b/>
      <w:bCs/>
      <w:szCs w:val="20"/>
    </w:rPr>
  </w:style>
  <w:style w:type="character" w:customStyle="1" w:styleId="CaptionChar">
    <w:name w:val="Caption Char"/>
    <w:aliases w:val="Legenda Char Char Char"/>
    <w:link w:val="Caption"/>
    <w:uiPriority w:val="35"/>
    <w:rsid w:val="00185884"/>
    <w:rPr>
      <w:rFonts w:ascii="Arial" w:eastAsia="Batang" w:hAnsi="Arial" w:cs="Times New Roman"/>
      <w:b/>
      <w:bCs/>
      <w:szCs w:val="20"/>
      <w:lang w:eastAsia="pt-BR"/>
    </w:rPr>
  </w:style>
  <w:style w:type="paragraph" w:styleId="PlainText">
    <w:name w:val="Plain Text"/>
    <w:basedOn w:val="Normal"/>
    <w:link w:val="PlainTextChar"/>
    <w:uiPriority w:val="99"/>
    <w:unhideWhenUsed/>
    <w:rsid w:val="002F3C48"/>
    <w:pPr>
      <w:spacing w:after="0" w:line="240" w:lineRule="auto"/>
    </w:pPr>
    <w:rPr>
      <w:rFonts w:ascii="Calibri" w:hAnsi="Calibri" w:cs="Calibri"/>
      <w:lang w:val="en-US"/>
    </w:rPr>
  </w:style>
  <w:style w:type="character" w:customStyle="1" w:styleId="PlainTextChar">
    <w:name w:val="Plain Text Char"/>
    <w:basedOn w:val="DefaultParagraphFont"/>
    <w:link w:val="PlainText"/>
    <w:uiPriority w:val="99"/>
    <w:rsid w:val="002F3C48"/>
    <w:rPr>
      <w:rFonts w:ascii="Calibri" w:hAnsi="Calibri" w:cs="Calibri"/>
      <w:lang w:val="en-US"/>
    </w:rPr>
  </w:style>
  <w:style w:type="character" w:customStyle="1" w:styleId="UnresolvedMention1">
    <w:name w:val="Unresolved Mention1"/>
    <w:basedOn w:val="DefaultParagraphFont"/>
    <w:uiPriority w:val="99"/>
    <w:semiHidden/>
    <w:unhideWhenUsed/>
    <w:rsid w:val="004A298E"/>
    <w:rPr>
      <w:color w:val="808080"/>
      <w:shd w:val="clear" w:color="auto" w:fill="E6E6E6"/>
    </w:rPr>
  </w:style>
  <w:style w:type="character" w:customStyle="1" w:styleId="UnresolvedMention2">
    <w:name w:val="Unresolved Mention2"/>
    <w:basedOn w:val="DefaultParagraphFont"/>
    <w:uiPriority w:val="99"/>
    <w:semiHidden/>
    <w:unhideWhenUsed/>
    <w:rsid w:val="009C1F92"/>
    <w:rPr>
      <w:color w:val="808080"/>
      <w:shd w:val="clear" w:color="auto" w:fill="E6E6E6"/>
    </w:rPr>
  </w:style>
  <w:style w:type="table" w:styleId="TableGrid">
    <w:name w:val="Table Grid"/>
    <w:basedOn w:val="TableNormal"/>
    <w:uiPriority w:val="59"/>
    <w:rsid w:val="00DD54AB"/>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D84F24"/>
    <w:pPr>
      <w:numPr>
        <w:ilvl w:val="1"/>
      </w:numPr>
      <w:spacing w:after="160"/>
    </w:pPr>
    <w:rPr>
      <w:color w:val="5A5A5A" w:themeColor="text1" w:themeTint="A5"/>
      <w:spacing w:val="15"/>
    </w:rPr>
  </w:style>
  <w:style w:type="character" w:customStyle="1" w:styleId="SubtitleChar">
    <w:name w:val="Subtitle Char"/>
    <w:basedOn w:val="DefaultParagraphFont"/>
    <w:link w:val="Subtitle"/>
    <w:uiPriority w:val="11"/>
    <w:rsid w:val="00D84F24"/>
    <w:rPr>
      <w:color w:val="5A5A5A" w:themeColor="text1" w:themeTint="A5"/>
      <w:spacing w:val="15"/>
    </w:rPr>
  </w:style>
  <w:style w:type="character" w:customStyle="1" w:styleId="Heading2Char">
    <w:name w:val="Heading 2 Char"/>
    <w:basedOn w:val="DefaultParagraphFont"/>
    <w:link w:val="Heading2"/>
    <w:uiPriority w:val="9"/>
    <w:semiHidden/>
    <w:rsid w:val="008F28BA"/>
    <w:rPr>
      <w:rFonts w:asciiTheme="majorHAnsi" w:eastAsiaTheme="majorEastAsia" w:hAnsiTheme="majorHAnsi" w:cstheme="majorBidi"/>
      <w:color w:val="365F91" w:themeColor="accent1" w:themeShade="BF"/>
      <w:sz w:val="26"/>
      <w:szCs w:val="26"/>
    </w:rPr>
  </w:style>
  <w:style w:type="paragraph" w:styleId="ListBullet">
    <w:name w:val="List Bullet"/>
    <w:basedOn w:val="Normal"/>
    <w:uiPriority w:val="99"/>
    <w:unhideWhenUsed/>
    <w:rsid w:val="00250A9A"/>
    <w:pPr>
      <w:numPr>
        <w:numId w:val="13"/>
      </w:numPr>
      <w:contextualSpacing/>
    </w:pPr>
    <w:rPr>
      <w:rFonts w:ascii="Calibri" w:eastAsia="Calibri" w:hAnsi="Calibri" w:cs="Times New Roman"/>
      <w:lang w:eastAsia="en-US"/>
    </w:rPr>
  </w:style>
  <w:style w:type="paragraph" w:customStyle="1" w:styleId="xl24">
    <w:name w:val="xl24"/>
    <w:basedOn w:val="Normal"/>
    <w:rsid w:val="004F0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668032">
      <w:bodyDiv w:val="1"/>
      <w:marLeft w:val="0"/>
      <w:marRight w:val="0"/>
      <w:marTop w:val="0"/>
      <w:marBottom w:val="0"/>
      <w:divBdr>
        <w:top w:val="none" w:sz="0" w:space="0" w:color="auto"/>
        <w:left w:val="none" w:sz="0" w:space="0" w:color="auto"/>
        <w:bottom w:val="none" w:sz="0" w:space="0" w:color="auto"/>
        <w:right w:val="none" w:sz="0" w:space="0" w:color="auto"/>
      </w:divBdr>
    </w:div>
    <w:div w:id="189298493">
      <w:bodyDiv w:val="1"/>
      <w:marLeft w:val="0"/>
      <w:marRight w:val="0"/>
      <w:marTop w:val="0"/>
      <w:marBottom w:val="0"/>
      <w:divBdr>
        <w:top w:val="none" w:sz="0" w:space="0" w:color="auto"/>
        <w:left w:val="none" w:sz="0" w:space="0" w:color="auto"/>
        <w:bottom w:val="none" w:sz="0" w:space="0" w:color="auto"/>
        <w:right w:val="none" w:sz="0" w:space="0" w:color="auto"/>
      </w:divBdr>
    </w:div>
    <w:div w:id="271253686">
      <w:bodyDiv w:val="1"/>
      <w:marLeft w:val="0"/>
      <w:marRight w:val="0"/>
      <w:marTop w:val="0"/>
      <w:marBottom w:val="0"/>
      <w:divBdr>
        <w:top w:val="none" w:sz="0" w:space="0" w:color="auto"/>
        <w:left w:val="none" w:sz="0" w:space="0" w:color="auto"/>
        <w:bottom w:val="none" w:sz="0" w:space="0" w:color="auto"/>
        <w:right w:val="none" w:sz="0" w:space="0" w:color="auto"/>
      </w:divBdr>
    </w:div>
    <w:div w:id="317538755">
      <w:bodyDiv w:val="1"/>
      <w:marLeft w:val="0"/>
      <w:marRight w:val="0"/>
      <w:marTop w:val="0"/>
      <w:marBottom w:val="0"/>
      <w:divBdr>
        <w:top w:val="none" w:sz="0" w:space="0" w:color="auto"/>
        <w:left w:val="none" w:sz="0" w:space="0" w:color="auto"/>
        <w:bottom w:val="none" w:sz="0" w:space="0" w:color="auto"/>
        <w:right w:val="none" w:sz="0" w:space="0" w:color="auto"/>
      </w:divBdr>
    </w:div>
    <w:div w:id="321006439">
      <w:bodyDiv w:val="1"/>
      <w:marLeft w:val="0"/>
      <w:marRight w:val="0"/>
      <w:marTop w:val="0"/>
      <w:marBottom w:val="0"/>
      <w:divBdr>
        <w:top w:val="none" w:sz="0" w:space="0" w:color="auto"/>
        <w:left w:val="none" w:sz="0" w:space="0" w:color="auto"/>
        <w:bottom w:val="none" w:sz="0" w:space="0" w:color="auto"/>
        <w:right w:val="none" w:sz="0" w:space="0" w:color="auto"/>
      </w:divBdr>
    </w:div>
    <w:div w:id="392049235">
      <w:bodyDiv w:val="1"/>
      <w:marLeft w:val="0"/>
      <w:marRight w:val="0"/>
      <w:marTop w:val="0"/>
      <w:marBottom w:val="0"/>
      <w:divBdr>
        <w:top w:val="none" w:sz="0" w:space="0" w:color="auto"/>
        <w:left w:val="none" w:sz="0" w:space="0" w:color="auto"/>
        <w:bottom w:val="none" w:sz="0" w:space="0" w:color="auto"/>
        <w:right w:val="none" w:sz="0" w:space="0" w:color="auto"/>
      </w:divBdr>
    </w:div>
    <w:div w:id="482236788">
      <w:bodyDiv w:val="1"/>
      <w:marLeft w:val="0"/>
      <w:marRight w:val="0"/>
      <w:marTop w:val="0"/>
      <w:marBottom w:val="0"/>
      <w:divBdr>
        <w:top w:val="none" w:sz="0" w:space="0" w:color="auto"/>
        <w:left w:val="none" w:sz="0" w:space="0" w:color="auto"/>
        <w:bottom w:val="none" w:sz="0" w:space="0" w:color="auto"/>
        <w:right w:val="none" w:sz="0" w:space="0" w:color="auto"/>
      </w:divBdr>
    </w:div>
    <w:div w:id="565381370">
      <w:bodyDiv w:val="1"/>
      <w:marLeft w:val="0"/>
      <w:marRight w:val="0"/>
      <w:marTop w:val="0"/>
      <w:marBottom w:val="0"/>
      <w:divBdr>
        <w:top w:val="none" w:sz="0" w:space="0" w:color="auto"/>
        <w:left w:val="none" w:sz="0" w:space="0" w:color="auto"/>
        <w:bottom w:val="none" w:sz="0" w:space="0" w:color="auto"/>
        <w:right w:val="none" w:sz="0" w:space="0" w:color="auto"/>
      </w:divBdr>
    </w:div>
    <w:div w:id="631061840">
      <w:bodyDiv w:val="1"/>
      <w:marLeft w:val="0"/>
      <w:marRight w:val="0"/>
      <w:marTop w:val="0"/>
      <w:marBottom w:val="0"/>
      <w:divBdr>
        <w:top w:val="none" w:sz="0" w:space="0" w:color="auto"/>
        <w:left w:val="none" w:sz="0" w:space="0" w:color="auto"/>
        <w:bottom w:val="none" w:sz="0" w:space="0" w:color="auto"/>
        <w:right w:val="none" w:sz="0" w:space="0" w:color="auto"/>
      </w:divBdr>
    </w:div>
    <w:div w:id="764768049">
      <w:bodyDiv w:val="1"/>
      <w:marLeft w:val="0"/>
      <w:marRight w:val="0"/>
      <w:marTop w:val="0"/>
      <w:marBottom w:val="0"/>
      <w:divBdr>
        <w:top w:val="none" w:sz="0" w:space="0" w:color="auto"/>
        <w:left w:val="none" w:sz="0" w:space="0" w:color="auto"/>
        <w:bottom w:val="none" w:sz="0" w:space="0" w:color="auto"/>
        <w:right w:val="none" w:sz="0" w:space="0" w:color="auto"/>
      </w:divBdr>
    </w:div>
    <w:div w:id="885213142">
      <w:bodyDiv w:val="1"/>
      <w:marLeft w:val="0"/>
      <w:marRight w:val="0"/>
      <w:marTop w:val="0"/>
      <w:marBottom w:val="0"/>
      <w:divBdr>
        <w:top w:val="none" w:sz="0" w:space="0" w:color="auto"/>
        <w:left w:val="none" w:sz="0" w:space="0" w:color="auto"/>
        <w:bottom w:val="none" w:sz="0" w:space="0" w:color="auto"/>
        <w:right w:val="none" w:sz="0" w:space="0" w:color="auto"/>
      </w:divBdr>
    </w:div>
    <w:div w:id="900989404">
      <w:bodyDiv w:val="1"/>
      <w:marLeft w:val="0"/>
      <w:marRight w:val="0"/>
      <w:marTop w:val="0"/>
      <w:marBottom w:val="0"/>
      <w:divBdr>
        <w:top w:val="none" w:sz="0" w:space="0" w:color="auto"/>
        <w:left w:val="none" w:sz="0" w:space="0" w:color="auto"/>
        <w:bottom w:val="none" w:sz="0" w:space="0" w:color="auto"/>
        <w:right w:val="none" w:sz="0" w:space="0" w:color="auto"/>
      </w:divBdr>
    </w:div>
    <w:div w:id="951672922">
      <w:bodyDiv w:val="1"/>
      <w:marLeft w:val="0"/>
      <w:marRight w:val="0"/>
      <w:marTop w:val="0"/>
      <w:marBottom w:val="0"/>
      <w:divBdr>
        <w:top w:val="none" w:sz="0" w:space="0" w:color="auto"/>
        <w:left w:val="none" w:sz="0" w:space="0" w:color="auto"/>
        <w:bottom w:val="none" w:sz="0" w:space="0" w:color="auto"/>
        <w:right w:val="none" w:sz="0" w:space="0" w:color="auto"/>
      </w:divBdr>
    </w:div>
    <w:div w:id="1089496993">
      <w:bodyDiv w:val="1"/>
      <w:marLeft w:val="0"/>
      <w:marRight w:val="0"/>
      <w:marTop w:val="0"/>
      <w:marBottom w:val="0"/>
      <w:divBdr>
        <w:top w:val="none" w:sz="0" w:space="0" w:color="auto"/>
        <w:left w:val="none" w:sz="0" w:space="0" w:color="auto"/>
        <w:bottom w:val="none" w:sz="0" w:space="0" w:color="auto"/>
        <w:right w:val="none" w:sz="0" w:space="0" w:color="auto"/>
      </w:divBdr>
    </w:div>
    <w:div w:id="1094282549">
      <w:bodyDiv w:val="1"/>
      <w:marLeft w:val="0"/>
      <w:marRight w:val="0"/>
      <w:marTop w:val="0"/>
      <w:marBottom w:val="0"/>
      <w:divBdr>
        <w:top w:val="none" w:sz="0" w:space="0" w:color="auto"/>
        <w:left w:val="none" w:sz="0" w:space="0" w:color="auto"/>
        <w:bottom w:val="none" w:sz="0" w:space="0" w:color="auto"/>
        <w:right w:val="none" w:sz="0" w:space="0" w:color="auto"/>
      </w:divBdr>
    </w:div>
    <w:div w:id="1140345878">
      <w:bodyDiv w:val="1"/>
      <w:marLeft w:val="0"/>
      <w:marRight w:val="0"/>
      <w:marTop w:val="0"/>
      <w:marBottom w:val="0"/>
      <w:divBdr>
        <w:top w:val="none" w:sz="0" w:space="0" w:color="auto"/>
        <w:left w:val="none" w:sz="0" w:space="0" w:color="auto"/>
        <w:bottom w:val="none" w:sz="0" w:space="0" w:color="auto"/>
        <w:right w:val="none" w:sz="0" w:space="0" w:color="auto"/>
      </w:divBdr>
    </w:div>
    <w:div w:id="1203249881">
      <w:bodyDiv w:val="1"/>
      <w:marLeft w:val="0"/>
      <w:marRight w:val="0"/>
      <w:marTop w:val="0"/>
      <w:marBottom w:val="0"/>
      <w:divBdr>
        <w:top w:val="none" w:sz="0" w:space="0" w:color="auto"/>
        <w:left w:val="none" w:sz="0" w:space="0" w:color="auto"/>
        <w:bottom w:val="none" w:sz="0" w:space="0" w:color="auto"/>
        <w:right w:val="none" w:sz="0" w:space="0" w:color="auto"/>
      </w:divBdr>
    </w:div>
    <w:div w:id="1274754073">
      <w:bodyDiv w:val="1"/>
      <w:marLeft w:val="0"/>
      <w:marRight w:val="0"/>
      <w:marTop w:val="0"/>
      <w:marBottom w:val="0"/>
      <w:divBdr>
        <w:top w:val="none" w:sz="0" w:space="0" w:color="auto"/>
        <w:left w:val="none" w:sz="0" w:space="0" w:color="auto"/>
        <w:bottom w:val="none" w:sz="0" w:space="0" w:color="auto"/>
        <w:right w:val="none" w:sz="0" w:space="0" w:color="auto"/>
      </w:divBdr>
    </w:div>
    <w:div w:id="1385526332">
      <w:bodyDiv w:val="1"/>
      <w:marLeft w:val="0"/>
      <w:marRight w:val="0"/>
      <w:marTop w:val="0"/>
      <w:marBottom w:val="0"/>
      <w:divBdr>
        <w:top w:val="none" w:sz="0" w:space="0" w:color="auto"/>
        <w:left w:val="none" w:sz="0" w:space="0" w:color="auto"/>
        <w:bottom w:val="none" w:sz="0" w:space="0" w:color="auto"/>
        <w:right w:val="none" w:sz="0" w:space="0" w:color="auto"/>
      </w:divBdr>
    </w:div>
    <w:div w:id="1468159882">
      <w:bodyDiv w:val="1"/>
      <w:marLeft w:val="0"/>
      <w:marRight w:val="0"/>
      <w:marTop w:val="0"/>
      <w:marBottom w:val="0"/>
      <w:divBdr>
        <w:top w:val="none" w:sz="0" w:space="0" w:color="auto"/>
        <w:left w:val="none" w:sz="0" w:space="0" w:color="auto"/>
        <w:bottom w:val="none" w:sz="0" w:space="0" w:color="auto"/>
        <w:right w:val="none" w:sz="0" w:space="0" w:color="auto"/>
      </w:divBdr>
    </w:div>
    <w:div w:id="1471284039">
      <w:bodyDiv w:val="1"/>
      <w:marLeft w:val="0"/>
      <w:marRight w:val="0"/>
      <w:marTop w:val="0"/>
      <w:marBottom w:val="0"/>
      <w:divBdr>
        <w:top w:val="none" w:sz="0" w:space="0" w:color="auto"/>
        <w:left w:val="none" w:sz="0" w:space="0" w:color="auto"/>
        <w:bottom w:val="none" w:sz="0" w:space="0" w:color="auto"/>
        <w:right w:val="none" w:sz="0" w:space="0" w:color="auto"/>
      </w:divBdr>
    </w:div>
    <w:div w:id="1543441824">
      <w:bodyDiv w:val="1"/>
      <w:marLeft w:val="0"/>
      <w:marRight w:val="0"/>
      <w:marTop w:val="0"/>
      <w:marBottom w:val="0"/>
      <w:divBdr>
        <w:top w:val="none" w:sz="0" w:space="0" w:color="auto"/>
        <w:left w:val="none" w:sz="0" w:space="0" w:color="auto"/>
        <w:bottom w:val="none" w:sz="0" w:space="0" w:color="auto"/>
        <w:right w:val="none" w:sz="0" w:space="0" w:color="auto"/>
      </w:divBdr>
    </w:div>
    <w:div w:id="1568103836">
      <w:bodyDiv w:val="1"/>
      <w:marLeft w:val="0"/>
      <w:marRight w:val="0"/>
      <w:marTop w:val="0"/>
      <w:marBottom w:val="0"/>
      <w:divBdr>
        <w:top w:val="none" w:sz="0" w:space="0" w:color="auto"/>
        <w:left w:val="none" w:sz="0" w:space="0" w:color="auto"/>
        <w:bottom w:val="none" w:sz="0" w:space="0" w:color="auto"/>
        <w:right w:val="none" w:sz="0" w:space="0" w:color="auto"/>
      </w:divBdr>
    </w:div>
    <w:div w:id="1584488513">
      <w:bodyDiv w:val="1"/>
      <w:marLeft w:val="0"/>
      <w:marRight w:val="0"/>
      <w:marTop w:val="0"/>
      <w:marBottom w:val="0"/>
      <w:divBdr>
        <w:top w:val="none" w:sz="0" w:space="0" w:color="auto"/>
        <w:left w:val="none" w:sz="0" w:space="0" w:color="auto"/>
        <w:bottom w:val="none" w:sz="0" w:space="0" w:color="auto"/>
        <w:right w:val="none" w:sz="0" w:space="0" w:color="auto"/>
      </w:divBdr>
    </w:div>
    <w:div w:id="1618633227">
      <w:bodyDiv w:val="1"/>
      <w:marLeft w:val="0"/>
      <w:marRight w:val="0"/>
      <w:marTop w:val="0"/>
      <w:marBottom w:val="0"/>
      <w:divBdr>
        <w:top w:val="none" w:sz="0" w:space="0" w:color="auto"/>
        <w:left w:val="none" w:sz="0" w:space="0" w:color="auto"/>
        <w:bottom w:val="none" w:sz="0" w:space="0" w:color="auto"/>
        <w:right w:val="none" w:sz="0" w:space="0" w:color="auto"/>
      </w:divBdr>
    </w:div>
    <w:div w:id="1705205647">
      <w:bodyDiv w:val="1"/>
      <w:marLeft w:val="0"/>
      <w:marRight w:val="0"/>
      <w:marTop w:val="0"/>
      <w:marBottom w:val="0"/>
      <w:divBdr>
        <w:top w:val="none" w:sz="0" w:space="0" w:color="auto"/>
        <w:left w:val="none" w:sz="0" w:space="0" w:color="auto"/>
        <w:bottom w:val="none" w:sz="0" w:space="0" w:color="auto"/>
        <w:right w:val="none" w:sz="0" w:space="0" w:color="auto"/>
      </w:divBdr>
    </w:div>
    <w:div w:id="1776705482">
      <w:bodyDiv w:val="1"/>
      <w:marLeft w:val="0"/>
      <w:marRight w:val="0"/>
      <w:marTop w:val="0"/>
      <w:marBottom w:val="0"/>
      <w:divBdr>
        <w:top w:val="none" w:sz="0" w:space="0" w:color="auto"/>
        <w:left w:val="none" w:sz="0" w:space="0" w:color="auto"/>
        <w:bottom w:val="none" w:sz="0" w:space="0" w:color="auto"/>
        <w:right w:val="none" w:sz="0" w:space="0" w:color="auto"/>
      </w:divBdr>
    </w:div>
    <w:div w:id="1915970696">
      <w:bodyDiv w:val="1"/>
      <w:marLeft w:val="0"/>
      <w:marRight w:val="0"/>
      <w:marTop w:val="0"/>
      <w:marBottom w:val="0"/>
      <w:divBdr>
        <w:top w:val="none" w:sz="0" w:space="0" w:color="auto"/>
        <w:left w:val="none" w:sz="0" w:space="0" w:color="auto"/>
        <w:bottom w:val="none" w:sz="0" w:space="0" w:color="auto"/>
        <w:right w:val="none" w:sz="0" w:space="0" w:color="auto"/>
      </w:divBdr>
    </w:div>
    <w:div w:id="2127700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7.jpeg"/><Relationship Id="rId18" Type="http://schemas.openxmlformats.org/officeDocument/2006/relationships/header" Target="header4.xml"/><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oleObject" Target="embeddings/oleObject1.bin"/><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9.pn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10.wmf"/><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12.png"/><Relationship Id="rId28" Type="http://schemas.openxmlformats.org/officeDocument/2006/relationships/image" Target="media/image17.jpeg"/><Relationship Id="rId10" Type="http://schemas.openxmlformats.org/officeDocument/2006/relationships/footer" Target="footer1.xml"/><Relationship Id="rId19" Type="http://schemas.openxmlformats.org/officeDocument/2006/relationships/footer" Target="footer4.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8.pn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footer" Target="footer5.xm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6" Type="http://schemas.microsoft.com/office/2007/relationships/hdphoto" Target="media/hdphoto1.wdp"/><Relationship Id="rId5" Type="http://schemas.openxmlformats.org/officeDocument/2006/relationships/image" Target="media/image6.png"/><Relationship Id="rId4" Type="http://schemas.openxmlformats.org/officeDocument/2006/relationships/image" Target="media/image5.pn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6" Type="http://schemas.microsoft.com/office/2007/relationships/hdphoto" Target="media/hdphoto1.wdp"/><Relationship Id="rId5" Type="http://schemas.openxmlformats.org/officeDocument/2006/relationships/image" Target="media/image6.pn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6" Type="http://schemas.microsoft.com/office/2007/relationships/hdphoto" Target="media/hdphoto1.wdp"/><Relationship Id="rId5" Type="http://schemas.openxmlformats.org/officeDocument/2006/relationships/image" Target="media/image6.png"/><Relationship Id="rId4" Type="http://schemas.openxmlformats.org/officeDocument/2006/relationships/image" Target="media/image5.png"/></Relationships>
</file>

<file path=word/_rels/header4.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6" Type="http://schemas.microsoft.com/office/2007/relationships/hdphoto" Target="media/hdphoto1.wdp"/><Relationship Id="rId5" Type="http://schemas.openxmlformats.org/officeDocument/2006/relationships/image" Target="media/image6.png"/><Relationship Id="rId4" Type="http://schemas.openxmlformats.org/officeDocument/2006/relationships/image" Target="media/image5.png"/></Relationships>
</file>

<file path=word/_rels/header5.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6" Type="http://schemas.microsoft.com/office/2007/relationships/hdphoto" Target="media/hdphoto1.wdp"/><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0765E44-84A6-416D-88BA-0A2246C606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14</Pages>
  <Words>4524</Words>
  <Characters>25793</Characters>
  <Application>Microsoft Office Word</Application>
  <DocSecurity>0</DocSecurity>
  <Lines>214</Lines>
  <Paragraphs>60</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TOTAL</Company>
  <LinksUpToDate>false</LinksUpToDate>
  <CharactersWithSpaces>30257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santosa</dc:creator>
  <cp:lastModifiedBy>Bosisio, Barbara</cp:lastModifiedBy>
  <cp:revision>11</cp:revision>
  <cp:lastPrinted>2017-03-31T14:08:00Z</cp:lastPrinted>
  <dcterms:created xsi:type="dcterms:W3CDTF">2018-08-13T16:23:00Z</dcterms:created>
  <dcterms:modified xsi:type="dcterms:W3CDTF">2018-09-04T16:49:00Z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3371c1e-a8c3-495e-b990-7dfcb00e1522_Enabled">
    <vt:lpwstr>True</vt:lpwstr>
  </property>
  <property fmtid="{D5CDD505-2E9C-101B-9397-08002B2CF9AE}" pid="3" name="MSIP_Label_a3371c1e-a8c3-495e-b990-7dfcb00e1522_SiteId">
    <vt:lpwstr>ea80952e-a476-42d4-aaf4-5457852b0f7e</vt:lpwstr>
  </property>
  <property fmtid="{D5CDD505-2E9C-101B-9397-08002B2CF9AE}" pid="4" name="MSIP_Label_a3371c1e-a8c3-495e-b990-7dfcb00e1522_Ref">
    <vt:lpwstr>https://api.informationprotection.azure.com/api/ea80952e-a476-42d4-aaf4-5457852b0f7e</vt:lpwstr>
  </property>
  <property fmtid="{D5CDD505-2E9C-101B-9397-08002B2CF9AE}" pid="5" name="MSIP_Label_a3371c1e-a8c3-495e-b990-7dfcb00e1522_Owner">
    <vt:lpwstr>Barbara.Bosisio@bp.com</vt:lpwstr>
  </property>
  <property fmtid="{D5CDD505-2E9C-101B-9397-08002B2CF9AE}" pid="6" name="MSIP_Label_a3371c1e-a8c3-495e-b990-7dfcb00e1522_SetDate">
    <vt:lpwstr>2018-01-09T17:59:58.5293648-02:00</vt:lpwstr>
  </property>
  <property fmtid="{D5CDD505-2E9C-101B-9397-08002B2CF9AE}" pid="7" name="MSIP_Label_a3371c1e-a8c3-495e-b990-7dfcb00e1522_Name">
    <vt:lpwstr>Confidential</vt:lpwstr>
  </property>
  <property fmtid="{D5CDD505-2E9C-101B-9397-08002B2CF9AE}" pid="8" name="MSIP_Label_a3371c1e-a8c3-495e-b990-7dfcb00e1522_Application">
    <vt:lpwstr>Microsoft Azure Information Protection</vt:lpwstr>
  </property>
  <property fmtid="{D5CDD505-2E9C-101B-9397-08002B2CF9AE}" pid="9" name="MSIP_Label_a3371c1e-a8c3-495e-b990-7dfcb00e1522_Extended_MSFT_Method">
    <vt:lpwstr>Manual</vt:lpwstr>
  </property>
  <property fmtid="{D5CDD505-2E9C-101B-9397-08002B2CF9AE}" pid="10" name="Sensitivity">
    <vt:lpwstr>Confidential</vt:lpwstr>
  </property>
</Properties>
</file>